
<file path=[Content_Types].xml><?xml version="1.0" encoding="utf-8"?>
<Types xmlns="http://schemas.openxmlformats.org/package/2006/content-types">
  <Override PartName="/word/footer3.xml" ContentType="application/vnd.openxmlformats-officedocument.wordprocessingml.footer+xml"/>
  <Override PartName="/word/charts/chart5.xml" ContentType="application/vnd.openxmlformats-officedocument.drawingml.chart+xml"/>
  <Override PartName="/word/charts/chart35.xml" ContentType="application/vnd.openxmlformats-officedocument.drawingml.chart+xml"/>
  <Override PartName="/word/charts/chart43.xml" ContentType="application/vnd.openxmlformats-officedocument.drawingml.chart+xml"/>
  <Override PartName="/word/charts/chart31.xml" ContentType="application/vnd.openxmlformats-officedocument.drawingml.chart+xml"/>
  <Override PartName="/word/charts/chart1.xml" ContentType="application/vnd.openxmlformats-officedocument.drawingml.chart+xml"/>
  <Default Extension="emf" ContentType="image/x-emf"/>
  <Override PartName="/word/theme/theme1.xml" ContentType="application/vnd.openxmlformats-officedocument.theme+xml"/>
  <Override PartName="/word/numbering.xml" ContentType="application/vnd.openxmlformats-officedocument.wordprocessingml.numbering+xml"/>
  <Override PartName="/word/document.xml" ContentType="application/vnd.openxmlformats-officedocument.wordprocessingml.document.main+xml"/>
  <Override PartName="/word/charts/chart28.xml" ContentType="application/vnd.openxmlformats-officedocument.drawingml.chart+xml"/>
  <Override PartName="/word/charts/chart55.xml" ContentType="application/vnd.openxmlformats-officedocument.drawingml.chart+xml"/>
  <Default Extension="rels" ContentType="application/vnd.openxmlformats-package.relationships+xml"/>
  <Default Extension="jpeg" ContentType="image/jpeg"/>
  <Override PartName="/word/charts/chart51.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docProps/app.xml" ContentType="application/vnd.openxmlformats-officedocument.extended-properties+xml"/>
  <Override PartName="/word/charts/chart48.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footer4.xml" ContentType="application/vnd.openxmlformats-officedocument.wordprocessingml.footer+xml"/>
  <Default Extension="xml" ContentType="application/xml"/>
  <Override PartName="/word/diagrams/colors1.xml" ContentType="application/vnd.openxmlformats-officedocument.drawingml.diagramColors+xml"/>
  <Override PartName="/word/charts/chart6.xml" ContentType="application/vnd.openxmlformats-officedocument.drawingml.chart+xml"/>
  <Override PartName="/word/charts/chart36.xml" ContentType="application/vnd.openxmlformats-officedocument.drawingml.chart+xml"/>
  <Override PartName="/word/charts/chart44.xml" ContentType="application/vnd.openxmlformats-officedocument.drawingml.chart+xml"/>
  <Override PartName="/word/charts/chart32.xml" ContentType="application/vnd.openxmlformats-officedocument.drawingml.chart+xml"/>
  <Override PartName="/word/charts/chart2.xml" ContentType="application/vnd.openxmlformats-officedocument.drawingml.chart+xml"/>
  <Override PartName="/word/charts/chart29.xml" ContentType="application/vnd.openxmlformats-officedocument.drawingml.chart+xml"/>
  <Override PartName="/docProps/core.xml" ContentType="application/vnd.openxmlformats-package.core-properties+xml"/>
  <Override PartName="/word/charts/chart52.xml" ContentType="application/vnd.openxmlformats-officedocument.drawingml.chart+xml"/>
  <Override PartName="/word/charts/chart17.xml" ContentType="application/vnd.openxmlformats-officedocument.drawingml.chart+xml"/>
  <Override PartName="/word/charts/chart25.xml" ContentType="application/vnd.openxmlformats-officedocument.drawingml.chart+xml"/>
  <Default Extension="png" ContentType="image/png"/>
  <Override PartName="/word/charts/chart40.xml" ContentType="application/vnd.openxmlformats-officedocument.drawingml.chart+xml"/>
  <Override PartName="/word/charts/chart49.xml" ContentType="application/vnd.openxmlformats-officedocument.drawingml.chart+xml"/>
  <Override PartName="/word/diagrams/layout1.xml" ContentType="application/vnd.openxmlformats-officedocument.drawingml.diagramLayout+xml"/>
  <Override PartName="/word/charts/chart21.xml" ContentType="application/vnd.openxmlformats-officedocument.drawingml.chart+xml"/>
  <Default Extension="pdf" ContentType="application/pdf"/>
  <Override PartName="/word/charts/chart13.xml" ContentType="application/vnd.openxmlformats-officedocument.drawingml.chart+xml"/>
  <Override PartName="/word/diagrams/drawing1.xml" ContentType="application/vnd.ms-office.drawingml.diagramDrawing+xml"/>
  <Override PartName="/word/charts/chart7.xml" ContentType="application/vnd.openxmlformats-officedocument.drawingml.chart+xml"/>
  <Override PartName="/word/charts/chart37.xml" ContentType="application/vnd.openxmlformats-officedocument.drawingml.chart+xml"/>
  <Override PartName="/word/charts/chart45.xml" ContentType="application/vnd.openxmlformats-officedocument.drawingml.chart+xml"/>
  <Override PartName="/word/diagrams/data1.xml" ContentType="application/vnd.openxmlformats-officedocument.drawingml.diagramData+xml"/>
  <Override PartName="/word/footer1.xml" ContentType="application/vnd.openxmlformats-officedocument.wordprocessingml.footer+xml"/>
  <Override PartName="/word/charts/chart3.xml" ContentType="application/vnd.openxmlformats-officedocument.drawingml.chart+xml"/>
  <Override PartName="/word/charts/chart33.xml" ContentType="application/vnd.openxmlformats-officedocument.drawingml.chart+xml"/>
  <Override PartName="/word/charts/chart53.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settings.xml" ContentType="application/vnd.openxmlformats-officedocument.wordprocessingml.settings+xml"/>
  <Override PartName="/word/charts/chart41.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38.xml" ContentType="application/vnd.openxmlformats-officedocument.drawingml.chart+xml"/>
  <Override PartName="/word/charts/chart8.xml" ContentType="application/vnd.openxmlformats-officedocument.drawingml.chart+xml"/>
  <Override PartName="/word/charts/chart46.xml" ContentType="application/vnd.openxmlformats-officedocument.drawingml.chart+xml"/>
  <Override PartName="/word/charts/chart10.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34.xml" ContentType="application/vnd.openxmlformats-officedocument.drawingml.chart+xml"/>
  <Override PartName="/word/charts/chart30.xml" ContentType="application/vnd.openxmlformats-officedocument.drawingml.chart+xml"/>
  <Override PartName="/word/footnotes.xml" ContentType="application/vnd.openxmlformats-officedocument.wordprocessingml.footnotes+xml"/>
  <Override PartName="/word/charts/chart54.xml" ContentType="application/vnd.openxmlformats-officedocument.drawingml.chart+xml"/>
  <Override PartName="/word/charts/chart19.xml" ContentType="application/vnd.openxmlformats-officedocument.drawingml.chart+xml"/>
  <Override PartName="/word/charts/chart27.xml" ContentType="application/vnd.openxmlformats-officedocument.drawingml.chart+xml"/>
  <Override PartName="/word/styles.xml" ContentType="application/vnd.openxmlformats-officedocument.wordprocessingml.styles+xml"/>
  <Override PartName="/word/fontTable.xml" ContentType="application/vnd.openxmlformats-officedocument.wordprocessingml.fontTable+xml"/>
  <Override PartName="/word/charts/chart42.xml" ContentType="application/vnd.openxmlformats-officedocument.drawingml.chart+xml"/>
  <Override PartName="/word/charts/chart50.xml" ContentType="application/vnd.openxmlformats-officedocument.drawingml.chart+xml"/>
  <Override PartName="/word/charts/chart15.xml" ContentType="application/vnd.openxmlformats-officedocument.drawingml.chart+xml"/>
  <Override PartName="/word/diagrams/quickStyle1.xml" ContentType="application/vnd.openxmlformats-officedocument.drawingml.diagramStyle+xml"/>
  <Override PartName="/word/charts/chart23.xml" ContentType="application/vnd.openxmlformats-officedocument.drawingml.chart+xml"/>
  <Override PartName="/word/charts/chart39.xml" ContentType="application/vnd.openxmlformats-officedocument.drawingml.chart+xml"/>
  <Override PartName="/word/charts/chart9.xml" ContentType="application/vnd.openxmlformats-officedocument.drawingml.chart+xml"/>
  <Override PartName="/word/charts/chart47.xml" ContentType="application/vnd.openxmlformats-officedocument.drawingml.chart+xml"/>
  <Override PartName="/word/charts/chart11.xml" ContentType="application/vnd.openxmlformats-officedocument.drawingml.chart+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7D46DA" w:rsidRDefault="007D46DA" w:rsidP="007D46DA"/>
    <w:p w:rsidR="007D46DA" w:rsidRDefault="007D46DA" w:rsidP="007D46DA"/>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4068"/>
        <w:gridCol w:w="4766"/>
      </w:tblGrid>
      <w:tr w:rsidR="007D46DA">
        <w:trPr>
          <w:trHeight w:val="2150"/>
        </w:trPr>
        <w:tc>
          <w:tcPr>
            <w:tcW w:w="4068" w:type="dxa"/>
            <w:tcBorders>
              <w:top w:val="single" w:sz="6" w:space="0" w:color="auto"/>
              <w:left w:val="single" w:sz="6" w:space="0" w:color="auto"/>
              <w:bottom w:val="single" w:sz="6" w:space="0" w:color="auto"/>
              <w:right w:val="single" w:sz="4" w:space="0" w:color="auto"/>
            </w:tcBorders>
            <w:vAlign w:val="center"/>
          </w:tcPr>
          <w:p w:rsidR="007D46DA" w:rsidRDefault="007D46DA" w:rsidP="006B1499">
            <w:pPr>
              <w:spacing w:before="120"/>
              <w:jc w:val="center"/>
              <w:rPr>
                <w:b/>
                <w:bCs/>
                <w:i/>
                <w:iCs/>
                <w:sz w:val="20"/>
              </w:rPr>
            </w:pPr>
            <w:r>
              <w:rPr>
                <w:b/>
                <w:bCs/>
                <w:i/>
                <w:iCs/>
                <w:noProof/>
                <w:sz w:val="20"/>
              </w:rPr>
              <w:drawing>
                <wp:inline distT="0" distB="0" distL="0" distR="0">
                  <wp:extent cx="2438400" cy="1435100"/>
                  <wp:effectExtent l="25400" t="0" r="0" b="0"/>
                  <wp:docPr id="7" name="Picture 19" descr="WORLD_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LD_MA"/>
                          <pic:cNvPicPr>
                            <a:picLocks noChangeAspect="1" noChangeArrowheads="1"/>
                          </pic:cNvPicPr>
                        </pic:nvPicPr>
                        <pic:blipFill>
                          <a:blip r:embed="rId5"/>
                          <a:srcRect/>
                          <a:stretch>
                            <a:fillRect/>
                          </a:stretch>
                        </pic:blipFill>
                        <pic:spPr bwMode="auto">
                          <a:xfrm>
                            <a:off x="0" y="0"/>
                            <a:ext cx="2438400" cy="1435100"/>
                          </a:xfrm>
                          <a:prstGeom prst="rect">
                            <a:avLst/>
                          </a:prstGeom>
                          <a:noFill/>
                          <a:ln w="9525">
                            <a:noFill/>
                            <a:miter lim="800000"/>
                            <a:headEnd/>
                            <a:tailEnd/>
                          </a:ln>
                        </pic:spPr>
                      </pic:pic>
                    </a:graphicData>
                  </a:graphic>
                </wp:inline>
              </w:drawing>
            </w:r>
          </w:p>
        </w:tc>
        <w:tc>
          <w:tcPr>
            <w:tcW w:w="4766" w:type="dxa"/>
            <w:tcBorders>
              <w:top w:val="single" w:sz="6" w:space="0" w:color="auto"/>
              <w:left w:val="single" w:sz="4" w:space="0" w:color="auto"/>
              <w:bottom w:val="single" w:sz="6" w:space="0" w:color="auto"/>
              <w:right w:val="single" w:sz="6" w:space="0" w:color="auto"/>
            </w:tcBorders>
            <w:vAlign w:val="center"/>
          </w:tcPr>
          <w:p w:rsidR="007D46DA" w:rsidRDefault="007D46DA" w:rsidP="006B1499">
            <w:pPr>
              <w:pStyle w:val="BodyText"/>
              <w:jc w:val="left"/>
              <w:rPr>
                <w:b/>
                <w:bCs/>
                <w:sz w:val="32"/>
                <w:szCs w:val="32"/>
              </w:rPr>
            </w:pPr>
            <w:r>
              <w:rPr>
                <w:b/>
                <w:bCs/>
                <w:sz w:val="36"/>
                <w:szCs w:val="36"/>
              </w:rPr>
              <w:t>Building</w:t>
            </w:r>
            <w:r w:rsidRPr="00175CE0">
              <w:rPr>
                <w:b/>
                <w:bCs/>
                <w:sz w:val="36"/>
                <w:szCs w:val="36"/>
              </w:rPr>
              <w:t xml:space="preserve"> Global</w:t>
            </w:r>
            <w:r>
              <w:rPr>
                <w:b/>
                <w:bCs/>
                <w:sz w:val="36"/>
                <w:szCs w:val="36"/>
              </w:rPr>
              <w:t xml:space="preserve"> Infrastructure</w:t>
            </w:r>
            <w:r w:rsidRPr="00175CE0">
              <w:rPr>
                <w:b/>
                <w:bCs/>
                <w:sz w:val="36"/>
                <w:szCs w:val="36"/>
              </w:rPr>
              <w:t>:</w:t>
            </w:r>
            <w:r>
              <w:rPr>
                <w:b/>
                <w:bCs/>
                <w:sz w:val="38"/>
                <w:szCs w:val="32"/>
              </w:rPr>
              <w:t xml:space="preserve"> </w:t>
            </w:r>
            <w:r w:rsidRPr="00CA3421">
              <w:rPr>
                <w:b/>
                <w:bCs/>
                <w:sz w:val="32"/>
                <w:szCs w:val="32"/>
              </w:rPr>
              <w:t>The Next 50 Years</w:t>
            </w:r>
          </w:p>
          <w:p w:rsidR="007D46DA" w:rsidRPr="00155157" w:rsidRDefault="007D46DA" w:rsidP="006B1499">
            <w:pPr>
              <w:pStyle w:val="BodyText"/>
              <w:jc w:val="left"/>
              <w:rPr>
                <w:b/>
                <w:bCs/>
                <w:sz w:val="44"/>
                <w:szCs w:val="44"/>
              </w:rPr>
            </w:pPr>
            <w:r w:rsidRPr="00155157">
              <w:rPr>
                <w:b/>
                <w:bCs/>
                <w:sz w:val="44"/>
                <w:szCs w:val="44"/>
              </w:rPr>
              <w:t>Patterns of Potential Human Progress</w:t>
            </w:r>
          </w:p>
          <w:p w:rsidR="007D46DA" w:rsidRPr="00F25736" w:rsidRDefault="007D46DA" w:rsidP="006B1499">
            <w:pPr>
              <w:pStyle w:val="BodyText"/>
              <w:jc w:val="left"/>
              <w:rPr>
                <w:b/>
                <w:bCs/>
                <w:sz w:val="38"/>
                <w:szCs w:val="32"/>
              </w:rPr>
            </w:pPr>
            <w:r>
              <w:rPr>
                <w:b/>
                <w:bCs/>
                <w:sz w:val="38"/>
                <w:szCs w:val="32"/>
              </w:rPr>
              <w:t>Volume 4</w:t>
            </w:r>
          </w:p>
        </w:tc>
      </w:tr>
    </w:tbl>
    <w:p w:rsidR="007D46DA" w:rsidRPr="00C66024" w:rsidRDefault="00C66024" w:rsidP="007D46DA">
      <w:pPr>
        <w:pStyle w:val="BodyText"/>
        <w:spacing w:after="0"/>
        <w:jc w:val="center"/>
        <w:rPr>
          <w:color w:val="FF0000"/>
          <w:sz w:val="28"/>
        </w:rPr>
      </w:pPr>
      <w:r w:rsidRPr="00C66024">
        <w:rPr>
          <w:color w:val="FF0000"/>
          <w:sz w:val="28"/>
        </w:rPr>
        <w:t>Draft Manuscript, please do not cite</w:t>
      </w:r>
    </w:p>
    <w:p w:rsidR="007D46DA" w:rsidRDefault="007D46DA" w:rsidP="007D46DA">
      <w:pPr>
        <w:pStyle w:val="BodyText"/>
        <w:spacing w:after="0"/>
        <w:jc w:val="center"/>
        <w:rPr>
          <w:sz w:val="28"/>
        </w:rPr>
      </w:pPr>
    </w:p>
    <w:p w:rsidR="00E90163" w:rsidRDefault="00E90163" w:rsidP="007D46DA">
      <w:pPr>
        <w:pStyle w:val="BodyText"/>
        <w:spacing w:after="0"/>
        <w:jc w:val="center"/>
        <w:rPr>
          <w:sz w:val="28"/>
        </w:rPr>
      </w:pPr>
      <w:r>
        <w:rPr>
          <w:sz w:val="28"/>
        </w:rPr>
        <w:t>Dale S. Rothman</w:t>
      </w:r>
    </w:p>
    <w:p w:rsidR="000F392D" w:rsidRDefault="000F392D" w:rsidP="007D46DA">
      <w:pPr>
        <w:pStyle w:val="BodyText"/>
        <w:spacing w:after="0"/>
        <w:jc w:val="center"/>
        <w:rPr>
          <w:sz w:val="28"/>
        </w:rPr>
      </w:pPr>
      <w:r>
        <w:rPr>
          <w:sz w:val="28"/>
        </w:rPr>
        <w:t>Mohammod T. Irfan</w:t>
      </w:r>
    </w:p>
    <w:p w:rsidR="000F392D" w:rsidRDefault="000F392D" w:rsidP="007D46DA">
      <w:pPr>
        <w:pStyle w:val="BodyText"/>
        <w:spacing w:after="0"/>
        <w:jc w:val="center"/>
        <w:rPr>
          <w:sz w:val="28"/>
        </w:rPr>
      </w:pPr>
      <w:r>
        <w:rPr>
          <w:sz w:val="28"/>
        </w:rPr>
        <w:t>Eli S. Margolese-Malin</w:t>
      </w:r>
    </w:p>
    <w:p w:rsidR="000F392D" w:rsidRDefault="000F392D" w:rsidP="007D46DA">
      <w:pPr>
        <w:pStyle w:val="BodyText"/>
        <w:spacing w:after="0"/>
        <w:jc w:val="center"/>
        <w:rPr>
          <w:sz w:val="28"/>
        </w:rPr>
      </w:pPr>
      <w:r>
        <w:rPr>
          <w:sz w:val="28"/>
        </w:rPr>
        <w:t>Barry B. Hughes</w:t>
      </w:r>
    </w:p>
    <w:p w:rsidR="007D46DA" w:rsidRDefault="000F392D" w:rsidP="007D46DA">
      <w:pPr>
        <w:pStyle w:val="BodyText"/>
        <w:spacing w:after="0"/>
        <w:jc w:val="center"/>
        <w:rPr>
          <w:sz w:val="28"/>
        </w:rPr>
      </w:pPr>
      <w:r>
        <w:rPr>
          <w:sz w:val="28"/>
        </w:rPr>
        <w:t>Jonathan D. Moyer</w:t>
      </w:r>
    </w:p>
    <w:p w:rsidR="007D46DA" w:rsidRDefault="007D46DA" w:rsidP="007D46DA">
      <w:pPr>
        <w:pStyle w:val="BodyText"/>
        <w:spacing w:after="0"/>
        <w:jc w:val="center"/>
        <w:rPr>
          <w:sz w:val="28"/>
        </w:rPr>
      </w:pPr>
    </w:p>
    <w:p w:rsidR="007D46DA" w:rsidRDefault="007D46DA" w:rsidP="007D46DA">
      <w:pPr>
        <w:pStyle w:val="BodyText"/>
        <w:spacing w:after="0"/>
        <w:jc w:val="center"/>
        <w:rPr>
          <w:sz w:val="28"/>
        </w:rPr>
      </w:pPr>
    </w:p>
    <w:p w:rsidR="007D46DA" w:rsidRDefault="007D46DA" w:rsidP="007D46DA">
      <w:pPr>
        <w:pStyle w:val="BodyText"/>
        <w:spacing w:after="0"/>
        <w:jc w:val="center"/>
        <w:rPr>
          <w:sz w:val="28"/>
        </w:rPr>
      </w:pPr>
    </w:p>
    <w:p w:rsidR="007D46DA" w:rsidRDefault="007D46DA" w:rsidP="007D46DA">
      <w:pPr>
        <w:pStyle w:val="BodyText"/>
        <w:spacing w:after="0"/>
        <w:jc w:val="center"/>
        <w:rPr>
          <w:sz w:val="28"/>
        </w:rPr>
      </w:pPr>
    </w:p>
    <w:p w:rsidR="007D46DA" w:rsidRDefault="007D46DA" w:rsidP="007D46DA">
      <w:pPr>
        <w:spacing w:before="120"/>
        <w:jc w:val="both"/>
        <w:rPr>
          <w:sz w:val="20"/>
        </w:rPr>
      </w:pPr>
    </w:p>
    <w:p w:rsidR="007D46DA" w:rsidRDefault="007D46DA" w:rsidP="007D46DA">
      <w:pPr>
        <w:spacing w:before="120"/>
        <w:jc w:val="both"/>
        <w:rPr>
          <w:sz w:val="20"/>
        </w:rPr>
      </w:pPr>
    </w:p>
    <w:tbl>
      <w:tblPr>
        <w:tblW w:w="0" w:type="auto"/>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4068"/>
        <w:gridCol w:w="4766"/>
      </w:tblGrid>
      <w:tr w:rsidR="007D46DA">
        <w:trPr>
          <w:trHeight w:val="2150"/>
        </w:trPr>
        <w:tc>
          <w:tcPr>
            <w:tcW w:w="4068" w:type="dxa"/>
            <w:tcBorders>
              <w:top w:val="single" w:sz="6" w:space="0" w:color="auto"/>
              <w:left w:val="single" w:sz="6" w:space="0" w:color="auto"/>
              <w:bottom w:val="single" w:sz="6" w:space="0" w:color="auto"/>
              <w:right w:val="single" w:sz="4" w:space="0" w:color="auto"/>
            </w:tcBorders>
            <w:vAlign w:val="center"/>
          </w:tcPr>
          <w:p w:rsidR="007D46DA" w:rsidRDefault="007D46DA" w:rsidP="006B1499">
            <w:pPr>
              <w:pStyle w:val="BodyText"/>
              <w:spacing w:after="0"/>
              <w:jc w:val="center"/>
              <w:rPr>
                <w:sz w:val="28"/>
              </w:rPr>
            </w:pPr>
          </w:p>
          <w:p w:rsidR="007D46DA" w:rsidRDefault="007D46DA" w:rsidP="006B1499">
            <w:pPr>
              <w:pStyle w:val="BodyText"/>
              <w:spacing w:before="0" w:after="0"/>
              <w:jc w:val="center"/>
              <w:rPr>
                <w:sz w:val="28"/>
              </w:rPr>
            </w:pPr>
            <w:r>
              <w:rPr>
                <w:sz w:val="28"/>
              </w:rPr>
              <w:t>Frederick S. Pardee</w:t>
            </w:r>
          </w:p>
          <w:p w:rsidR="007D46DA" w:rsidRDefault="007D46DA" w:rsidP="006B1499">
            <w:pPr>
              <w:pStyle w:val="BodyText"/>
              <w:spacing w:before="0" w:after="0"/>
              <w:jc w:val="center"/>
              <w:rPr>
                <w:sz w:val="28"/>
              </w:rPr>
            </w:pPr>
            <w:r>
              <w:rPr>
                <w:sz w:val="28"/>
              </w:rPr>
              <w:t>Center for International Futures</w:t>
            </w:r>
          </w:p>
          <w:p w:rsidR="007D46DA" w:rsidRDefault="007D46DA" w:rsidP="006B1499">
            <w:pPr>
              <w:pStyle w:val="BodyText"/>
              <w:spacing w:after="0"/>
              <w:jc w:val="center"/>
              <w:rPr>
                <w:sz w:val="28"/>
              </w:rPr>
            </w:pPr>
            <w:r>
              <w:rPr>
                <w:sz w:val="28"/>
              </w:rPr>
              <w:t xml:space="preserve">Josef Korbel School of </w:t>
            </w:r>
          </w:p>
          <w:p w:rsidR="007D46DA" w:rsidRDefault="007D46DA" w:rsidP="006B1499">
            <w:pPr>
              <w:pStyle w:val="BodyText"/>
              <w:spacing w:before="0" w:after="0"/>
              <w:jc w:val="center"/>
              <w:rPr>
                <w:sz w:val="28"/>
              </w:rPr>
            </w:pPr>
            <w:r>
              <w:rPr>
                <w:sz w:val="28"/>
              </w:rPr>
              <w:t>International Studies</w:t>
            </w:r>
          </w:p>
          <w:p w:rsidR="007D46DA" w:rsidRDefault="007D46DA" w:rsidP="006B1499">
            <w:pPr>
              <w:pStyle w:val="BodyText"/>
              <w:spacing w:before="0" w:after="0"/>
              <w:jc w:val="center"/>
              <w:rPr>
                <w:sz w:val="28"/>
              </w:rPr>
            </w:pPr>
          </w:p>
          <w:p w:rsidR="007D46DA" w:rsidRDefault="007D46DA" w:rsidP="006B1499">
            <w:pPr>
              <w:pStyle w:val="BodyText"/>
              <w:spacing w:before="0" w:after="0"/>
              <w:jc w:val="center"/>
              <w:rPr>
                <w:sz w:val="28"/>
              </w:rPr>
            </w:pPr>
            <w:r>
              <w:rPr>
                <w:sz w:val="28"/>
              </w:rPr>
              <w:t xml:space="preserve">University of Denver </w:t>
            </w:r>
          </w:p>
          <w:p w:rsidR="007D46DA" w:rsidRPr="00B97C21" w:rsidRDefault="007D46DA" w:rsidP="006B1499">
            <w:pPr>
              <w:pStyle w:val="BodyText"/>
              <w:spacing w:before="0" w:after="0"/>
              <w:jc w:val="center"/>
              <w:rPr>
                <w:szCs w:val="24"/>
              </w:rPr>
            </w:pPr>
            <w:r w:rsidRPr="00E935F8">
              <w:rPr>
                <w:szCs w:val="24"/>
              </w:rPr>
              <w:t xml:space="preserve"> </w:t>
            </w:r>
          </w:p>
          <w:p w:rsidR="007D46DA" w:rsidRDefault="00053A06" w:rsidP="006B1499">
            <w:pPr>
              <w:pStyle w:val="BodyText"/>
              <w:spacing w:before="0" w:after="0"/>
              <w:jc w:val="center"/>
              <w:rPr>
                <w:sz w:val="28"/>
              </w:rPr>
            </w:pPr>
            <w:r>
              <w:rPr>
                <w:sz w:val="28"/>
              </w:rPr>
              <w:t>May</w:t>
            </w:r>
            <w:r w:rsidR="007D46DA">
              <w:rPr>
                <w:sz w:val="28"/>
              </w:rPr>
              <w:t>, 2012</w:t>
            </w:r>
          </w:p>
          <w:p w:rsidR="007D46DA" w:rsidRPr="00C94C02" w:rsidRDefault="007D46DA" w:rsidP="006B1499">
            <w:pPr>
              <w:pStyle w:val="BodyText"/>
              <w:spacing w:before="0" w:after="0"/>
              <w:jc w:val="center"/>
              <w:rPr>
                <w:sz w:val="28"/>
              </w:rPr>
            </w:pPr>
          </w:p>
        </w:tc>
        <w:tc>
          <w:tcPr>
            <w:tcW w:w="4766" w:type="dxa"/>
            <w:tcBorders>
              <w:top w:val="single" w:sz="6" w:space="0" w:color="auto"/>
              <w:left w:val="single" w:sz="4" w:space="0" w:color="auto"/>
              <w:bottom w:val="single" w:sz="6" w:space="0" w:color="auto"/>
              <w:right w:val="single" w:sz="6" w:space="0" w:color="auto"/>
            </w:tcBorders>
            <w:vAlign w:val="center"/>
          </w:tcPr>
          <w:p w:rsidR="007D46DA" w:rsidRPr="0095626E" w:rsidRDefault="007D46DA" w:rsidP="006B1499">
            <w:pPr>
              <w:spacing w:before="120"/>
              <w:jc w:val="center"/>
              <w:rPr>
                <w:sz w:val="20"/>
              </w:rPr>
            </w:pPr>
            <w:r w:rsidRPr="0095626E">
              <w:rPr>
                <w:noProof/>
                <w:sz w:val="20"/>
              </w:rPr>
              <w:drawing>
                <wp:inline distT="0" distB="0" distL="0" distR="0">
                  <wp:extent cx="2878455" cy="1024255"/>
                  <wp:effectExtent l="2540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878455" cy="1024255"/>
                          </a:xfrm>
                          <a:prstGeom prst="rect">
                            <a:avLst/>
                          </a:prstGeom>
                          <a:noFill/>
                          <a:ln w="9525">
                            <a:noFill/>
                            <a:miter lim="800000"/>
                            <a:headEnd/>
                            <a:tailEnd/>
                          </a:ln>
                        </pic:spPr>
                      </pic:pic>
                    </a:graphicData>
                  </a:graphic>
                </wp:inline>
              </w:drawing>
            </w:r>
          </w:p>
        </w:tc>
      </w:tr>
    </w:tbl>
    <w:p w:rsidR="007D46DA" w:rsidRDefault="007D46DA" w:rsidP="007D46DA">
      <w:pPr>
        <w:spacing w:before="120"/>
        <w:jc w:val="both"/>
        <w:rPr>
          <w:sz w:val="20"/>
        </w:rPr>
      </w:pPr>
    </w:p>
    <w:p w:rsidR="007D46DA" w:rsidRPr="00252B6B" w:rsidRDefault="007D46DA" w:rsidP="007D46DA">
      <w:pPr>
        <w:pStyle w:val="BodyText"/>
        <w:jc w:val="left"/>
        <w:rPr>
          <w:b/>
          <w:bCs/>
          <w:sz w:val="38"/>
          <w:szCs w:val="32"/>
        </w:rPr>
      </w:pPr>
      <w:r w:rsidRPr="00252B6B">
        <w:rPr>
          <w:b/>
          <w:bCs/>
          <w:sz w:val="38"/>
          <w:szCs w:val="32"/>
        </w:rPr>
        <w:t>Patterns of Potential Human Progress</w:t>
      </w:r>
    </w:p>
    <w:p w:rsidR="007D46DA" w:rsidRPr="00252B6B" w:rsidRDefault="007D46DA" w:rsidP="007D46DA">
      <w:pPr>
        <w:pStyle w:val="BodyText"/>
        <w:jc w:val="left"/>
        <w:rPr>
          <w:b/>
          <w:bCs/>
          <w:sz w:val="28"/>
          <w:szCs w:val="28"/>
        </w:rPr>
      </w:pPr>
      <w:r>
        <w:rPr>
          <w:b/>
          <w:bCs/>
          <w:sz w:val="38"/>
          <w:szCs w:val="32"/>
        </w:rPr>
        <w:t>Volume 4</w:t>
      </w:r>
      <w:r w:rsidRPr="00252B6B">
        <w:rPr>
          <w:b/>
          <w:bCs/>
          <w:sz w:val="38"/>
          <w:szCs w:val="32"/>
        </w:rPr>
        <w:t xml:space="preserve">: </w:t>
      </w:r>
      <w:r>
        <w:rPr>
          <w:b/>
          <w:bCs/>
          <w:sz w:val="38"/>
          <w:szCs w:val="32"/>
        </w:rPr>
        <w:t>Building</w:t>
      </w:r>
      <w:r w:rsidRPr="00252B6B">
        <w:rPr>
          <w:b/>
          <w:bCs/>
          <w:sz w:val="38"/>
          <w:szCs w:val="32"/>
        </w:rPr>
        <w:t xml:space="preserve"> Global </w:t>
      </w:r>
      <w:r>
        <w:rPr>
          <w:b/>
          <w:bCs/>
          <w:sz w:val="38"/>
          <w:szCs w:val="32"/>
        </w:rPr>
        <w:t>Infrastructure</w:t>
      </w:r>
    </w:p>
    <w:p w:rsidR="007D46DA" w:rsidRPr="00252B6B" w:rsidRDefault="007D46DA" w:rsidP="007D46DA">
      <w:pPr>
        <w:pStyle w:val="BodyText"/>
      </w:pPr>
      <w:r w:rsidRPr="00252B6B">
        <w:rPr>
          <w:b/>
          <w:bCs/>
        </w:rPr>
        <w:t>Table of Contents</w:t>
      </w:r>
    </w:p>
    <w:p w:rsidR="001E2660" w:rsidRDefault="00F7383F">
      <w:pPr>
        <w:pStyle w:val="TOC1"/>
        <w:tabs>
          <w:tab w:val="right" w:leader="dot" w:pos="9350"/>
        </w:tabs>
        <w:rPr>
          <w:rFonts w:asciiTheme="minorHAnsi" w:eastAsiaTheme="minorEastAsia" w:hAnsiTheme="minorHAnsi" w:cstheme="minorBidi"/>
          <w:noProof/>
          <w:szCs w:val="24"/>
        </w:rPr>
      </w:pPr>
      <w:r w:rsidRPr="00E04D31">
        <w:rPr>
          <w:b/>
          <w:bCs/>
          <w:color w:val="000000"/>
        </w:rPr>
        <w:fldChar w:fldCharType="begin"/>
      </w:r>
      <w:r w:rsidR="007D46DA" w:rsidRPr="00E04D31">
        <w:rPr>
          <w:b/>
          <w:bCs/>
          <w:color w:val="000000"/>
        </w:rPr>
        <w:instrText xml:space="preserve"> TOC \o "1-4" \h \z \u </w:instrText>
      </w:r>
      <w:r w:rsidRPr="00E04D31">
        <w:rPr>
          <w:b/>
          <w:bCs/>
          <w:color w:val="000000"/>
        </w:rPr>
        <w:fldChar w:fldCharType="separate"/>
      </w:r>
      <w:r w:rsidR="001E2660">
        <w:rPr>
          <w:noProof/>
        </w:rPr>
        <w:t>Preface</w:t>
      </w:r>
      <w:r w:rsidR="001E2660">
        <w:rPr>
          <w:noProof/>
        </w:rPr>
        <w:tab/>
      </w:r>
      <w:r>
        <w:rPr>
          <w:noProof/>
        </w:rPr>
        <w:fldChar w:fldCharType="begin"/>
      </w:r>
      <w:r w:rsidR="001E2660">
        <w:rPr>
          <w:noProof/>
        </w:rPr>
        <w:instrText xml:space="preserve"> PAGEREF _Toc200095248 \h </w:instrText>
      </w:r>
      <w:r w:rsidR="00C66024">
        <w:rPr>
          <w:noProof/>
        </w:rPr>
      </w:r>
      <w:r>
        <w:rPr>
          <w:noProof/>
        </w:rPr>
        <w:fldChar w:fldCharType="separate"/>
      </w:r>
      <w:r w:rsidR="001E2660">
        <w:rPr>
          <w:noProof/>
        </w:rPr>
        <w:t>v</w:t>
      </w:r>
      <w:r>
        <w:rPr>
          <w:noProof/>
        </w:rPr>
        <w:fldChar w:fldCharType="end"/>
      </w:r>
    </w:p>
    <w:p w:rsidR="001E2660" w:rsidRDefault="001E2660">
      <w:pPr>
        <w:pStyle w:val="TOC1"/>
        <w:tabs>
          <w:tab w:val="right" w:leader="dot" w:pos="9350"/>
        </w:tabs>
        <w:rPr>
          <w:rFonts w:asciiTheme="minorHAnsi" w:eastAsiaTheme="minorEastAsia" w:hAnsiTheme="minorHAnsi" w:cstheme="minorBidi"/>
          <w:noProof/>
          <w:szCs w:val="24"/>
        </w:rPr>
      </w:pPr>
      <w:r>
        <w:rPr>
          <w:noProof/>
        </w:rPr>
        <w:t>Acknowledgements</w:t>
      </w:r>
      <w:r>
        <w:rPr>
          <w:noProof/>
        </w:rPr>
        <w:tab/>
      </w:r>
      <w:r w:rsidR="00F7383F">
        <w:rPr>
          <w:noProof/>
        </w:rPr>
        <w:fldChar w:fldCharType="begin"/>
      </w:r>
      <w:r>
        <w:rPr>
          <w:noProof/>
        </w:rPr>
        <w:instrText xml:space="preserve"> PAGEREF _Toc200095249 \h </w:instrText>
      </w:r>
      <w:r w:rsidR="00C66024">
        <w:rPr>
          <w:noProof/>
        </w:rPr>
      </w:r>
      <w:r w:rsidR="00F7383F">
        <w:rPr>
          <w:noProof/>
        </w:rPr>
        <w:fldChar w:fldCharType="separate"/>
      </w:r>
      <w:r>
        <w:rPr>
          <w:noProof/>
        </w:rPr>
        <w:t>viii</w:t>
      </w:r>
      <w:r w:rsidR="00F7383F">
        <w:rPr>
          <w:noProof/>
        </w:rPr>
        <w:fldChar w:fldCharType="end"/>
      </w:r>
    </w:p>
    <w:p w:rsidR="001E2660" w:rsidRDefault="001E2660">
      <w:pPr>
        <w:pStyle w:val="TOC1"/>
        <w:tabs>
          <w:tab w:val="right" w:leader="dot" w:pos="9350"/>
        </w:tabs>
        <w:rPr>
          <w:rFonts w:asciiTheme="minorHAnsi" w:eastAsiaTheme="minorEastAsia" w:hAnsiTheme="minorHAnsi" w:cstheme="minorBidi"/>
          <w:noProof/>
          <w:szCs w:val="24"/>
        </w:rPr>
      </w:pPr>
      <w:r w:rsidRPr="004972E7">
        <w:rPr>
          <w:noProof/>
          <w:color w:val="000000"/>
        </w:rPr>
        <w:t>1. Introduction</w:t>
      </w:r>
      <w:r>
        <w:rPr>
          <w:noProof/>
        </w:rPr>
        <w:tab/>
      </w:r>
      <w:r w:rsidR="00F7383F">
        <w:rPr>
          <w:noProof/>
        </w:rPr>
        <w:fldChar w:fldCharType="begin"/>
      </w:r>
      <w:r>
        <w:rPr>
          <w:noProof/>
        </w:rPr>
        <w:instrText xml:space="preserve"> PAGEREF _Toc200095250 \h </w:instrText>
      </w:r>
      <w:r w:rsidR="00C66024">
        <w:rPr>
          <w:noProof/>
        </w:rPr>
      </w:r>
      <w:r w:rsidR="00F7383F">
        <w:rPr>
          <w:noProof/>
        </w:rPr>
        <w:fldChar w:fldCharType="separate"/>
      </w:r>
      <w:r>
        <w:rPr>
          <w:noProof/>
        </w:rPr>
        <w:t>1</w:t>
      </w:r>
      <w:r w:rsidR="00F7383F">
        <w:rPr>
          <w:noProof/>
        </w:rPr>
        <w:fldChar w:fldCharType="end"/>
      </w:r>
    </w:p>
    <w:p w:rsidR="001E2660" w:rsidRDefault="001E2660">
      <w:pPr>
        <w:pStyle w:val="TOC2"/>
        <w:tabs>
          <w:tab w:val="left" w:pos="780"/>
          <w:tab w:val="right" w:leader="dot" w:pos="9350"/>
        </w:tabs>
        <w:rPr>
          <w:rFonts w:asciiTheme="minorHAnsi" w:eastAsiaTheme="minorEastAsia" w:hAnsiTheme="minorHAnsi" w:cstheme="minorBidi"/>
          <w:noProof/>
          <w:szCs w:val="24"/>
        </w:rPr>
      </w:pPr>
      <w:r>
        <w:rPr>
          <w:noProof/>
        </w:rPr>
        <w:t>1.1</w:t>
      </w:r>
      <w:r>
        <w:rPr>
          <w:rFonts w:asciiTheme="minorHAnsi" w:eastAsiaTheme="minorEastAsia" w:hAnsiTheme="minorHAnsi" w:cstheme="minorBidi"/>
          <w:noProof/>
          <w:szCs w:val="24"/>
        </w:rPr>
        <w:tab/>
      </w:r>
      <w:r>
        <w:rPr>
          <w:noProof/>
        </w:rPr>
        <w:t>The What and Why of Infrastructure</w:t>
      </w:r>
      <w:r>
        <w:rPr>
          <w:noProof/>
        </w:rPr>
        <w:tab/>
      </w:r>
      <w:r w:rsidR="00F7383F">
        <w:rPr>
          <w:noProof/>
        </w:rPr>
        <w:fldChar w:fldCharType="begin"/>
      </w:r>
      <w:r>
        <w:rPr>
          <w:noProof/>
        </w:rPr>
        <w:instrText xml:space="preserve"> PAGEREF _Toc200095251 \h </w:instrText>
      </w:r>
      <w:r w:rsidR="00C66024">
        <w:rPr>
          <w:noProof/>
        </w:rPr>
      </w:r>
      <w:r w:rsidR="00F7383F">
        <w:rPr>
          <w:noProof/>
        </w:rPr>
        <w:fldChar w:fldCharType="separate"/>
      </w:r>
      <w:r>
        <w:rPr>
          <w:noProof/>
        </w:rPr>
        <w:t>2</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1.1.1</w:t>
      </w:r>
      <w:r>
        <w:rPr>
          <w:rFonts w:asciiTheme="minorHAnsi" w:eastAsiaTheme="minorEastAsia" w:hAnsiTheme="minorHAnsi" w:cstheme="minorBidi"/>
          <w:noProof/>
          <w:szCs w:val="24"/>
        </w:rPr>
        <w:tab/>
      </w:r>
      <w:r>
        <w:rPr>
          <w:noProof/>
        </w:rPr>
        <w:t>What is infrastructure?</w:t>
      </w:r>
      <w:r>
        <w:rPr>
          <w:noProof/>
        </w:rPr>
        <w:tab/>
      </w:r>
      <w:r w:rsidR="00F7383F">
        <w:rPr>
          <w:noProof/>
        </w:rPr>
        <w:fldChar w:fldCharType="begin"/>
      </w:r>
      <w:r>
        <w:rPr>
          <w:noProof/>
        </w:rPr>
        <w:instrText xml:space="preserve"> PAGEREF _Toc200095252 \h </w:instrText>
      </w:r>
      <w:r w:rsidR="00C66024">
        <w:rPr>
          <w:noProof/>
        </w:rPr>
      </w:r>
      <w:r w:rsidR="00F7383F">
        <w:rPr>
          <w:noProof/>
        </w:rPr>
        <w:fldChar w:fldCharType="separate"/>
      </w:r>
      <w:r>
        <w:rPr>
          <w:noProof/>
        </w:rPr>
        <w:t>2</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1.1.2</w:t>
      </w:r>
      <w:r>
        <w:rPr>
          <w:rFonts w:asciiTheme="minorHAnsi" w:eastAsiaTheme="minorEastAsia" w:hAnsiTheme="minorHAnsi" w:cstheme="minorBidi"/>
          <w:noProof/>
          <w:szCs w:val="24"/>
        </w:rPr>
        <w:tab/>
      </w:r>
      <w:r>
        <w:rPr>
          <w:noProof/>
        </w:rPr>
        <w:t>The importance of infrastructure</w:t>
      </w:r>
      <w:r>
        <w:rPr>
          <w:noProof/>
        </w:rPr>
        <w:tab/>
      </w:r>
      <w:r w:rsidR="00F7383F">
        <w:rPr>
          <w:noProof/>
        </w:rPr>
        <w:fldChar w:fldCharType="begin"/>
      </w:r>
      <w:r>
        <w:rPr>
          <w:noProof/>
        </w:rPr>
        <w:instrText xml:space="preserve"> PAGEREF _Toc200095253 \h </w:instrText>
      </w:r>
      <w:r w:rsidR="00C66024">
        <w:rPr>
          <w:noProof/>
        </w:rPr>
      </w:r>
      <w:r w:rsidR="00F7383F">
        <w:rPr>
          <w:noProof/>
        </w:rPr>
        <w:fldChar w:fldCharType="separate"/>
      </w:r>
      <w:r>
        <w:rPr>
          <w:noProof/>
        </w:rPr>
        <w:t>4</w:t>
      </w:r>
      <w:r w:rsidR="00F7383F">
        <w:rPr>
          <w:noProof/>
        </w:rPr>
        <w:fldChar w:fldCharType="end"/>
      </w:r>
    </w:p>
    <w:p w:rsidR="001E2660" w:rsidRDefault="001E2660">
      <w:pPr>
        <w:pStyle w:val="TOC2"/>
        <w:tabs>
          <w:tab w:val="left" w:pos="780"/>
          <w:tab w:val="right" w:leader="dot" w:pos="9350"/>
        </w:tabs>
        <w:rPr>
          <w:rFonts w:asciiTheme="minorHAnsi" w:eastAsiaTheme="minorEastAsia" w:hAnsiTheme="minorHAnsi" w:cstheme="minorBidi"/>
          <w:noProof/>
          <w:szCs w:val="24"/>
        </w:rPr>
      </w:pPr>
      <w:r>
        <w:rPr>
          <w:noProof/>
        </w:rPr>
        <w:t>1.2</w:t>
      </w:r>
      <w:r>
        <w:rPr>
          <w:rFonts w:asciiTheme="minorHAnsi" w:eastAsiaTheme="minorEastAsia" w:hAnsiTheme="minorHAnsi" w:cstheme="minorBidi"/>
          <w:noProof/>
          <w:szCs w:val="24"/>
        </w:rPr>
        <w:tab/>
      </w:r>
      <w:r>
        <w:rPr>
          <w:noProof/>
        </w:rPr>
        <w:t>The Past and Present of Global Infrastructure</w:t>
      </w:r>
      <w:r>
        <w:rPr>
          <w:noProof/>
        </w:rPr>
        <w:tab/>
      </w:r>
      <w:r w:rsidR="00F7383F">
        <w:rPr>
          <w:noProof/>
        </w:rPr>
        <w:fldChar w:fldCharType="begin"/>
      </w:r>
      <w:r>
        <w:rPr>
          <w:noProof/>
        </w:rPr>
        <w:instrText xml:space="preserve"> PAGEREF _Toc200095254 \h </w:instrText>
      </w:r>
      <w:r w:rsidR="00C66024">
        <w:rPr>
          <w:noProof/>
        </w:rPr>
      </w:r>
      <w:r w:rsidR="00F7383F">
        <w:rPr>
          <w:noProof/>
        </w:rPr>
        <w:fldChar w:fldCharType="separate"/>
      </w:r>
      <w:r>
        <w:rPr>
          <w:noProof/>
        </w:rPr>
        <w:t>7</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1.2.1</w:t>
      </w:r>
      <w:r>
        <w:rPr>
          <w:rFonts w:asciiTheme="minorHAnsi" w:eastAsiaTheme="minorEastAsia" w:hAnsiTheme="minorHAnsi" w:cstheme="minorBidi"/>
          <w:noProof/>
          <w:szCs w:val="24"/>
        </w:rPr>
        <w:tab/>
      </w:r>
      <w:r>
        <w:rPr>
          <w:noProof/>
        </w:rPr>
        <w:t>Infrastructure through the ages</w:t>
      </w:r>
      <w:r>
        <w:rPr>
          <w:noProof/>
        </w:rPr>
        <w:tab/>
      </w:r>
      <w:r w:rsidR="00F7383F">
        <w:rPr>
          <w:noProof/>
        </w:rPr>
        <w:fldChar w:fldCharType="begin"/>
      </w:r>
      <w:r>
        <w:rPr>
          <w:noProof/>
        </w:rPr>
        <w:instrText xml:space="preserve"> PAGEREF _Toc200095255 \h </w:instrText>
      </w:r>
      <w:r w:rsidR="00C66024">
        <w:rPr>
          <w:noProof/>
        </w:rPr>
      </w:r>
      <w:r w:rsidR="00F7383F">
        <w:rPr>
          <w:noProof/>
        </w:rPr>
        <w:fldChar w:fldCharType="separate"/>
      </w:r>
      <w:r>
        <w:rPr>
          <w:noProof/>
        </w:rPr>
        <w:t>7</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1.2.2</w:t>
      </w:r>
      <w:r>
        <w:rPr>
          <w:rFonts w:asciiTheme="minorHAnsi" w:eastAsiaTheme="minorEastAsia" w:hAnsiTheme="minorHAnsi" w:cstheme="minorBidi"/>
          <w:noProof/>
          <w:szCs w:val="24"/>
        </w:rPr>
        <w:tab/>
      </w:r>
      <w:r>
        <w:rPr>
          <w:noProof/>
        </w:rPr>
        <w:t>Infrastructure’s current extent</w:t>
      </w:r>
      <w:r>
        <w:rPr>
          <w:noProof/>
        </w:rPr>
        <w:tab/>
      </w:r>
      <w:r w:rsidR="00F7383F">
        <w:rPr>
          <w:noProof/>
        </w:rPr>
        <w:fldChar w:fldCharType="begin"/>
      </w:r>
      <w:r>
        <w:rPr>
          <w:noProof/>
        </w:rPr>
        <w:instrText xml:space="preserve"> PAGEREF _Toc200095256 \h </w:instrText>
      </w:r>
      <w:r w:rsidR="00C66024">
        <w:rPr>
          <w:noProof/>
        </w:rPr>
      </w:r>
      <w:r w:rsidR="00F7383F">
        <w:rPr>
          <w:noProof/>
        </w:rPr>
        <w:fldChar w:fldCharType="separate"/>
      </w:r>
      <w:r>
        <w:rPr>
          <w:noProof/>
        </w:rPr>
        <w:t>10</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1.2.3</w:t>
      </w:r>
      <w:r>
        <w:rPr>
          <w:rFonts w:asciiTheme="minorHAnsi" w:eastAsiaTheme="minorEastAsia" w:hAnsiTheme="minorHAnsi" w:cstheme="minorBidi"/>
          <w:noProof/>
          <w:szCs w:val="24"/>
        </w:rPr>
        <w:tab/>
      </w:r>
      <w:r>
        <w:rPr>
          <w:noProof/>
        </w:rPr>
        <w:t>The challenges and opportunities looking forward</w:t>
      </w:r>
      <w:r>
        <w:rPr>
          <w:noProof/>
        </w:rPr>
        <w:tab/>
      </w:r>
      <w:r w:rsidR="00F7383F">
        <w:rPr>
          <w:noProof/>
        </w:rPr>
        <w:fldChar w:fldCharType="begin"/>
      </w:r>
      <w:r>
        <w:rPr>
          <w:noProof/>
        </w:rPr>
        <w:instrText xml:space="preserve"> PAGEREF _Toc200095257 \h </w:instrText>
      </w:r>
      <w:r w:rsidR="00C66024">
        <w:rPr>
          <w:noProof/>
        </w:rPr>
      </w:r>
      <w:r w:rsidR="00F7383F">
        <w:rPr>
          <w:noProof/>
        </w:rPr>
        <w:fldChar w:fldCharType="separate"/>
      </w:r>
      <w:r>
        <w:rPr>
          <w:noProof/>
        </w:rPr>
        <w:t>12</w:t>
      </w:r>
      <w:r w:rsidR="00F7383F">
        <w:rPr>
          <w:noProof/>
        </w:rPr>
        <w:fldChar w:fldCharType="end"/>
      </w:r>
    </w:p>
    <w:p w:rsidR="001E2660" w:rsidRDefault="001E2660">
      <w:pPr>
        <w:pStyle w:val="TOC2"/>
        <w:tabs>
          <w:tab w:val="left" w:pos="780"/>
          <w:tab w:val="right" w:leader="dot" w:pos="9350"/>
        </w:tabs>
        <w:rPr>
          <w:rFonts w:asciiTheme="minorHAnsi" w:eastAsiaTheme="minorEastAsia" w:hAnsiTheme="minorHAnsi" w:cstheme="minorBidi"/>
          <w:noProof/>
          <w:szCs w:val="24"/>
        </w:rPr>
      </w:pPr>
      <w:r>
        <w:rPr>
          <w:noProof/>
        </w:rPr>
        <w:t>1.3</w:t>
      </w:r>
      <w:r>
        <w:rPr>
          <w:rFonts w:asciiTheme="minorHAnsi" w:eastAsiaTheme="minorEastAsia" w:hAnsiTheme="minorHAnsi" w:cstheme="minorBidi"/>
          <w:noProof/>
          <w:szCs w:val="24"/>
        </w:rPr>
        <w:tab/>
      </w:r>
      <w:r>
        <w:rPr>
          <w:noProof/>
        </w:rPr>
        <w:t>Looking Toward the Future of Global Infrastructure</w:t>
      </w:r>
      <w:r>
        <w:rPr>
          <w:noProof/>
        </w:rPr>
        <w:tab/>
      </w:r>
      <w:r w:rsidR="00F7383F">
        <w:rPr>
          <w:noProof/>
        </w:rPr>
        <w:fldChar w:fldCharType="begin"/>
      </w:r>
      <w:r>
        <w:rPr>
          <w:noProof/>
        </w:rPr>
        <w:instrText xml:space="preserve"> PAGEREF _Toc200095258 \h </w:instrText>
      </w:r>
      <w:r w:rsidR="00C66024">
        <w:rPr>
          <w:noProof/>
        </w:rPr>
      </w:r>
      <w:r w:rsidR="00F7383F">
        <w:rPr>
          <w:noProof/>
        </w:rPr>
        <w:fldChar w:fldCharType="separate"/>
      </w:r>
      <w:r>
        <w:rPr>
          <w:noProof/>
        </w:rPr>
        <w:t>15</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1.3.1</w:t>
      </w:r>
      <w:r>
        <w:rPr>
          <w:rFonts w:asciiTheme="minorHAnsi" w:eastAsiaTheme="minorEastAsia" w:hAnsiTheme="minorHAnsi" w:cstheme="minorBidi"/>
          <w:noProof/>
          <w:szCs w:val="24"/>
        </w:rPr>
        <w:tab/>
      </w:r>
      <w:r>
        <w:rPr>
          <w:noProof/>
        </w:rPr>
        <w:t>Goals and targets</w:t>
      </w:r>
      <w:r>
        <w:rPr>
          <w:noProof/>
        </w:rPr>
        <w:tab/>
      </w:r>
      <w:r w:rsidR="00F7383F">
        <w:rPr>
          <w:noProof/>
        </w:rPr>
        <w:fldChar w:fldCharType="begin"/>
      </w:r>
      <w:r>
        <w:rPr>
          <w:noProof/>
        </w:rPr>
        <w:instrText xml:space="preserve"> PAGEREF _Toc200095259 \h </w:instrText>
      </w:r>
      <w:r w:rsidR="00C66024">
        <w:rPr>
          <w:noProof/>
        </w:rPr>
      </w:r>
      <w:r w:rsidR="00F7383F">
        <w:rPr>
          <w:noProof/>
        </w:rPr>
        <w:fldChar w:fldCharType="separate"/>
      </w:r>
      <w:r>
        <w:rPr>
          <w:noProof/>
        </w:rPr>
        <w:t>15</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1.3.2</w:t>
      </w:r>
      <w:r>
        <w:rPr>
          <w:rFonts w:asciiTheme="minorHAnsi" w:eastAsiaTheme="minorEastAsia" w:hAnsiTheme="minorHAnsi" w:cstheme="minorBidi"/>
          <w:noProof/>
          <w:szCs w:val="24"/>
        </w:rPr>
        <w:tab/>
      </w:r>
      <w:r>
        <w:rPr>
          <w:noProof/>
        </w:rPr>
        <w:t>Existing international analyses of infrastructure and infrastructure futures</w:t>
      </w:r>
      <w:r>
        <w:rPr>
          <w:noProof/>
        </w:rPr>
        <w:tab/>
      </w:r>
      <w:r w:rsidR="00F7383F">
        <w:rPr>
          <w:noProof/>
        </w:rPr>
        <w:fldChar w:fldCharType="begin"/>
      </w:r>
      <w:r>
        <w:rPr>
          <w:noProof/>
        </w:rPr>
        <w:instrText xml:space="preserve"> PAGEREF _Toc200095260 \h </w:instrText>
      </w:r>
      <w:r w:rsidR="00C66024">
        <w:rPr>
          <w:noProof/>
        </w:rPr>
      </w:r>
      <w:r w:rsidR="00F7383F">
        <w:rPr>
          <w:noProof/>
        </w:rPr>
        <w:fldChar w:fldCharType="separate"/>
      </w:r>
      <w:r>
        <w:rPr>
          <w:noProof/>
        </w:rPr>
        <w:t>16</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1.3.3</w:t>
      </w:r>
      <w:r>
        <w:rPr>
          <w:rFonts w:asciiTheme="minorHAnsi" w:eastAsiaTheme="minorEastAsia" w:hAnsiTheme="minorHAnsi" w:cstheme="minorBidi"/>
          <w:noProof/>
          <w:szCs w:val="24"/>
        </w:rPr>
        <w:tab/>
      </w:r>
      <w:r>
        <w:rPr>
          <w:noProof/>
        </w:rPr>
        <w:t>Forecasts of infrastructure futures</w:t>
      </w:r>
      <w:r>
        <w:rPr>
          <w:noProof/>
        </w:rPr>
        <w:tab/>
      </w:r>
      <w:r w:rsidR="00F7383F">
        <w:rPr>
          <w:noProof/>
        </w:rPr>
        <w:fldChar w:fldCharType="begin"/>
      </w:r>
      <w:r>
        <w:rPr>
          <w:noProof/>
        </w:rPr>
        <w:instrText xml:space="preserve"> PAGEREF _Toc200095261 \h </w:instrText>
      </w:r>
      <w:r w:rsidR="00C66024">
        <w:rPr>
          <w:noProof/>
        </w:rPr>
      </w:r>
      <w:r w:rsidR="00F7383F">
        <w:rPr>
          <w:noProof/>
        </w:rPr>
        <w:fldChar w:fldCharType="separate"/>
      </w:r>
      <w:r>
        <w:rPr>
          <w:noProof/>
        </w:rPr>
        <w:t>18</w:t>
      </w:r>
      <w:r w:rsidR="00F7383F">
        <w:rPr>
          <w:noProof/>
        </w:rPr>
        <w:fldChar w:fldCharType="end"/>
      </w:r>
    </w:p>
    <w:p w:rsidR="001E2660" w:rsidRDefault="001E2660">
      <w:pPr>
        <w:pStyle w:val="TOC2"/>
        <w:tabs>
          <w:tab w:val="left" w:pos="780"/>
          <w:tab w:val="right" w:leader="dot" w:pos="9350"/>
        </w:tabs>
        <w:rPr>
          <w:rFonts w:asciiTheme="minorHAnsi" w:eastAsiaTheme="minorEastAsia" w:hAnsiTheme="minorHAnsi" w:cstheme="minorBidi"/>
          <w:noProof/>
          <w:szCs w:val="24"/>
        </w:rPr>
      </w:pPr>
      <w:r>
        <w:rPr>
          <w:noProof/>
        </w:rPr>
        <w:t>1.4</w:t>
      </w:r>
      <w:r>
        <w:rPr>
          <w:rFonts w:asciiTheme="minorHAnsi" w:eastAsiaTheme="minorEastAsia" w:hAnsiTheme="minorHAnsi" w:cstheme="minorBidi"/>
          <w:noProof/>
          <w:szCs w:val="24"/>
        </w:rPr>
        <w:tab/>
      </w:r>
      <w:r>
        <w:rPr>
          <w:noProof/>
        </w:rPr>
        <w:t>Why this Volume</w:t>
      </w:r>
      <w:r>
        <w:rPr>
          <w:noProof/>
        </w:rPr>
        <w:tab/>
      </w:r>
      <w:r w:rsidR="00F7383F">
        <w:rPr>
          <w:noProof/>
        </w:rPr>
        <w:fldChar w:fldCharType="begin"/>
      </w:r>
      <w:r>
        <w:rPr>
          <w:noProof/>
        </w:rPr>
        <w:instrText xml:space="preserve"> PAGEREF _Toc200095262 \h </w:instrText>
      </w:r>
      <w:r w:rsidR="00C66024">
        <w:rPr>
          <w:noProof/>
        </w:rPr>
      </w:r>
      <w:r w:rsidR="00F7383F">
        <w:rPr>
          <w:noProof/>
        </w:rPr>
        <w:fldChar w:fldCharType="separate"/>
      </w:r>
      <w:r>
        <w:rPr>
          <w:noProof/>
        </w:rPr>
        <w:t>20</w:t>
      </w:r>
      <w:r w:rsidR="00F7383F">
        <w:rPr>
          <w:noProof/>
        </w:rPr>
        <w:fldChar w:fldCharType="end"/>
      </w:r>
    </w:p>
    <w:p w:rsidR="001E2660" w:rsidRDefault="001E2660">
      <w:pPr>
        <w:pStyle w:val="TOC2"/>
        <w:tabs>
          <w:tab w:val="left" w:pos="780"/>
          <w:tab w:val="right" w:leader="dot" w:pos="9350"/>
        </w:tabs>
        <w:rPr>
          <w:rFonts w:asciiTheme="minorHAnsi" w:eastAsiaTheme="minorEastAsia" w:hAnsiTheme="minorHAnsi" w:cstheme="minorBidi"/>
          <w:noProof/>
          <w:szCs w:val="24"/>
        </w:rPr>
      </w:pPr>
      <w:r>
        <w:rPr>
          <w:noProof/>
        </w:rPr>
        <w:t>1.5</w:t>
      </w:r>
      <w:r>
        <w:rPr>
          <w:rFonts w:asciiTheme="minorHAnsi" w:eastAsiaTheme="minorEastAsia" w:hAnsiTheme="minorHAnsi" w:cstheme="minorBidi"/>
          <w:noProof/>
          <w:szCs w:val="24"/>
        </w:rPr>
        <w:tab/>
      </w:r>
      <w:r>
        <w:rPr>
          <w:noProof/>
        </w:rPr>
        <w:t>Conclusion and Road Map for this Volume</w:t>
      </w:r>
      <w:r>
        <w:rPr>
          <w:noProof/>
        </w:rPr>
        <w:tab/>
      </w:r>
      <w:r w:rsidR="00F7383F">
        <w:rPr>
          <w:noProof/>
        </w:rPr>
        <w:fldChar w:fldCharType="begin"/>
      </w:r>
      <w:r>
        <w:rPr>
          <w:noProof/>
        </w:rPr>
        <w:instrText xml:space="preserve"> PAGEREF _Toc200095263 \h </w:instrText>
      </w:r>
      <w:r w:rsidR="00C66024">
        <w:rPr>
          <w:noProof/>
        </w:rPr>
      </w:r>
      <w:r w:rsidR="00F7383F">
        <w:rPr>
          <w:noProof/>
        </w:rPr>
        <w:fldChar w:fldCharType="separate"/>
      </w:r>
      <w:r>
        <w:rPr>
          <w:noProof/>
        </w:rPr>
        <w:t>22</w:t>
      </w:r>
      <w:r w:rsidR="00F7383F">
        <w:rPr>
          <w:noProof/>
        </w:rPr>
        <w:fldChar w:fldCharType="end"/>
      </w:r>
    </w:p>
    <w:p w:rsidR="001E2660" w:rsidRDefault="001E2660">
      <w:pPr>
        <w:pStyle w:val="TOC1"/>
        <w:tabs>
          <w:tab w:val="left" w:pos="420"/>
          <w:tab w:val="right" w:leader="dot" w:pos="9350"/>
        </w:tabs>
        <w:rPr>
          <w:rFonts w:asciiTheme="minorHAnsi" w:eastAsiaTheme="minorEastAsia" w:hAnsiTheme="minorHAnsi" w:cstheme="minorBidi"/>
          <w:noProof/>
          <w:szCs w:val="24"/>
        </w:rPr>
      </w:pPr>
      <w:r>
        <w:rPr>
          <w:noProof/>
        </w:rPr>
        <w:t>2.</w:t>
      </w:r>
      <w:r>
        <w:rPr>
          <w:rFonts w:asciiTheme="minorHAnsi" w:eastAsiaTheme="minorEastAsia" w:hAnsiTheme="minorHAnsi" w:cstheme="minorBidi"/>
          <w:noProof/>
          <w:szCs w:val="24"/>
        </w:rPr>
        <w:tab/>
      </w:r>
      <w:r>
        <w:rPr>
          <w:noProof/>
        </w:rPr>
        <w:t>Infrastructure State and Trends</w:t>
      </w:r>
      <w:r>
        <w:rPr>
          <w:noProof/>
        </w:rPr>
        <w:tab/>
      </w:r>
      <w:r w:rsidR="00F7383F">
        <w:rPr>
          <w:noProof/>
        </w:rPr>
        <w:fldChar w:fldCharType="begin"/>
      </w:r>
      <w:r>
        <w:rPr>
          <w:noProof/>
        </w:rPr>
        <w:instrText xml:space="preserve"> PAGEREF _Toc200095264 \h </w:instrText>
      </w:r>
      <w:r w:rsidR="00C66024">
        <w:rPr>
          <w:noProof/>
        </w:rPr>
      </w:r>
      <w:r w:rsidR="00F7383F">
        <w:rPr>
          <w:noProof/>
        </w:rPr>
        <w:fldChar w:fldCharType="separate"/>
      </w:r>
      <w:r>
        <w:rPr>
          <w:noProof/>
        </w:rPr>
        <w:t>24</w:t>
      </w:r>
      <w:r w:rsidR="00F7383F">
        <w:rPr>
          <w:noProof/>
        </w:rPr>
        <w:fldChar w:fldCharType="end"/>
      </w:r>
    </w:p>
    <w:p w:rsidR="001E2660" w:rsidRDefault="001E2660">
      <w:pPr>
        <w:pStyle w:val="TOC2"/>
        <w:tabs>
          <w:tab w:val="right" w:leader="dot" w:pos="9350"/>
        </w:tabs>
        <w:rPr>
          <w:rFonts w:asciiTheme="minorHAnsi" w:eastAsiaTheme="minorEastAsia" w:hAnsiTheme="minorHAnsi" w:cstheme="minorBidi"/>
          <w:noProof/>
          <w:szCs w:val="24"/>
        </w:rPr>
      </w:pPr>
      <w:r>
        <w:rPr>
          <w:noProof/>
        </w:rPr>
        <w:t>2.1 What Comprises Infrastructure?</w:t>
      </w:r>
      <w:r>
        <w:rPr>
          <w:noProof/>
        </w:rPr>
        <w:tab/>
      </w:r>
      <w:r w:rsidR="00F7383F">
        <w:rPr>
          <w:noProof/>
        </w:rPr>
        <w:fldChar w:fldCharType="begin"/>
      </w:r>
      <w:r>
        <w:rPr>
          <w:noProof/>
        </w:rPr>
        <w:instrText xml:space="preserve"> PAGEREF _Toc200095265 \h </w:instrText>
      </w:r>
      <w:r w:rsidR="00C66024">
        <w:rPr>
          <w:noProof/>
        </w:rPr>
      </w:r>
      <w:r w:rsidR="00F7383F">
        <w:rPr>
          <w:noProof/>
        </w:rPr>
        <w:fldChar w:fldCharType="separate"/>
      </w:r>
      <w:r>
        <w:rPr>
          <w:noProof/>
        </w:rPr>
        <w:t>24</w:t>
      </w:r>
      <w:r w:rsidR="00F7383F">
        <w:rPr>
          <w:noProof/>
        </w:rPr>
        <w:fldChar w:fldCharType="end"/>
      </w:r>
    </w:p>
    <w:p w:rsidR="001E2660" w:rsidRDefault="001E2660">
      <w:pPr>
        <w:pStyle w:val="TOC2"/>
        <w:tabs>
          <w:tab w:val="left" w:pos="780"/>
          <w:tab w:val="right" w:leader="dot" w:pos="9350"/>
        </w:tabs>
        <w:rPr>
          <w:rFonts w:asciiTheme="minorHAnsi" w:eastAsiaTheme="minorEastAsia" w:hAnsiTheme="minorHAnsi" w:cstheme="minorBidi"/>
          <w:noProof/>
          <w:szCs w:val="24"/>
        </w:rPr>
      </w:pPr>
      <w:r>
        <w:rPr>
          <w:noProof/>
        </w:rPr>
        <w:t>2.2</w:t>
      </w:r>
      <w:r>
        <w:rPr>
          <w:rFonts w:asciiTheme="minorHAnsi" w:eastAsiaTheme="minorEastAsia" w:hAnsiTheme="minorHAnsi" w:cstheme="minorBidi"/>
          <w:noProof/>
          <w:szCs w:val="24"/>
        </w:rPr>
        <w:tab/>
      </w:r>
      <w:r>
        <w:rPr>
          <w:noProof/>
        </w:rPr>
        <w:t>The Challenge of Historical Data on Infrastructure</w:t>
      </w:r>
      <w:r>
        <w:rPr>
          <w:noProof/>
        </w:rPr>
        <w:tab/>
      </w:r>
      <w:r w:rsidR="00F7383F">
        <w:rPr>
          <w:noProof/>
        </w:rPr>
        <w:fldChar w:fldCharType="begin"/>
      </w:r>
      <w:r>
        <w:rPr>
          <w:noProof/>
        </w:rPr>
        <w:instrText xml:space="preserve"> PAGEREF _Toc200095266 \h </w:instrText>
      </w:r>
      <w:r w:rsidR="00C66024">
        <w:rPr>
          <w:noProof/>
        </w:rPr>
      </w:r>
      <w:r w:rsidR="00F7383F">
        <w:rPr>
          <w:noProof/>
        </w:rPr>
        <w:fldChar w:fldCharType="separate"/>
      </w:r>
      <w:r>
        <w:rPr>
          <w:noProof/>
        </w:rPr>
        <w:t>26</w:t>
      </w:r>
      <w:r w:rsidR="00F7383F">
        <w:rPr>
          <w:noProof/>
        </w:rPr>
        <w:fldChar w:fldCharType="end"/>
      </w:r>
    </w:p>
    <w:p w:rsidR="001E2660" w:rsidRDefault="001E2660">
      <w:pPr>
        <w:pStyle w:val="TOC2"/>
        <w:tabs>
          <w:tab w:val="left" w:pos="780"/>
          <w:tab w:val="right" w:leader="dot" w:pos="9350"/>
        </w:tabs>
        <w:rPr>
          <w:rFonts w:asciiTheme="minorHAnsi" w:eastAsiaTheme="minorEastAsia" w:hAnsiTheme="minorHAnsi" w:cstheme="minorBidi"/>
          <w:noProof/>
          <w:szCs w:val="24"/>
        </w:rPr>
      </w:pPr>
      <w:r>
        <w:rPr>
          <w:noProof/>
        </w:rPr>
        <w:t>2.3</w:t>
      </w:r>
      <w:r>
        <w:rPr>
          <w:rFonts w:asciiTheme="minorHAnsi" w:eastAsiaTheme="minorEastAsia" w:hAnsiTheme="minorHAnsi" w:cstheme="minorBidi"/>
          <w:noProof/>
          <w:szCs w:val="24"/>
        </w:rPr>
        <w:tab/>
      </w:r>
      <w:r>
        <w:rPr>
          <w:noProof/>
        </w:rPr>
        <w:t>The State of and Trends in Infrastructure: Physical Stocks, Access, and Spending</w:t>
      </w:r>
      <w:r>
        <w:rPr>
          <w:noProof/>
        </w:rPr>
        <w:tab/>
      </w:r>
      <w:r w:rsidR="00F7383F">
        <w:rPr>
          <w:noProof/>
        </w:rPr>
        <w:fldChar w:fldCharType="begin"/>
      </w:r>
      <w:r>
        <w:rPr>
          <w:noProof/>
        </w:rPr>
        <w:instrText xml:space="preserve"> PAGEREF _Toc200095267 \h </w:instrText>
      </w:r>
      <w:r w:rsidR="00C66024">
        <w:rPr>
          <w:noProof/>
        </w:rPr>
      </w:r>
      <w:r w:rsidR="00F7383F">
        <w:rPr>
          <w:noProof/>
        </w:rPr>
        <w:fldChar w:fldCharType="separate"/>
      </w:r>
      <w:r>
        <w:rPr>
          <w:noProof/>
        </w:rPr>
        <w:t>31</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2.3.1</w:t>
      </w:r>
      <w:r>
        <w:rPr>
          <w:rFonts w:asciiTheme="minorHAnsi" w:eastAsiaTheme="minorEastAsia" w:hAnsiTheme="minorHAnsi" w:cstheme="minorBidi"/>
          <w:noProof/>
          <w:szCs w:val="24"/>
        </w:rPr>
        <w:tab/>
      </w:r>
      <w:r>
        <w:rPr>
          <w:noProof/>
        </w:rPr>
        <w:t>Physical stocks and access</w:t>
      </w:r>
      <w:r>
        <w:rPr>
          <w:noProof/>
        </w:rPr>
        <w:tab/>
      </w:r>
      <w:r w:rsidR="00F7383F">
        <w:rPr>
          <w:noProof/>
        </w:rPr>
        <w:fldChar w:fldCharType="begin"/>
      </w:r>
      <w:r>
        <w:rPr>
          <w:noProof/>
        </w:rPr>
        <w:instrText xml:space="preserve"> PAGEREF _Toc200095268 \h </w:instrText>
      </w:r>
      <w:r w:rsidR="00C66024">
        <w:rPr>
          <w:noProof/>
        </w:rPr>
      </w:r>
      <w:r w:rsidR="00F7383F">
        <w:rPr>
          <w:noProof/>
        </w:rPr>
        <w:fldChar w:fldCharType="separate"/>
      </w:r>
      <w:r>
        <w:rPr>
          <w:noProof/>
        </w:rPr>
        <w:t>31</w:t>
      </w:r>
      <w:r w:rsidR="00F7383F">
        <w:rPr>
          <w:noProof/>
        </w:rPr>
        <w:fldChar w:fldCharType="end"/>
      </w:r>
    </w:p>
    <w:p w:rsidR="001E2660" w:rsidRDefault="001E2660">
      <w:pPr>
        <w:pStyle w:val="TOC4"/>
        <w:tabs>
          <w:tab w:val="right" w:leader="dot" w:pos="9350"/>
        </w:tabs>
        <w:rPr>
          <w:rFonts w:asciiTheme="minorHAnsi" w:eastAsiaTheme="minorEastAsia" w:hAnsiTheme="minorHAnsi" w:cstheme="minorBidi"/>
          <w:noProof/>
          <w:szCs w:val="24"/>
        </w:rPr>
      </w:pPr>
      <w:r>
        <w:rPr>
          <w:noProof/>
        </w:rPr>
        <w:t>2.3.1.1 Transportation</w:t>
      </w:r>
      <w:r>
        <w:rPr>
          <w:noProof/>
        </w:rPr>
        <w:tab/>
      </w:r>
      <w:r w:rsidR="00F7383F">
        <w:rPr>
          <w:noProof/>
        </w:rPr>
        <w:fldChar w:fldCharType="begin"/>
      </w:r>
      <w:r>
        <w:rPr>
          <w:noProof/>
        </w:rPr>
        <w:instrText xml:space="preserve"> PAGEREF _Toc200095269 \h </w:instrText>
      </w:r>
      <w:r w:rsidR="00C66024">
        <w:rPr>
          <w:noProof/>
        </w:rPr>
      </w:r>
      <w:r w:rsidR="00F7383F">
        <w:rPr>
          <w:noProof/>
        </w:rPr>
        <w:fldChar w:fldCharType="separate"/>
      </w:r>
      <w:r>
        <w:rPr>
          <w:noProof/>
        </w:rPr>
        <w:t>31</w:t>
      </w:r>
      <w:r w:rsidR="00F7383F">
        <w:rPr>
          <w:noProof/>
        </w:rPr>
        <w:fldChar w:fldCharType="end"/>
      </w:r>
    </w:p>
    <w:p w:rsidR="001E2660" w:rsidRDefault="001E2660">
      <w:pPr>
        <w:pStyle w:val="TOC4"/>
        <w:tabs>
          <w:tab w:val="right" w:leader="dot" w:pos="9350"/>
        </w:tabs>
        <w:rPr>
          <w:rFonts w:asciiTheme="minorHAnsi" w:eastAsiaTheme="minorEastAsia" w:hAnsiTheme="minorHAnsi" w:cstheme="minorBidi"/>
          <w:noProof/>
          <w:szCs w:val="24"/>
        </w:rPr>
      </w:pPr>
      <w:r>
        <w:rPr>
          <w:noProof/>
        </w:rPr>
        <w:t>2.3.1.2 Water</w:t>
      </w:r>
      <w:r>
        <w:rPr>
          <w:noProof/>
        </w:rPr>
        <w:tab/>
      </w:r>
      <w:r w:rsidR="00F7383F">
        <w:rPr>
          <w:noProof/>
        </w:rPr>
        <w:fldChar w:fldCharType="begin"/>
      </w:r>
      <w:r>
        <w:rPr>
          <w:noProof/>
        </w:rPr>
        <w:instrText xml:space="preserve"> PAGEREF _Toc200095270 \h </w:instrText>
      </w:r>
      <w:r w:rsidR="00C66024">
        <w:rPr>
          <w:noProof/>
        </w:rPr>
      </w:r>
      <w:r w:rsidR="00F7383F">
        <w:rPr>
          <w:noProof/>
        </w:rPr>
        <w:fldChar w:fldCharType="separate"/>
      </w:r>
      <w:r>
        <w:rPr>
          <w:noProof/>
        </w:rPr>
        <w:t>36</w:t>
      </w:r>
      <w:r w:rsidR="00F7383F">
        <w:rPr>
          <w:noProof/>
        </w:rPr>
        <w:fldChar w:fldCharType="end"/>
      </w:r>
    </w:p>
    <w:p w:rsidR="001E2660" w:rsidRDefault="001E2660">
      <w:pPr>
        <w:pStyle w:val="TOC4"/>
        <w:tabs>
          <w:tab w:val="right" w:leader="dot" w:pos="9350"/>
        </w:tabs>
        <w:rPr>
          <w:rFonts w:asciiTheme="minorHAnsi" w:eastAsiaTheme="minorEastAsia" w:hAnsiTheme="minorHAnsi" w:cstheme="minorBidi"/>
          <w:noProof/>
          <w:szCs w:val="24"/>
        </w:rPr>
      </w:pPr>
      <w:r>
        <w:rPr>
          <w:noProof/>
        </w:rPr>
        <w:t>2.3.1.3 Energy</w:t>
      </w:r>
      <w:r>
        <w:rPr>
          <w:noProof/>
        </w:rPr>
        <w:tab/>
      </w:r>
      <w:r w:rsidR="00F7383F">
        <w:rPr>
          <w:noProof/>
        </w:rPr>
        <w:fldChar w:fldCharType="begin"/>
      </w:r>
      <w:r>
        <w:rPr>
          <w:noProof/>
        </w:rPr>
        <w:instrText xml:space="preserve"> PAGEREF _Toc200095271 \h </w:instrText>
      </w:r>
      <w:r w:rsidR="00C66024">
        <w:rPr>
          <w:noProof/>
        </w:rPr>
      </w:r>
      <w:r w:rsidR="00F7383F">
        <w:rPr>
          <w:noProof/>
        </w:rPr>
        <w:fldChar w:fldCharType="separate"/>
      </w:r>
      <w:r>
        <w:rPr>
          <w:noProof/>
        </w:rPr>
        <w:t>43</w:t>
      </w:r>
      <w:r w:rsidR="00F7383F">
        <w:rPr>
          <w:noProof/>
        </w:rPr>
        <w:fldChar w:fldCharType="end"/>
      </w:r>
    </w:p>
    <w:p w:rsidR="001E2660" w:rsidRDefault="001E2660">
      <w:pPr>
        <w:pStyle w:val="TOC4"/>
        <w:tabs>
          <w:tab w:val="right" w:leader="dot" w:pos="9350"/>
        </w:tabs>
        <w:rPr>
          <w:rFonts w:asciiTheme="minorHAnsi" w:eastAsiaTheme="minorEastAsia" w:hAnsiTheme="minorHAnsi" w:cstheme="minorBidi"/>
          <w:noProof/>
          <w:szCs w:val="24"/>
        </w:rPr>
      </w:pPr>
      <w:r>
        <w:rPr>
          <w:noProof/>
        </w:rPr>
        <w:t>2.3.1.4 Information and Communication Technologies</w:t>
      </w:r>
      <w:r>
        <w:rPr>
          <w:noProof/>
        </w:rPr>
        <w:tab/>
      </w:r>
      <w:r w:rsidR="00F7383F">
        <w:rPr>
          <w:noProof/>
        </w:rPr>
        <w:fldChar w:fldCharType="begin"/>
      </w:r>
      <w:r>
        <w:rPr>
          <w:noProof/>
        </w:rPr>
        <w:instrText xml:space="preserve"> PAGEREF _Toc200095272 \h </w:instrText>
      </w:r>
      <w:r w:rsidR="00C66024">
        <w:rPr>
          <w:noProof/>
        </w:rPr>
      </w:r>
      <w:r w:rsidR="00F7383F">
        <w:rPr>
          <w:noProof/>
        </w:rPr>
        <w:fldChar w:fldCharType="separate"/>
      </w:r>
      <w:r>
        <w:rPr>
          <w:noProof/>
        </w:rPr>
        <w:t>48</w:t>
      </w:r>
      <w:r w:rsidR="00F7383F">
        <w:rPr>
          <w:noProof/>
        </w:rPr>
        <w:fldChar w:fldCharType="end"/>
      </w:r>
    </w:p>
    <w:p w:rsidR="001E2660" w:rsidRDefault="001E2660">
      <w:pPr>
        <w:pStyle w:val="TOC4"/>
        <w:tabs>
          <w:tab w:val="right" w:leader="dot" w:pos="9350"/>
        </w:tabs>
        <w:rPr>
          <w:rFonts w:asciiTheme="minorHAnsi" w:eastAsiaTheme="minorEastAsia" w:hAnsiTheme="minorHAnsi" w:cstheme="minorBidi"/>
          <w:noProof/>
          <w:szCs w:val="24"/>
        </w:rPr>
      </w:pPr>
      <w:r>
        <w:rPr>
          <w:noProof/>
        </w:rPr>
        <w:t>2.3.1.5 Patterns in infrastructure development</w:t>
      </w:r>
      <w:r>
        <w:rPr>
          <w:noProof/>
        </w:rPr>
        <w:tab/>
      </w:r>
      <w:r w:rsidR="00F7383F">
        <w:rPr>
          <w:noProof/>
        </w:rPr>
        <w:fldChar w:fldCharType="begin"/>
      </w:r>
      <w:r>
        <w:rPr>
          <w:noProof/>
        </w:rPr>
        <w:instrText xml:space="preserve"> PAGEREF _Toc200095273 \h </w:instrText>
      </w:r>
      <w:r w:rsidR="00C66024">
        <w:rPr>
          <w:noProof/>
        </w:rPr>
      </w:r>
      <w:r w:rsidR="00F7383F">
        <w:rPr>
          <w:noProof/>
        </w:rPr>
        <w:fldChar w:fldCharType="separate"/>
      </w:r>
      <w:r>
        <w:rPr>
          <w:noProof/>
        </w:rPr>
        <w:t>55</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2.3.2</w:t>
      </w:r>
      <w:r>
        <w:rPr>
          <w:rFonts w:asciiTheme="minorHAnsi" w:eastAsiaTheme="minorEastAsia" w:hAnsiTheme="minorHAnsi" w:cstheme="minorBidi"/>
          <w:noProof/>
          <w:szCs w:val="24"/>
        </w:rPr>
        <w:tab/>
      </w:r>
      <w:r>
        <w:rPr>
          <w:noProof/>
        </w:rPr>
        <w:t>Historical spending on infrastructure</w:t>
      </w:r>
      <w:r>
        <w:rPr>
          <w:noProof/>
        </w:rPr>
        <w:tab/>
      </w:r>
      <w:r w:rsidR="00F7383F">
        <w:rPr>
          <w:noProof/>
        </w:rPr>
        <w:fldChar w:fldCharType="begin"/>
      </w:r>
      <w:r>
        <w:rPr>
          <w:noProof/>
        </w:rPr>
        <w:instrText xml:space="preserve"> PAGEREF _Toc200095274 \h </w:instrText>
      </w:r>
      <w:r w:rsidR="00C66024">
        <w:rPr>
          <w:noProof/>
        </w:rPr>
      </w:r>
      <w:r w:rsidR="00F7383F">
        <w:rPr>
          <w:noProof/>
        </w:rPr>
        <w:fldChar w:fldCharType="separate"/>
      </w:r>
      <w:r>
        <w:rPr>
          <w:noProof/>
        </w:rPr>
        <w:t>56</w:t>
      </w:r>
      <w:r w:rsidR="00F7383F">
        <w:rPr>
          <w:noProof/>
        </w:rPr>
        <w:fldChar w:fldCharType="end"/>
      </w:r>
    </w:p>
    <w:p w:rsidR="001E2660" w:rsidRDefault="001E2660">
      <w:pPr>
        <w:pStyle w:val="TOC2"/>
        <w:tabs>
          <w:tab w:val="left" w:pos="780"/>
          <w:tab w:val="right" w:leader="dot" w:pos="9350"/>
        </w:tabs>
        <w:rPr>
          <w:rFonts w:asciiTheme="minorHAnsi" w:eastAsiaTheme="minorEastAsia" w:hAnsiTheme="minorHAnsi" w:cstheme="minorBidi"/>
          <w:noProof/>
          <w:szCs w:val="24"/>
        </w:rPr>
      </w:pPr>
      <w:r>
        <w:rPr>
          <w:noProof/>
        </w:rPr>
        <w:t>2.4</w:t>
      </w:r>
      <w:r>
        <w:rPr>
          <w:rFonts w:asciiTheme="minorHAnsi" w:eastAsiaTheme="minorEastAsia" w:hAnsiTheme="minorHAnsi" w:cstheme="minorBidi"/>
          <w:noProof/>
          <w:szCs w:val="24"/>
        </w:rPr>
        <w:tab/>
      </w:r>
      <w:r>
        <w:rPr>
          <w:noProof/>
        </w:rPr>
        <w:t>Conclusion</w:t>
      </w:r>
      <w:r>
        <w:rPr>
          <w:noProof/>
        </w:rPr>
        <w:tab/>
      </w:r>
      <w:r w:rsidR="00F7383F">
        <w:rPr>
          <w:noProof/>
        </w:rPr>
        <w:fldChar w:fldCharType="begin"/>
      </w:r>
      <w:r>
        <w:rPr>
          <w:noProof/>
        </w:rPr>
        <w:instrText xml:space="preserve"> PAGEREF _Toc200095275 \h </w:instrText>
      </w:r>
      <w:r w:rsidR="00C66024">
        <w:rPr>
          <w:noProof/>
        </w:rPr>
      </w:r>
      <w:r w:rsidR="00F7383F">
        <w:rPr>
          <w:noProof/>
        </w:rPr>
        <w:fldChar w:fldCharType="separate"/>
      </w:r>
      <w:r>
        <w:rPr>
          <w:noProof/>
        </w:rPr>
        <w:t>63</w:t>
      </w:r>
      <w:r w:rsidR="00F7383F">
        <w:rPr>
          <w:noProof/>
        </w:rPr>
        <w:fldChar w:fldCharType="end"/>
      </w:r>
    </w:p>
    <w:p w:rsidR="001E2660" w:rsidRDefault="001E2660">
      <w:pPr>
        <w:pStyle w:val="TOC1"/>
        <w:tabs>
          <w:tab w:val="right" w:leader="dot" w:pos="9350"/>
        </w:tabs>
        <w:rPr>
          <w:rFonts w:asciiTheme="minorHAnsi" w:eastAsiaTheme="minorEastAsia" w:hAnsiTheme="minorHAnsi" w:cstheme="minorBidi"/>
          <w:noProof/>
          <w:szCs w:val="24"/>
        </w:rPr>
      </w:pPr>
      <w:r>
        <w:rPr>
          <w:noProof/>
        </w:rPr>
        <w:t>3. Infrastructure, Human Development, and the Environment</w:t>
      </w:r>
      <w:r>
        <w:rPr>
          <w:noProof/>
        </w:rPr>
        <w:tab/>
      </w:r>
      <w:r w:rsidR="00F7383F">
        <w:rPr>
          <w:noProof/>
        </w:rPr>
        <w:fldChar w:fldCharType="begin"/>
      </w:r>
      <w:r>
        <w:rPr>
          <w:noProof/>
        </w:rPr>
        <w:instrText xml:space="preserve"> PAGEREF _Toc200095276 \h </w:instrText>
      </w:r>
      <w:r w:rsidR="00C66024">
        <w:rPr>
          <w:noProof/>
        </w:rPr>
      </w:r>
      <w:r w:rsidR="00F7383F">
        <w:rPr>
          <w:noProof/>
        </w:rPr>
        <w:fldChar w:fldCharType="separate"/>
      </w:r>
      <w:r>
        <w:rPr>
          <w:noProof/>
        </w:rPr>
        <w:t>64</w:t>
      </w:r>
      <w:r w:rsidR="00F7383F">
        <w:rPr>
          <w:noProof/>
        </w:rPr>
        <w:fldChar w:fldCharType="end"/>
      </w:r>
    </w:p>
    <w:p w:rsidR="001E2660" w:rsidRDefault="001E2660">
      <w:pPr>
        <w:pStyle w:val="TOC2"/>
        <w:tabs>
          <w:tab w:val="left" w:pos="780"/>
          <w:tab w:val="right" w:leader="dot" w:pos="9350"/>
        </w:tabs>
        <w:rPr>
          <w:rFonts w:asciiTheme="minorHAnsi" w:eastAsiaTheme="minorEastAsia" w:hAnsiTheme="minorHAnsi" w:cstheme="minorBidi"/>
          <w:noProof/>
          <w:szCs w:val="24"/>
        </w:rPr>
      </w:pPr>
      <w:r>
        <w:rPr>
          <w:noProof/>
        </w:rPr>
        <w:t>3.1</w:t>
      </w:r>
      <w:r>
        <w:rPr>
          <w:rFonts w:asciiTheme="minorHAnsi" w:eastAsiaTheme="minorEastAsia" w:hAnsiTheme="minorHAnsi" w:cstheme="minorBidi"/>
          <w:noProof/>
          <w:szCs w:val="24"/>
        </w:rPr>
        <w:tab/>
      </w:r>
      <w:r>
        <w:rPr>
          <w:noProof/>
        </w:rPr>
        <w:t>The Impact of Infrastructure on Human Development and the Environment</w:t>
      </w:r>
      <w:r>
        <w:rPr>
          <w:noProof/>
        </w:rPr>
        <w:tab/>
      </w:r>
      <w:r w:rsidR="00F7383F">
        <w:rPr>
          <w:noProof/>
        </w:rPr>
        <w:fldChar w:fldCharType="begin"/>
      </w:r>
      <w:r>
        <w:rPr>
          <w:noProof/>
        </w:rPr>
        <w:instrText xml:space="preserve"> PAGEREF _Toc200095277 \h </w:instrText>
      </w:r>
      <w:r w:rsidR="00C66024">
        <w:rPr>
          <w:noProof/>
        </w:rPr>
      </w:r>
      <w:r w:rsidR="00F7383F">
        <w:rPr>
          <w:noProof/>
        </w:rPr>
        <w:fldChar w:fldCharType="separate"/>
      </w:r>
      <w:r>
        <w:rPr>
          <w:noProof/>
        </w:rPr>
        <w:t>66</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3.1.1</w:t>
      </w:r>
      <w:r>
        <w:rPr>
          <w:rFonts w:asciiTheme="minorHAnsi" w:eastAsiaTheme="minorEastAsia" w:hAnsiTheme="minorHAnsi" w:cstheme="minorBidi"/>
          <w:noProof/>
          <w:szCs w:val="24"/>
        </w:rPr>
        <w:tab/>
      </w:r>
      <w:r>
        <w:rPr>
          <w:noProof/>
        </w:rPr>
        <w:t>Infrastructure and economic growth</w:t>
      </w:r>
      <w:r>
        <w:rPr>
          <w:noProof/>
        </w:rPr>
        <w:tab/>
      </w:r>
      <w:r w:rsidR="00F7383F">
        <w:rPr>
          <w:noProof/>
        </w:rPr>
        <w:fldChar w:fldCharType="begin"/>
      </w:r>
      <w:r>
        <w:rPr>
          <w:noProof/>
        </w:rPr>
        <w:instrText xml:space="preserve"> PAGEREF _Toc200095278 \h </w:instrText>
      </w:r>
      <w:r w:rsidR="00C66024">
        <w:rPr>
          <w:noProof/>
        </w:rPr>
      </w:r>
      <w:r w:rsidR="00F7383F">
        <w:rPr>
          <w:noProof/>
        </w:rPr>
        <w:fldChar w:fldCharType="separate"/>
      </w:r>
      <w:r>
        <w:rPr>
          <w:noProof/>
        </w:rPr>
        <w:t>67</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3.1.2</w:t>
      </w:r>
      <w:r>
        <w:rPr>
          <w:rFonts w:asciiTheme="minorHAnsi" w:eastAsiaTheme="minorEastAsia" w:hAnsiTheme="minorHAnsi" w:cstheme="minorBidi"/>
          <w:noProof/>
          <w:szCs w:val="24"/>
        </w:rPr>
        <w:tab/>
      </w:r>
      <w:r>
        <w:rPr>
          <w:noProof/>
        </w:rPr>
        <w:t>Infrastructure and income distribution</w:t>
      </w:r>
      <w:r>
        <w:rPr>
          <w:noProof/>
        </w:rPr>
        <w:tab/>
      </w:r>
      <w:r w:rsidR="00F7383F">
        <w:rPr>
          <w:noProof/>
        </w:rPr>
        <w:fldChar w:fldCharType="begin"/>
      </w:r>
      <w:r>
        <w:rPr>
          <w:noProof/>
        </w:rPr>
        <w:instrText xml:space="preserve"> PAGEREF _Toc200095279 \h </w:instrText>
      </w:r>
      <w:r w:rsidR="00C66024">
        <w:rPr>
          <w:noProof/>
        </w:rPr>
      </w:r>
      <w:r w:rsidR="00F7383F">
        <w:rPr>
          <w:noProof/>
        </w:rPr>
        <w:fldChar w:fldCharType="separate"/>
      </w:r>
      <w:r>
        <w:rPr>
          <w:noProof/>
        </w:rPr>
        <w:t>74</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3.1.3</w:t>
      </w:r>
      <w:r>
        <w:rPr>
          <w:rFonts w:asciiTheme="minorHAnsi" w:eastAsiaTheme="minorEastAsia" w:hAnsiTheme="minorHAnsi" w:cstheme="minorBidi"/>
          <w:noProof/>
          <w:szCs w:val="24"/>
        </w:rPr>
        <w:tab/>
      </w:r>
      <w:r>
        <w:rPr>
          <w:noProof/>
        </w:rPr>
        <w:t>Infrastructure and health</w:t>
      </w:r>
      <w:r>
        <w:rPr>
          <w:noProof/>
        </w:rPr>
        <w:tab/>
      </w:r>
      <w:r w:rsidR="00F7383F">
        <w:rPr>
          <w:noProof/>
        </w:rPr>
        <w:fldChar w:fldCharType="begin"/>
      </w:r>
      <w:r>
        <w:rPr>
          <w:noProof/>
        </w:rPr>
        <w:instrText xml:space="preserve"> PAGEREF _Toc200095280 \h </w:instrText>
      </w:r>
      <w:r w:rsidR="00C66024">
        <w:rPr>
          <w:noProof/>
        </w:rPr>
      </w:r>
      <w:r w:rsidR="00F7383F">
        <w:rPr>
          <w:noProof/>
        </w:rPr>
        <w:fldChar w:fldCharType="separate"/>
      </w:r>
      <w:r>
        <w:rPr>
          <w:noProof/>
        </w:rPr>
        <w:t>77</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3.1.4</w:t>
      </w:r>
      <w:r>
        <w:rPr>
          <w:rFonts w:asciiTheme="minorHAnsi" w:eastAsiaTheme="minorEastAsia" w:hAnsiTheme="minorHAnsi" w:cstheme="minorBidi"/>
          <w:noProof/>
          <w:szCs w:val="24"/>
        </w:rPr>
        <w:tab/>
      </w:r>
      <w:r>
        <w:rPr>
          <w:noProof/>
        </w:rPr>
        <w:t>Infrastructure and education</w:t>
      </w:r>
      <w:r>
        <w:rPr>
          <w:noProof/>
        </w:rPr>
        <w:tab/>
      </w:r>
      <w:r w:rsidR="00F7383F">
        <w:rPr>
          <w:noProof/>
        </w:rPr>
        <w:fldChar w:fldCharType="begin"/>
      </w:r>
      <w:r>
        <w:rPr>
          <w:noProof/>
        </w:rPr>
        <w:instrText xml:space="preserve"> PAGEREF _Toc200095281 \h </w:instrText>
      </w:r>
      <w:r w:rsidR="00C66024">
        <w:rPr>
          <w:noProof/>
        </w:rPr>
      </w:r>
      <w:r w:rsidR="00F7383F">
        <w:rPr>
          <w:noProof/>
        </w:rPr>
        <w:fldChar w:fldCharType="separate"/>
      </w:r>
      <w:r>
        <w:rPr>
          <w:noProof/>
        </w:rPr>
        <w:t>80</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3.1.5</w:t>
      </w:r>
      <w:r>
        <w:rPr>
          <w:rFonts w:asciiTheme="minorHAnsi" w:eastAsiaTheme="minorEastAsia" w:hAnsiTheme="minorHAnsi" w:cstheme="minorBidi"/>
          <w:noProof/>
          <w:szCs w:val="24"/>
        </w:rPr>
        <w:tab/>
      </w:r>
      <w:r>
        <w:rPr>
          <w:noProof/>
        </w:rPr>
        <w:t>Infrastructure and governance</w:t>
      </w:r>
      <w:r>
        <w:rPr>
          <w:noProof/>
        </w:rPr>
        <w:tab/>
      </w:r>
      <w:r w:rsidR="00F7383F">
        <w:rPr>
          <w:noProof/>
        </w:rPr>
        <w:fldChar w:fldCharType="begin"/>
      </w:r>
      <w:r>
        <w:rPr>
          <w:noProof/>
        </w:rPr>
        <w:instrText xml:space="preserve"> PAGEREF _Toc200095282 \h </w:instrText>
      </w:r>
      <w:r w:rsidR="00C66024">
        <w:rPr>
          <w:noProof/>
        </w:rPr>
      </w:r>
      <w:r w:rsidR="00F7383F">
        <w:rPr>
          <w:noProof/>
        </w:rPr>
        <w:fldChar w:fldCharType="separate"/>
      </w:r>
      <w:r>
        <w:rPr>
          <w:noProof/>
        </w:rPr>
        <w:t>84</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3.1.6</w:t>
      </w:r>
      <w:r>
        <w:rPr>
          <w:rFonts w:asciiTheme="minorHAnsi" w:eastAsiaTheme="minorEastAsia" w:hAnsiTheme="minorHAnsi" w:cstheme="minorBidi"/>
          <w:noProof/>
          <w:szCs w:val="24"/>
        </w:rPr>
        <w:tab/>
      </w:r>
      <w:r>
        <w:rPr>
          <w:noProof/>
        </w:rPr>
        <w:t>Infrastructure and the environment</w:t>
      </w:r>
      <w:r>
        <w:rPr>
          <w:noProof/>
        </w:rPr>
        <w:tab/>
      </w:r>
      <w:r w:rsidR="00F7383F">
        <w:rPr>
          <w:noProof/>
        </w:rPr>
        <w:fldChar w:fldCharType="begin"/>
      </w:r>
      <w:r>
        <w:rPr>
          <w:noProof/>
        </w:rPr>
        <w:instrText xml:space="preserve"> PAGEREF _Toc200095283 \h </w:instrText>
      </w:r>
      <w:r w:rsidR="00C66024">
        <w:rPr>
          <w:noProof/>
        </w:rPr>
      </w:r>
      <w:r w:rsidR="00F7383F">
        <w:rPr>
          <w:noProof/>
        </w:rPr>
        <w:fldChar w:fldCharType="separate"/>
      </w:r>
      <w:r>
        <w:rPr>
          <w:noProof/>
        </w:rPr>
        <w:t>87</w:t>
      </w:r>
      <w:r w:rsidR="00F7383F">
        <w:rPr>
          <w:noProof/>
        </w:rPr>
        <w:fldChar w:fldCharType="end"/>
      </w:r>
    </w:p>
    <w:p w:rsidR="001E2660" w:rsidRDefault="001E2660">
      <w:pPr>
        <w:pStyle w:val="TOC2"/>
        <w:tabs>
          <w:tab w:val="left" w:pos="780"/>
          <w:tab w:val="right" w:leader="dot" w:pos="9350"/>
        </w:tabs>
        <w:rPr>
          <w:rFonts w:asciiTheme="minorHAnsi" w:eastAsiaTheme="minorEastAsia" w:hAnsiTheme="minorHAnsi" w:cstheme="minorBidi"/>
          <w:noProof/>
          <w:szCs w:val="24"/>
        </w:rPr>
      </w:pPr>
      <w:r>
        <w:rPr>
          <w:noProof/>
        </w:rPr>
        <w:t>3.2</w:t>
      </w:r>
      <w:r>
        <w:rPr>
          <w:rFonts w:asciiTheme="minorHAnsi" w:eastAsiaTheme="minorEastAsia" w:hAnsiTheme="minorHAnsi" w:cstheme="minorBidi"/>
          <w:noProof/>
          <w:szCs w:val="24"/>
        </w:rPr>
        <w:tab/>
      </w:r>
      <w:r>
        <w:rPr>
          <w:noProof/>
        </w:rPr>
        <w:t>Human Development and the Environment as Drivers of Infrastructure</w:t>
      </w:r>
      <w:r>
        <w:rPr>
          <w:noProof/>
        </w:rPr>
        <w:tab/>
      </w:r>
      <w:r w:rsidR="00F7383F">
        <w:rPr>
          <w:noProof/>
        </w:rPr>
        <w:fldChar w:fldCharType="begin"/>
      </w:r>
      <w:r>
        <w:rPr>
          <w:noProof/>
        </w:rPr>
        <w:instrText xml:space="preserve"> PAGEREF _Toc200095284 \h </w:instrText>
      </w:r>
      <w:r w:rsidR="00C66024">
        <w:rPr>
          <w:noProof/>
        </w:rPr>
      </w:r>
      <w:r w:rsidR="00F7383F">
        <w:rPr>
          <w:noProof/>
        </w:rPr>
        <w:fldChar w:fldCharType="separate"/>
      </w:r>
      <w:r>
        <w:rPr>
          <w:noProof/>
        </w:rPr>
        <w:t>92</w:t>
      </w:r>
      <w:r w:rsidR="00F7383F">
        <w:rPr>
          <w:noProof/>
        </w:rPr>
        <w:fldChar w:fldCharType="end"/>
      </w:r>
    </w:p>
    <w:p w:rsidR="001E2660" w:rsidRDefault="001E2660">
      <w:pPr>
        <w:pStyle w:val="TOC2"/>
        <w:tabs>
          <w:tab w:val="left" w:pos="780"/>
          <w:tab w:val="right" w:leader="dot" w:pos="9350"/>
        </w:tabs>
        <w:rPr>
          <w:rFonts w:asciiTheme="minorHAnsi" w:eastAsiaTheme="minorEastAsia" w:hAnsiTheme="minorHAnsi" w:cstheme="minorBidi"/>
          <w:noProof/>
          <w:szCs w:val="24"/>
        </w:rPr>
      </w:pPr>
      <w:r>
        <w:rPr>
          <w:noProof/>
        </w:rPr>
        <w:t>3.3</w:t>
      </w:r>
      <w:r>
        <w:rPr>
          <w:rFonts w:asciiTheme="minorHAnsi" w:eastAsiaTheme="minorEastAsia" w:hAnsiTheme="minorHAnsi" w:cstheme="minorBidi"/>
          <w:noProof/>
          <w:szCs w:val="24"/>
        </w:rPr>
        <w:tab/>
      </w:r>
      <w:r>
        <w:rPr>
          <w:noProof/>
        </w:rPr>
        <w:t>Conclusion</w:t>
      </w:r>
      <w:r>
        <w:rPr>
          <w:noProof/>
        </w:rPr>
        <w:tab/>
      </w:r>
      <w:r w:rsidR="00F7383F">
        <w:rPr>
          <w:noProof/>
        </w:rPr>
        <w:fldChar w:fldCharType="begin"/>
      </w:r>
      <w:r>
        <w:rPr>
          <w:noProof/>
        </w:rPr>
        <w:instrText xml:space="preserve"> PAGEREF _Toc200095285 \h </w:instrText>
      </w:r>
      <w:r w:rsidR="00C66024">
        <w:rPr>
          <w:noProof/>
        </w:rPr>
      </w:r>
      <w:r w:rsidR="00F7383F">
        <w:rPr>
          <w:noProof/>
        </w:rPr>
        <w:fldChar w:fldCharType="separate"/>
      </w:r>
      <w:r>
        <w:rPr>
          <w:noProof/>
        </w:rPr>
        <w:t>94</w:t>
      </w:r>
      <w:r w:rsidR="00F7383F">
        <w:rPr>
          <w:noProof/>
        </w:rPr>
        <w:fldChar w:fldCharType="end"/>
      </w:r>
    </w:p>
    <w:p w:rsidR="001E2660" w:rsidRDefault="001E2660">
      <w:pPr>
        <w:pStyle w:val="TOC1"/>
        <w:tabs>
          <w:tab w:val="right" w:leader="dot" w:pos="9350"/>
        </w:tabs>
        <w:rPr>
          <w:rFonts w:asciiTheme="minorHAnsi" w:eastAsiaTheme="minorEastAsia" w:hAnsiTheme="minorHAnsi" w:cstheme="minorBidi"/>
          <w:noProof/>
          <w:szCs w:val="24"/>
        </w:rPr>
      </w:pPr>
      <w:r>
        <w:rPr>
          <w:noProof/>
        </w:rPr>
        <w:t>4. Methodologies and Tools for Forecasting Infrastructure</w:t>
      </w:r>
      <w:r>
        <w:rPr>
          <w:noProof/>
        </w:rPr>
        <w:tab/>
      </w:r>
      <w:r w:rsidR="00F7383F">
        <w:rPr>
          <w:noProof/>
        </w:rPr>
        <w:fldChar w:fldCharType="begin"/>
      </w:r>
      <w:r>
        <w:rPr>
          <w:noProof/>
        </w:rPr>
        <w:instrText xml:space="preserve"> PAGEREF _Toc200095286 \h </w:instrText>
      </w:r>
      <w:r w:rsidR="00C66024">
        <w:rPr>
          <w:noProof/>
        </w:rPr>
      </w:r>
      <w:r w:rsidR="00F7383F">
        <w:rPr>
          <w:noProof/>
        </w:rPr>
        <w:fldChar w:fldCharType="separate"/>
      </w:r>
      <w:r>
        <w:rPr>
          <w:noProof/>
        </w:rPr>
        <w:t>95</w:t>
      </w:r>
      <w:r w:rsidR="00F7383F">
        <w:rPr>
          <w:noProof/>
        </w:rPr>
        <w:fldChar w:fldCharType="end"/>
      </w:r>
    </w:p>
    <w:p w:rsidR="001E2660" w:rsidRDefault="001E2660">
      <w:pPr>
        <w:pStyle w:val="TOC2"/>
        <w:tabs>
          <w:tab w:val="right" w:leader="dot" w:pos="9350"/>
        </w:tabs>
        <w:rPr>
          <w:rFonts w:asciiTheme="minorHAnsi" w:eastAsiaTheme="minorEastAsia" w:hAnsiTheme="minorHAnsi" w:cstheme="minorBidi"/>
          <w:noProof/>
          <w:szCs w:val="24"/>
        </w:rPr>
      </w:pPr>
      <w:r>
        <w:rPr>
          <w:noProof/>
        </w:rPr>
        <w:t>4.1 Integrating Infrastructure with Broader Human Development: The Larger IFs System</w:t>
      </w:r>
      <w:r>
        <w:rPr>
          <w:noProof/>
        </w:rPr>
        <w:tab/>
      </w:r>
      <w:r w:rsidR="00F7383F">
        <w:rPr>
          <w:noProof/>
        </w:rPr>
        <w:fldChar w:fldCharType="begin"/>
      </w:r>
      <w:r>
        <w:rPr>
          <w:noProof/>
        </w:rPr>
        <w:instrText xml:space="preserve"> PAGEREF _Toc200095287 \h </w:instrText>
      </w:r>
      <w:r w:rsidR="00C66024">
        <w:rPr>
          <w:noProof/>
        </w:rPr>
      </w:r>
      <w:r w:rsidR="00F7383F">
        <w:rPr>
          <w:noProof/>
        </w:rPr>
        <w:fldChar w:fldCharType="separate"/>
      </w:r>
      <w:r>
        <w:rPr>
          <w:noProof/>
        </w:rPr>
        <w:t>96</w:t>
      </w:r>
      <w:r w:rsidR="00F7383F">
        <w:rPr>
          <w:noProof/>
        </w:rPr>
        <w:fldChar w:fldCharType="end"/>
      </w:r>
    </w:p>
    <w:p w:rsidR="001E2660" w:rsidRDefault="001E2660">
      <w:pPr>
        <w:pStyle w:val="TOC2"/>
        <w:tabs>
          <w:tab w:val="left" w:pos="780"/>
          <w:tab w:val="right" w:leader="dot" w:pos="9350"/>
        </w:tabs>
        <w:rPr>
          <w:rFonts w:asciiTheme="minorHAnsi" w:eastAsiaTheme="minorEastAsia" w:hAnsiTheme="minorHAnsi" w:cstheme="minorBidi"/>
          <w:noProof/>
          <w:szCs w:val="24"/>
        </w:rPr>
      </w:pPr>
      <w:r>
        <w:rPr>
          <w:noProof/>
        </w:rPr>
        <w:t>4.2</w:t>
      </w:r>
      <w:r>
        <w:rPr>
          <w:rFonts w:asciiTheme="minorHAnsi" w:eastAsiaTheme="minorEastAsia" w:hAnsiTheme="minorHAnsi" w:cstheme="minorBidi"/>
          <w:noProof/>
          <w:szCs w:val="24"/>
        </w:rPr>
        <w:tab/>
      </w:r>
      <w:r>
        <w:rPr>
          <w:noProof/>
        </w:rPr>
        <w:t>Existing Efforts to Forecast Infrastructure</w:t>
      </w:r>
      <w:r>
        <w:rPr>
          <w:noProof/>
        </w:rPr>
        <w:tab/>
      </w:r>
      <w:r w:rsidR="00F7383F">
        <w:rPr>
          <w:noProof/>
        </w:rPr>
        <w:fldChar w:fldCharType="begin"/>
      </w:r>
      <w:r>
        <w:rPr>
          <w:noProof/>
        </w:rPr>
        <w:instrText xml:space="preserve"> PAGEREF _Toc200095288 \h </w:instrText>
      </w:r>
      <w:r w:rsidR="00C66024">
        <w:rPr>
          <w:noProof/>
        </w:rPr>
      </w:r>
      <w:r w:rsidR="00F7383F">
        <w:rPr>
          <w:noProof/>
        </w:rPr>
        <w:fldChar w:fldCharType="separate"/>
      </w:r>
      <w:r>
        <w:rPr>
          <w:noProof/>
        </w:rPr>
        <w:t>100</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4.2.1</w:t>
      </w:r>
      <w:r>
        <w:rPr>
          <w:rFonts w:asciiTheme="minorHAnsi" w:eastAsiaTheme="minorEastAsia" w:hAnsiTheme="minorHAnsi" w:cstheme="minorBidi"/>
          <w:noProof/>
          <w:szCs w:val="24"/>
        </w:rPr>
        <w:tab/>
      </w:r>
      <w:r>
        <w:rPr>
          <w:noProof/>
        </w:rPr>
        <w:t>Forecasting demand for infrastructure</w:t>
      </w:r>
      <w:r>
        <w:rPr>
          <w:noProof/>
        </w:rPr>
        <w:tab/>
      </w:r>
      <w:r w:rsidR="00F7383F">
        <w:rPr>
          <w:noProof/>
        </w:rPr>
        <w:fldChar w:fldCharType="begin"/>
      </w:r>
      <w:r>
        <w:rPr>
          <w:noProof/>
        </w:rPr>
        <w:instrText xml:space="preserve"> PAGEREF _Toc200095289 \h </w:instrText>
      </w:r>
      <w:r w:rsidR="00C66024">
        <w:rPr>
          <w:noProof/>
        </w:rPr>
      </w:r>
      <w:r w:rsidR="00F7383F">
        <w:rPr>
          <w:noProof/>
        </w:rPr>
        <w:fldChar w:fldCharType="separate"/>
      </w:r>
      <w:r>
        <w:rPr>
          <w:noProof/>
        </w:rPr>
        <w:t>101</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4.2.2</w:t>
      </w:r>
      <w:r>
        <w:rPr>
          <w:rFonts w:asciiTheme="minorHAnsi" w:eastAsiaTheme="minorEastAsia" w:hAnsiTheme="minorHAnsi" w:cstheme="minorBidi"/>
          <w:noProof/>
          <w:szCs w:val="24"/>
        </w:rPr>
        <w:tab/>
      </w:r>
      <w:r>
        <w:rPr>
          <w:noProof/>
        </w:rPr>
        <w:t>Forecasting demand for infrastructure funds</w:t>
      </w:r>
      <w:r>
        <w:rPr>
          <w:noProof/>
        </w:rPr>
        <w:tab/>
      </w:r>
      <w:r w:rsidR="00F7383F">
        <w:rPr>
          <w:noProof/>
        </w:rPr>
        <w:fldChar w:fldCharType="begin"/>
      </w:r>
      <w:r>
        <w:rPr>
          <w:noProof/>
        </w:rPr>
        <w:instrText xml:space="preserve"> PAGEREF _Toc200095290 \h </w:instrText>
      </w:r>
      <w:r w:rsidR="00C66024">
        <w:rPr>
          <w:noProof/>
        </w:rPr>
      </w:r>
      <w:r w:rsidR="00F7383F">
        <w:rPr>
          <w:noProof/>
        </w:rPr>
        <w:fldChar w:fldCharType="separate"/>
      </w:r>
      <w:r>
        <w:rPr>
          <w:noProof/>
        </w:rPr>
        <w:t>102</w:t>
      </w:r>
      <w:r w:rsidR="00F7383F">
        <w:rPr>
          <w:noProof/>
        </w:rPr>
        <w:fldChar w:fldCharType="end"/>
      </w:r>
    </w:p>
    <w:p w:rsidR="001E2660" w:rsidRDefault="001E2660">
      <w:pPr>
        <w:pStyle w:val="TOC4"/>
        <w:tabs>
          <w:tab w:val="right" w:leader="dot" w:pos="9350"/>
        </w:tabs>
        <w:rPr>
          <w:rFonts w:asciiTheme="minorHAnsi" w:eastAsiaTheme="minorEastAsia" w:hAnsiTheme="minorHAnsi" w:cstheme="minorBidi"/>
          <w:noProof/>
          <w:szCs w:val="24"/>
        </w:rPr>
      </w:pPr>
      <w:r>
        <w:rPr>
          <w:noProof/>
        </w:rPr>
        <w:t>4.3.2.1 Summary of unit cost data for transportation</w:t>
      </w:r>
      <w:r>
        <w:rPr>
          <w:noProof/>
        </w:rPr>
        <w:tab/>
      </w:r>
      <w:r w:rsidR="00F7383F">
        <w:rPr>
          <w:noProof/>
        </w:rPr>
        <w:fldChar w:fldCharType="begin"/>
      </w:r>
      <w:r>
        <w:rPr>
          <w:noProof/>
        </w:rPr>
        <w:instrText xml:space="preserve"> PAGEREF _Toc200095291 \h </w:instrText>
      </w:r>
      <w:r w:rsidR="00C66024">
        <w:rPr>
          <w:noProof/>
        </w:rPr>
      </w:r>
      <w:r w:rsidR="00F7383F">
        <w:rPr>
          <w:noProof/>
        </w:rPr>
        <w:fldChar w:fldCharType="separate"/>
      </w:r>
      <w:r>
        <w:rPr>
          <w:noProof/>
        </w:rPr>
        <w:t>103</w:t>
      </w:r>
      <w:r w:rsidR="00F7383F">
        <w:rPr>
          <w:noProof/>
        </w:rPr>
        <w:fldChar w:fldCharType="end"/>
      </w:r>
    </w:p>
    <w:p w:rsidR="001E2660" w:rsidRDefault="001E2660">
      <w:pPr>
        <w:pStyle w:val="TOC4"/>
        <w:tabs>
          <w:tab w:val="right" w:leader="dot" w:pos="9350"/>
        </w:tabs>
        <w:rPr>
          <w:rFonts w:asciiTheme="minorHAnsi" w:eastAsiaTheme="minorEastAsia" w:hAnsiTheme="minorHAnsi" w:cstheme="minorBidi"/>
          <w:noProof/>
          <w:szCs w:val="24"/>
        </w:rPr>
      </w:pPr>
      <w:r>
        <w:rPr>
          <w:noProof/>
        </w:rPr>
        <w:t>4.3.2.2 Summary of unit cost data for improved water and sanitation</w:t>
      </w:r>
      <w:r>
        <w:rPr>
          <w:noProof/>
        </w:rPr>
        <w:tab/>
      </w:r>
      <w:r w:rsidR="00F7383F">
        <w:rPr>
          <w:noProof/>
        </w:rPr>
        <w:fldChar w:fldCharType="begin"/>
      </w:r>
      <w:r>
        <w:rPr>
          <w:noProof/>
        </w:rPr>
        <w:instrText xml:space="preserve"> PAGEREF _Toc200095292 \h </w:instrText>
      </w:r>
      <w:r w:rsidR="00C66024">
        <w:rPr>
          <w:noProof/>
        </w:rPr>
      </w:r>
      <w:r w:rsidR="00F7383F">
        <w:rPr>
          <w:noProof/>
        </w:rPr>
        <w:fldChar w:fldCharType="separate"/>
      </w:r>
      <w:r>
        <w:rPr>
          <w:noProof/>
        </w:rPr>
        <w:t>105</w:t>
      </w:r>
      <w:r w:rsidR="00F7383F">
        <w:rPr>
          <w:noProof/>
        </w:rPr>
        <w:fldChar w:fldCharType="end"/>
      </w:r>
    </w:p>
    <w:p w:rsidR="001E2660" w:rsidRDefault="001E2660">
      <w:pPr>
        <w:pStyle w:val="TOC4"/>
        <w:tabs>
          <w:tab w:val="right" w:leader="dot" w:pos="9350"/>
        </w:tabs>
        <w:rPr>
          <w:rFonts w:asciiTheme="minorHAnsi" w:eastAsiaTheme="minorEastAsia" w:hAnsiTheme="minorHAnsi" w:cstheme="minorBidi"/>
          <w:noProof/>
          <w:szCs w:val="24"/>
        </w:rPr>
      </w:pPr>
      <w:r>
        <w:rPr>
          <w:noProof/>
        </w:rPr>
        <w:t>4.3.2.3 Summary of unit cost data for electricity</w:t>
      </w:r>
      <w:r>
        <w:rPr>
          <w:noProof/>
        </w:rPr>
        <w:tab/>
      </w:r>
      <w:r w:rsidR="00F7383F">
        <w:rPr>
          <w:noProof/>
        </w:rPr>
        <w:fldChar w:fldCharType="begin"/>
      </w:r>
      <w:r>
        <w:rPr>
          <w:noProof/>
        </w:rPr>
        <w:instrText xml:space="preserve"> PAGEREF _Toc200095293 \h </w:instrText>
      </w:r>
      <w:r w:rsidR="00C66024">
        <w:rPr>
          <w:noProof/>
        </w:rPr>
      </w:r>
      <w:r w:rsidR="00F7383F">
        <w:rPr>
          <w:noProof/>
        </w:rPr>
        <w:fldChar w:fldCharType="separate"/>
      </w:r>
      <w:r>
        <w:rPr>
          <w:noProof/>
        </w:rPr>
        <w:t>107</w:t>
      </w:r>
      <w:r w:rsidR="00F7383F">
        <w:rPr>
          <w:noProof/>
        </w:rPr>
        <w:fldChar w:fldCharType="end"/>
      </w:r>
    </w:p>
    <w:p w:rsidR="001E2660" w:rsidRDefault="001E2660">
      <w:pPr>
        <w:pStyle w:val="TOC4"/>
        <w:tabs>
          <w:tab w:val="right" w:leader="dot" w:pos="9350"/>
        </w:tabs>
        <w:rPr>
          <w:rFonts w:asciiTheme="minorHAnsi" w:eastAsiaTheme="minorEastAsia" w:hAnsiTheme="minorHAnsi" w:cstheme="minorBidi"/>
          <w:noProof/>
          <w:szCs w:val="24"/>
        </w:rPr>
      </w:pPr>
      <w:r>
        <w:rPr>
          <w:noProof/>
        </w:rPr>
        <w:t>4.3.2.4 Summary of unit cost data for ICT</w:t>
      </w:r>
      <w:r>
        <w:rPr>
          <w:noProof/>
        </w:rPr>
        <w:tab/>
      </w:r>
      <w:r w:rsidR="00F7383F">
        <w:rPr>
          <w:noProof/>
        </w:rPr>
        <w:fldChar w:fldCharType="begin"/>
      </w:r>
      <w:r>
        <w:rPr>
          <w:noProof/>
        </w:rPr>
        <w:instrText xml:space="preserve"> PAGEREF _Toc200095294 \h </w:instrText>
      </w:r>
      <w:r w:rsidR="00C66024">
        <w:rPr>
          <w:noProof/>
        </w:rPr>
      </w:r>
      <w:r w:rsidR="00F7383F">
        <w:rPr>
          <w:noProof/>
        </w:rPr>
        <w:fldChar w:fldCharType="separate"/>
      </w:r>
      <w:r>
        <w:rPr>
          <w:noProof/>
        </w:rPr>
        <w:t>108</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4.2.3</w:t>
      </w:r>
      <w:r>
        <w:rPr>
          <w:rFonts w:asciiTheme="minorHAnsi" w:eastAsiaTheme="minorEastAsia" w:hAnsiTheme="minorHAnsi" w:cstheme="minorBidi"/>
          <w:noProof/>
          <w:szCs w:val="24"/>
        </w:rPr>
        <w:tab/>
      </w:r>
      <w:r>
        <w:rPr>
          <w:noProof/>
        </w:rPr>
        <w:t>Forecasting the socioeconomic and environmental effects of infrastructure as a function of the level of infrastructure</w:t>
      </w:r>
      <w:r>
        <w:rPr>
          <w:noProof/>
        </w:rPr>
        <w:tab/>
      </w:r>
      <w:r w:rsidR="00F7383F">
        <w:rPr>
          <w:noProof/>
        </w:rPr>
        <w:fldChar w:fldCharType="begin"/>
      </w:r>
      <w:r>
        <w:rPr>
          <w:noProof/>
        </w:rPr>
        <w:instrText xml:space="preserve"> PAGEREF _Toc200095295 \h </w:instrText>
      </w:r>
      <w:r w:rsidR="00C66024">
        <w:rPr>
          <w:noProof/>
        </w:rPr>
      </w:r>
      <w:r w:rsidR="00F7383F">
        <w:rPr>
          <w:noProof/>
        </w:rPr>
        <w:fldChar w:fldCharType="separate"/>
      </w:r>
      <w:r>
        <w:rPr>
          <w:noProof/>
        </w:rPr>
        <w:t>111</w:t>
      </w:r>
      <w:r w:rsidR="00F7383F">
        <w:rPr>
          <w:noProof/>
        </w:rPr>
        <w:fldChar w:fldCharType="end"/>
      </w:r>
    </w:p>
    <w:p w:rsidR="001E2660" w:rsidRDefault="001E2660">
      <w:pPr>
        <w:pStyle w:val="TOC2"/>
        <w:tabs>
          <w:tab w:val="left" w:pos="780"/>
          <w:tab w:val="right" w:leader="dot" w:pos="9350"/>
        </w:tabs>
        <w:rPr>
          <w:rFonts w:asciiTheme="minorHAnsi" w:eastAsiaTheme="minorEastAsia" w:hAnsiTheme="minorHAnsi" w:cstheme="minorBidi"/>
          <w:noProof/>
          <w:szCs w:val="24"/>
        </w:rPr>
      </w:pPr>
      <w:r>
        <w:rPr>
          <w:noProof/>
        </w:rPr>
        <w:t>4.3</w:t>
      </w:r>
      <w:r>
        <w:rPr>
          <w:rFonts w:asciiTheme="minorHAnsi" w:eastAsiaTheme="minorEastAsia" w:hAnsiTheme="minorHAnsi" w:cstheme="minorBidi"/>
          <w:noProof/>
          <w:szCs w:val="24"/>
        </w:rPr>
        <w:tab/>
      </w:r>
      <w:r>
        <w:rPr>
          <w:noProof/>
        </w:rPr>
        <w:t>What We Do</w:t>
      </w:r>
      <w:r>
        <w:rPr>
          <w:noProof/>
        </w:rPr>
        <w:tab/>
      </w:r>
      <w:r w:rsidR="00F7383F">
        <w:rPr>
          <w:noProof/>
        </w:rPr>
        <w:fldChar w:fldCharType="begin"/>
      </w:r>
      <w:r>
        <w:rPr>
          <w:noProof/>
        </w:rPr>
        <w:instrText xml:space="preserve"> PAGEREF _Toc200095296 \h </w:instrText>
      </w:r>
      <w:r w:rsidR="00C66024">
        <w:rPr>
          <w:noProof/>
        </w:rPr>
      </w:r>
      <w:r w:rsidR="00F7383F">
        <w:rPr>
          <w:noProof/>
        </w:rPr>
        <w:fldChar w:fldCharType="separate"/>
      </w:r>
      <w:r>
        <w:rPr>
          <w:noProof/>
        </w:rPr>
        <w:t>112</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4.3.1</w:t>
      </w:r>
      <w:r>
        <w:rPr>
          <w:rFonts w:asciiTheme="minorHAnsi" w:eastAsiaTheme="minorEastAsia" w:hAnsiTheme="minorHAnsi" w:cstheme="minorBidi"/>
          <w:noProof/>
          <w:szCs w:val="24"/>
        </w:rPr>
        <w:tab/>
      </w:r>
      <w:r>
        <w:rPr>
          <w:noProof/>
        </w:rPr>
        <w:t>Forecasting the demand for physical infrastructure</w:t>
      </w:r>
      <w:r>
        <w:rPr>
          <w:noProof/>
        </w:rPr>
        <w:tab/>
      </w:r>
      <w:r w:rsidR="00F7383F">
        <w:rPr>
          <w:noProof/>
        </w:rPr>
        <w:fldChar w:fldCharType="begin"/>
      </w:r>
      <w:r>
        <w:rPr>
          <w:noProof/>
        </w:rPr>
        <w:instrText xml:space="preserve"> PAGEREF _Toc200095297 \h </w:instrText>
      </w:r>
      <w:r w:rsidR="00C66024">
        <w:rPr>
          <w:noProof/>
        </w:rPr>
      </w:r>
      <w:r w:rsidR="00F7383F">
        <w:rPr>
          <w:noProof/>
        </w:rPr>
        <w:fldChar w:fldCharType="separate"/>
      </w:r>
      <w:r>
        <w:rPr>
          <w:noProof/>
        </w:rPr>
        <w:t>114</w:t>
      </w:r>
      <w:r w:rsidR="00F7383F">
        <w:rPr>
          <w:noProof/>
        </w:rPr>
        <w:fldChar w:fldCharType="end"/>
      </w:r>
    </w:p>
    <w:p w:rsidR="001E2660" w:rsidRDefault="001E2660">
      <w:pPr>
        <w:pStyle w:val="TOC4"/>
        <w:tabs>
          <w:tab w:val="right" w:leader="dot" w:pos="9350"/>
        </w:tabs>
        <w:rPr>
          <w:rFonts w:asciiTheme="minorHAnsi" w:eastAsiaTheme="minorEastAsia" w:hAnsiTheme="minorHAnsi" w:cstheme="minorBidi"/>
          <w:noProof/>
          <w:szCs w:val="24"/>
        </w:rPr>
      </w:pPr>
      <w:r>
        <w:rPr>
          <w:noProof/>
        </w:rPr>
        <w:t>4.4.1.1 Transportation</w:t>
      </w:r>
      <w:r>
        <w:rPr>
          <w:noProof/>
        </w:rPr>
        <w:tab/>
      </w:r>
      <w:r w:rsidR="00F7383F">
        <w:rPr>
          <w:noProof/>
        </w:rPr>
        <w:fldChar w:fldCharType="begin"/>
      </w:r>
      <w:r>
        <w:rPr>
          <w:noProof/>
        </w:rPr>
        <w:instrText xml:space="preserve"> PAGEREF _Toc200095298 \h </w:instrText>
      </w:r>
      <w:r w:rsidR="00C66024">
        <w:rPr>
          <w:noProof/>
        </w:rPr>
      </w:r>
      <w:r w:rsidR="00F7383F">
        <w:rPr>
          <w:noProof/>
        </w:rPr>
        <w:fldChar w:fldCharType="separate"/>
      </w:r>
      <w:r>
        <w:rPr>
          <w:noProof/>
        </w:rPr>
        <w:t>115</w:t>
      </w:r>
      <w:r w:rsidR="00F7383F">
        <w:rPr>
          <w:noProof/>
        </w:rPr>
        <w:fldChar w:fldCharType="end"/>
      </w:r>
    </w:p>
    <w:p w:rsidR="001E2660" w:rsidRDefault="001E2660">
      <w:pPr>
        <w:pStyle w:val="TOC4"/>
        <w:tabs>
          <w:tab w:val="right" w:leader="dot" w:pos="9350"/>
        </w:tabs>
        <w:rPr>
          <w:rFonts w:asciiTheme="minorHAnsi" w:eastAsiaTheme="minorEastAsia" w:hAnsiTheme="minorHAnsi" w:cstheme="minorBidi"/>
          <w:noProof/>
          <w:szCs w:val="24"/>
        </w:rPr>
      </w:pPr>
      <w:r>
        <w:rPr>
          <w:noProof/>
        </w:rPr>
        <w:t>4.4.1.2 Electricity</w:t>
      </w:r>
      <w:r>
        <w:rPr>
          <w:noProof/>
        </w:rPr>
        <w:tab/>
      </w:r>
      <w:r w:rsidR="00F7383F">
        <w:rPr>
          <w:noProof/>
        </w:rPr>
        <w:fldChar w:fldCharType="begin"/>
      </w:r>
      <w:r>
        <w:rPr>
          <w:noProof/>
        </w:rPr>
        <w:instrText xml:space="preserve"> PAGEREF _Toc200095299 \h </w:instrText>
      </w:r>
      <w:r w:rsidR="00C66024">
        <w:rPr>
          <w:noProof/>
        </w:rPr>
      </w:r>
      <w:r w:rsidR="00F7383F">
        <w:rPr>
          <w:noProof/>
        </w:rPr>
        <w:fldChar w:fldCharType="separate"/>
      </w:r>
      <w:r>
        <w:rPr>
          <w:noProof/>
        </w:rPr>
        <w:t>118</w:t>
      </w:r>
      <w:r w:rsidR="00F7383F">
        <w:rPr>
          <w:noProof/>
        </w:rPr>
        <w:fldChar w:fldCharType="end"/>
      </w:r>
    </w:p>
    <w:p w:rsidR="001E2660" w:rsidRDefault="001E2660">
      <w:pPr>
        <w:pStyle w:val="TOC4"/>
        <w:tabs>
          <w:tab w:val="right" w:leader="dot" w:pos="9350"/>
        </w:tabs>
        <w:rPr>
          <w:rFonts w:asciiTheme="minorHAnsi" w:eastAsiaTheme="minorEastAsia" w:hAnsiTheme="minorHAnsi" w:cstheme="minorBidi"/>
          <w:noProof/>
          <w:szCs w:val="24"/>
        </w:rPr>
      </w:pPr>
      <w:r>
        <w:rPr>
          <w:noProof/>
        </w:rPr>
        <w:t>4.4.1.3 Water and sanitation</w:t>
      </w:r>
      <w:r>
        <w:rPr>
          <w:noProof/>
        </w:rPr>
        <w:tab/>
      </w:r>
      <w:r w:rsidR="00F7383F">
        <w:rPr>
          <w:noProof/>
        </w:rPr>
        <w:fldChar w:fldCharType="begin"/>
      </w:r>
      <w:r>
        <w:rPr>
          <w:noProof/>
        </w:rPr>
        <w:instrText xml:space="preserve"> PAGEREF _Toc200095300 \h </w:instrText>
      </w:r>
      <w:r w:rsidR="00C66024">
        <w:rPr>
          <w:noProof/>
        </w:rPr>
      </w:r>
      <w:r w:rsidR="00F7383F">
        <w:rPr>
          <w:noProof/>
        </w:rPr>
        <w:fldChar w:fldCharType="separate"/>
      </w:r>
      <w:r>
        <w:rPr>
          <w:noProof/>
        </w:rPr>
        <w:t>122</w:t>
      </w:r>
      <w:r w:rsidR="00F7383F">
        <w:rPr>
          <w:noProof/>
        </w:rPr>
        <w:fldChar w:fldCharType="end"/>
      </w:r>
    </w:p>
    <w:p w:rsidR="001E2660" w:rsidRDefault="001E2660">
      <w:pPr>
        <w:pStyle w:val="TOC4"/>
        <w:tabs>
          <w:tab w:val="right" w:leader="dot" w:pos="9350"/>
        </w:tabs>
        <w:rPr>
          <w:rFonts w:asciiTheme="minorHAnsi" w:eastAsiaTheme="minorEastAsia" w:hAnsiTheme="minorHAnsi" w:cstheme="minorBidi"/>
          <w:noProof/>
          <w:szCs w:val="24"/>
        </w:rPr>
      </w:pPr>
      <w:r>
        <w:rPr>
          <w:noProof/>
        </w:rPr>
        <w:t>4.4.1.4 Information and communication technologies (ICT)</w:t>
      </w:r>
      <w:r>
        <w:rPr>
          <w:noProof/>
        </w:rPr>
        <w:tab/>
      </w:r>
      <w:r w:rsidR="00F7383F">
        <w:rPr>
          <w:noProof/>
        </w:rPr>
        <w:fldChar w:fldCharType="begin"/>
      </w:r>
      <w:r>
        <w:rPr>
          <w:noProof/>
        </w:rPr>
        <w:instrText xml:space="preserve"> PAGEREF _Toc200095301 \h </w:instrText>
      </w:r>
      <w:r w:rsidR="00C66024">
        <w:rPr>
          <w:noProof/>
        </w:rPr>
      </w:r>
      <w:r w:rsidR="00F7383F">
        <w:rPr>
          <w:noProof/>
        </w:rPr>
        <w:fldChar w:fldCharType="separate"/>
      </w:r>
      <w:r>
        <w:rPr>
          <w:noProof/>
        </w:rPr>
        <w:t>125</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4.3.2</w:t>
      </w:r>
      <w:r>
        <w:rPr>
          <w:rFonts w:asciiTheme="minorHAnsi" w:eastAsiaTheme="minorEastAsia" w:hAnsiTheme="minorHAnsi" w:cstheme="minorBidi"/>
          <w:noProof/>
          <w:szCs w:val="24"/>
        </w:rPr>
        <w:tab/>
      </w:r>
      <w:r>
        <w:rPr>
          <w:noProof/>
        </w:rPr>
        <w:t>Translating the demand for physical infrastructure into financial demand</w:t>
      </w:r>
      <w:r>
        <w:rPr>
          <w:noProof/>
        </w:rPr>
        <w:tab/>
      </w:r>
      <w:r w:rsidR="00F7383F">
        <w:rPr>
          <w:noProof/>
        </w:rPr>
        <w:fldChar w:fldCharType="begin"/>
      </w:r>
      <w:r>
        <w:rPr>
          <w:noProof/>
        </w:rPr>
        <w:instrText xml:space="preserve"> PAGEREF _Toc200095302 \h </w:instrText>
      </w:r>
      <w:r w:rsidR="00C66024">
        <w:rPr>
          <w:noProof/>
        </w:rPr>
      </w:r>
      <w:r w:rsidR="00F7383F">
        <w:rPr>
          <w:noProof/>
        </w:rPr>
        <w:fldChar w:fldCharType="separate"/>
      </w:r>
      <w:r>
        <w:rPr>
          <w:noProof/>
        </w:rPr>
        <w:t>129</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4.3.3</w:t>
      </w:r>
      <w:r>
        <w:rPr>
          <w:rFonts w:asciiTheme="minorHAnsi" w:eastAsiaTheme="minorEastAsia" w:hAnsiTheme="minorHAnsi" w:cstheme="minorBidi"/>
          <w:noProof/>
          <w:szCs w:val="24"/>
        </w:rPr>
        <w:tab/>
      </w:r>
      <w:r>
        <w:rPr>
          <w:noProof/>
        </w:rPr>
        <w:t>Balancing the financial demand with available resources</w:t>
      </w:r>
      <w:r>
        <w:rPr>
          <w:noProof/>
        </w:rPr>
        <w:tab/>
      </w:r>
      <w:r w:rsidR="00F7383F">
        <w:rPr>
          <w:noProof/>
        </w:rPr>
        <w:fldChar w:fldCharType="begin"/>
      </w:r>
      <w:r>
        <w:rPr>
          <w:noProof/>
        </w:rPr>
        <w:instrText xml:space="preserve"> PAGEREF _Toc200095303 \h </w:instrText>
      </w:r>
      <w:r w:rsidR="00C66024">
        <w:rPr>
          <w:noProof/>
        </w:rPr>
      </w:r>
      <w:r w:rsidR="00F7383F">
        <w:rPr>
          <w:noProof/>
        </w:rPr>
        <w:fldChar w:fldCharType="separate"/>
      </w:r>
      <w:r>
        <w:rPr>
          <w:noProof/>
        </w:rPr>
        <w:t>130</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4.3.4</w:t>
      </w:r>
      <w:r>
        <w:rPr>
          <w:rFonts w:asciiTheme="minorHAnsi" w:eastAsiaTheme="minorEastAsia" w:hAnsiTheme="minorHAnsi" w:cstheme="minorBidi"/>
          <w:noProof/>
          <w:szCs w:val="24"/>
        </w:rPr>
        <w:tab/>
      </w:r>
      <w:r>
        <w:rPr>
          <w:noProof/>
        </w:rPr>
        <w:t>Determining the actual levels of infrastructure attained</w:t>
      </w:r>
      <w:r>
        <w:rPr>
          <w:noProof/>
        </w:rPr>
        <w:tab/>
      </w:r>
      <w:r w:rsidR="00F7383F">
        <w:rPr>
          <w:noProof/>
        </w:rPr>
        <w:fldChar w:fldCharType="begin"/>
      </w:r>
      <w:r>
        <w:rPr>
          <w:noProof/>
        </w:rPr>
        <w:instrText xml:space="preserve"> PAGEREF _Toc200095304 \h </w:instrText>
      </w:r>
      <w:r w:rsidR="00C66024">
        <w:rPr>
          <w:noProof/>
        </w:rPr>
      </w:r>
      <w:r w:rsidR="00F7383F">
        <w:rPr>
          <w:noProof/>
        </w:rPr>
        <w:fldChar w:fldCharType="separate"/>
      </w:r>
      <w:r>
        <w:rPr>
          <w:noProof/>
        </w:rPr>
        <w:t>131</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4.3.5</w:t>
      </w:r>
      <w:r>
        <w:rPr>
          <w:rFonts w:asciiTheme="minorHAnsi" w:eastAsiaTheme="minorEastAsia" w:hAnsiTheme="minorHAnsi" w:cstheme="minorBidi"/>
          <w:noProof/>
          <w:szCs w:val="24"/>
        </w:rPr>
        <w:tab/>
      </w:r>
      <w:r>
        <w:rPr>
          <w:noProof/>
        </w:rPr>
        <w:t>Estimating the economic, social, and environmental impacts of infrastructure</w:t>
      </w:r>
      <w:r>
        <w:rPr>
          <w:noProof/>
        </w:rPr>
        <w:tab/>
      </w:r>
      <w:r w:rsidR="00F7383F">
        <w:rPr>
          <w:noProof/>
        </w:rPr>
        <w:fldChar w:fldCharType="begin"/>
      </w:r>
      <w:r>
        <w:rPr>
          <w:noProof/>
        </w:rPr>
        <w:instrText xml:space="preserve"> PAGEREF _Toc200095305 \h </w:instrText>
      </w:r>
      <w:r w:rsidR="00C66024">
        <w:rPr>
          <w:noProof/>
        </w:rPr>
      </w:r>
      <w:r w:rsidR="00F7383F">
        <w:rPr>
          <w:noProof/>
        </w:rPr>
        <w:fldChar w:fldCharType="separate"/>
      </w:r>
      <w:r>
        <w:rPr>
          <w:noProof/>
        </w:rPr>
        <w:t>132</w:t>
      </w:r>
      <w:r w:rsidR="00F7383F">
        <w:rPr>
          <w:noProof/>
        </w:rPr>
        <w:fldChar w:fldCharType="end"/>
      </w:r>
    </w:p>
    <w:p w:rsidR="001E2660" w:rsidRDefault="001E2660">
      <w:pPr>
        <w:pStyle w:val="TOC4"/>
        <w:tabs>
          <w:tab w:val="right" w:leader="dot" w:pos="9350"/>
        </w:tabs>
        <w:rPr>
          <w:rFonts w:asciiTheme="minorHAnsi" w:eastAsiaTheme="minorEastAsia" w:hAnsiTheme="minorHAnsi" w:cstheme="minorBidi"/>
          <w:noProof/>
          <w:szCs w:val="24"/>
        </w:rPr>
      </w:pPr>
      <w:r>
        <w:rPr>
          <w:noProof/>
        </w:rPr>
        <w:t>4.3.5.1 Impacts on productivity and economic growth</w:t>
      </w:r>
      <w:r>
        <w:rPr>
          <w:noProof/>
        </w:rPr>
        <w:tab/>
      </w:r>
      <w:r w:rsidR="00F7383F">
        <w:rPr>
          <w:noProof/>
        </w:rPr>
        <w:fldChar w:fldCharType="begin"/>
      </w:r>
      <w:r>
        <w:rPr>
          <w:noProof/>
        </w:rPr>
        <w:instrText xml:space="preserve"> PAGEREF _Toc200095306 \h </w:instrText>
      </w:r>
      <w:r w:rsidR="00C66024">
        <w:rPr>
          <w:noProof/>
        </w:rPr>
      </w:r>
      <w:r w:rsidR="00F7383F">
        <w:rPr>
          <w:noProof/>
        </w:rPr>
        <w:fldChar w:fldCharType="separate"/>
      </w:r>
      <w:r>
        <w:rPr>
          <w:noProof/>
        </w:rPr>
        <w:t>132</w:t>
      </w:r>
      <w:r w:rsidR="00F7383F">
        <w:rPr>
          <w:noProof/>
        </w:rPr>
        <w:fldChar w:fldCharType="end"/>
      </w:r>
    </w:p>
    <w:p w:rsidR="001E2660" w:rsidRDefault="001E2660">
      <w:pPr>
        <w:pStyle w:val="TOC4"/>
        <w:tabs>
          <w:tab w:val="right" w:leader="dot" w:pos="9350"/>
        </w:tabs>
        <w:rPr>
          <w:rFonts w:asciiTheme="minorHAnsi" w:eastAsiaTheme="minorEastAsia" w:hAnsiTheme="minorHAnsi" w:cstheme="minorBidi"/>
          <w:noProof/>
          <w:szCs w:val="24"/>
        </w:rPr>
      </w:pPr>
      <w:r>
        <w:rPr>
          <w:noProof/>
        </w:rPr>
        <w:t>4.3.5.2 Impacts on health</w:t>
      </w:r>
      <w:r>
        <w:rPr>
          <w:noProof/>
        </w:rPr>
        <w:tab/>
      </w:r>
      <w:r w:rsidR="00F7383F">
        <w:rPr>
          <w:noProof/>
        </w:rPr>
        <w:fldChar w:fldCharType="begin"/>
      </w:r>
      <w:r>
        <w:rPr>
          <w:noProof/>
        </w:rPr>
        <w:instrText xml:space="preserve"> PAGEREF _Toc200095307 \h </w:instrText>
      </w:r>
      <w:r w:rsidR="00C66024">
        <w:rPr>
          <w:noProof/>
        </w:rPr>
      </w:r>
      <w:r w:rsidR="00F7383F">
        <w:rPr>
          <w:noProof/>
        </w:rPr>
        <w:fldChar w:fldCharType="separate"/>
      </w:r>
      <w:r>
        <w:rPr>
          <w:noProof/>
        </w:rPr>
        <w:t>135</w:t>
      </w:r>
      <w:r w:rsidR="00F7383F">
        <w:rPr>
          <w:noProof/>
        </w:rPr>
        <w:fldChar w:fldCharType="end"/>
      </w:r>
    </w:p>
    <w:p w:rsidR="001E2660" w:rsidRDefault="001E2660">
      <w:pPr>
        <w:pStyle w:val="TOC4"/>
        <w:tabs>
          <w:tab w:val="right" w:leader="dot" w:pos="9350"/>
        </w:tabs>
        <w:rPr>
          <w:rFonts w:asciiTheme="minorHAnsi" w:eastAsiaTheme="minorEastAsia" w:hAnsiTheme="minorHAnsi" w:cstheme="minorBidi"/>
          <w:noProof/>
          <w:szCs w:val="24"/>
        </w:rPr>
      </w:pPr>
      <w:r>
        <w:rPr>
          <w:noProof/>
        </w:rPr>
        <w:t>4.3.5.3 Impacts on energy</w:t>
      </w:r>
      <w:r>
        <w:rPr>
          <w:noProof/>
        </w:rPr>
        <w:tab/>
      </w:r>
      <w:r w:rsidR="00F7383F">
        <w:rPr>
          <w:noProof/>
        </w:rPr>
        <w:fldChar w:fldCharType="begin"/>
      </w:r>
      <w:r>
        <w:rPr>
          <w:noProof/>
        </w:rPr>
        <w:instrText xml:space="preserve"> PAGEREF _Toc200095308 \h </w:instrText>
      </w:r>
      <w:r w:rsidR="00C66024">
        <w:rPr>
          <w:noProof/>
        </w:rPr>
      </w:r>
      <w:r w:rsidR="00F7383F">
        <w:rPr>
          <w:noProof/>
        </w:rPr>
        <w:fldChar w:fldCharType="separate"/>
      </w:r>
      <w:r>
        <w:rPr>
          <w:noProof/>
        </w:rPr>
        <w:t>136</w:t>
      </w:r>
      <w:r w:rsidR="00F7383F">
        <w:rPr>
          <w:noProof/>
        </w:rPr>
        <w:fldChar w:fldCharType="end"/>
      </w:r>
    </w:p>
    <w:p w:rsidR="001E2660" w:rsidRDefault="001E2660">
      <w:pPr>
        <w:pStyle w:val="TOC2"/>
        <w:tabs>
          <w:tab w:val="left" w:pos="780"/>
          <w:tab w:val="right" w:leader="dot" w:pos="9350"/>
        </w:tabs>
        <w:rPr>
          <w:rFonts w:asciiTheme="minorHAnsi" w:eastAsiaTheme="minorEastAsia" w:hAnsiTheme="minorHAnsi" w:cstheme="minorBidi"/>
          <w:noProof/>
          <w:szCs w:val="24"/>
        </w:rPr>
      </w:pPr>
      <w:r>
        <w:rPr>
          <w:noProof/>
        </w:rPr>
        <w:t>4.4</w:t>
      </w:r>
      <w:r>
        <w:rPr>
          <w:rFonts w:asciiTheme="minorHAnsi" w:eastAsiaTheme="minorEastAsia" w:hAnsiTheme="minorHAnsi" w:cstheme="minorBidi"/>
          <w:noProof/>
          <w:szCs w:val="24"/>
        </w:rPr>
        <w:tab/>
      </w:r>
      <w:r>
        <w:rPr>
          <w:noProof/>
        </w:rPr>
        <w:t>Conclusion</w:t>
      </w:r>
      <w:r>
        <w:rPr>
          <w:noProof/>
        </w:rPr>
        <w:tab/>
      </w:r>
      <w:r w:rsidR="00F7383F">
        <w:rPr>
          <w:noProof/>
        </w:rPr>
        <w:fldChar w:fldCharType="begin"/>
      </w:r>
      <w:r>
        <w:rPr>
          <w:noProof/>
        </w:rPr>
        <w:instrText xml:space="preserve"> PAGEREF _Toc200095309 \h </w:instrText>
      </w:r>
      <w:r w:rsidR="00C66024">
        <w:rPr>
          <w:noProof/>
        </w:rPr>
      </w:r>
      <w:r w:rsidR="00F7383F">
        <w:rPr>
          <w:noProof/>
        </w:rPr>
        <w:fldChar w:fldCharType="separate"/>
      </w:r>
      <w:r>
        <w:rPr>
          <w:noProof/>
        </w:rPr>
        <w:t>136</w:t>
      </w:r>
      <w:r w:rsidR="00F7383F">
        <w:rPr>
          <w:noProof/>
        </w:rPr>
        <w:fldChar w:fldCharType="end"/>
      </w:r>
    </w:p>
    <w:p w:rsidR="001E2660" w:rsidRDefault="001E2660">
      <w:pPr>
        <w:pStyle w:val="TOC1"/>
        <w:tabs>
          <w:tab w:val="left" w:pos="420"/>
          <w:tab w:val="right" w:leader="dot" w:pos="9350"/>
        </w:tabs>
        <w:rPr>
          <w:rFonts w:asciiTheme="minorHAnsi" w:eastAsiaTheme="minorEastAsia" w:hAnsiTheme="minorHAnsi" w:cstheme="minorBidi"/>
          <w:noProof/>
          <w:szCs w:val="24"/>
        </w:rPr>
      </w:pPr>
      <w:r>
        <w:rPr>
          <w:noProof/>
        </w:rPr>
        <w:t>5.</w:t>
      </w:r>
      <w:r>
        <w:rPr>
          <w:rFonts w:asciiTheme="minorHAnsi" w:eastAsiaTheme="minorEastAsia" w:hAnsiTheme="minorHAnsi" w:cstheme="minorBidi"/>
          <w:noProof/>
          <w:szCs w:val="24"/>
        </w:rPr>
        <w:tab/>
      </w:r>
      <w:r>
        <w:rPr>
          <w:noProof/>
        </w:rPr>
        <w:t>Infrastructure Development and Spending in the IFs Base Case</w:t>
      </w:r>
      <w:r>
        <w:rPr>
          <w:noProof/>
        </w:rPr>
        <w:tab/>
      </w:r>
      <w:r w:rsidR="00F7383F">
        <w:rPr>
          <w:noProof/>
        </w:rPr>
        <w:fldChar w:fldCharType="begin"/>
      </w:r>
      <w:r>
        <w:rPr>
          <w:noProof/>
        </w:rPr>
        <w:instrText xml:space="preserve"> PAGEREF _Toc200095310 \h </w:instrText>
      </w:r>
      <w:r w:rsidR="00C66024">
        <w:rPr>
          <w:noProof/>
        </w:rPr>
      </w:r>
      <w:r w:rsidR="00F7383F">
        <w:rPr>
          <w:noProof/>
        </w:rPr>
        <w:fldChar w:fldCharType="separate"/>
      </w:r>
      <w:r>
        <w:rPr>
          <w:noProof/>
        </w:rPr>
        <w:t>138</w:t>
      </w:r>
      <w:r w:rsidR="00F7383F">
        <w:rPr>
          <w:noProof/>
        </w:rPr>
        <w:fldChar w:fldCharType="end"/>
      </w:r>
    </w:p>
    <w:p w:rsidR="001E2660" w:rsidRDefault="001E2660">
      <w:pPr>
        <w:pStyle w:val="TOC2"/>
        <w:tabs>
          <w:tab w:val="right" w:leader="dot" w:pos="9350"/>
        </w:tabs>
        <w:rPr>
          <w:rFonts w:asciiTheme="minorHAnsi" w:eastAsiaTheme="minorEastAsia" w:hAnsiTheme="minorHAnsi" w:cstheme="minorBidi"/>
          <w:noProof/>
          <w:szCs w:val="24"/>
        </w:rPr>
      </w:pPr>
      <w:r>
        <w:rPr>
          <w:noProof/>
        </w:rPr>
        <w:t>5.1 Base case results</w:t>
      </w:r>
      <w:r>
        <w:rPr>
          <w:noProof/>
        </w:rPr>
        <w:tab/>
      </w:r>
      <w:r w:rsidR="00F7383F">
        <w:rPr>
          <w:noProof/>
        </w:rPr>
        <w:fldChar w:fldCharType="begin"/>
      </w:r>
      <w:r>
        <w:rPr>
          <w:noProof/>
        </w:rPr>
        <w:instrText xml:space="preserve"> PAGEREF _Toc200095311 \h </w:instrText>
      </w:r>
      <w:r w:rsidR="00C66024">
        <w:rPr>
          <w:noProof/>
        </w:rPr>
      </w:r>
      <w:r w:rsidR="00F7383F">
        <w:rPr>
          <w:noProof/>
        </w:rPr>
        <w:fldChar w:fldCharType="separate"/>
      </w:r>
      <w:r>
        <w:rPr>
          <w:noProof/>
        </w:rPr>
        <w:t>140</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5.1.1</w:t>
      </w:r>
      <w:r>
        <w:rPr>
          <w:rFonts w:asciiTheme="minorHAnsi" w:eastAsiaTheme="minorEastAsia" w:hAnsiTheme="minorHAnsi" w:cstheme="minorBidi"/>
          <w:noProof/>
          <w:szCs w:val="24"/>
        </w:rPr>
        <w:tab/>
      </w:r>
      <w:r>
        <w:rPr>
          <w:noProof/>
        </w:rPr>
        <w:t>Introducing the IFs base case</w:t>
      </w:r>
      <w:r>
        <w:rPr>
          <w:noProof/>
        </w:rPr>
        <w:tab/>
      </w:r>
      <w:r w:rsidR="00F7383F">
        <w:rPr>
          <w:noProof/>
        </w:rPr>
        <w:fldChar w:fldCharType="begin"/>
      </w:r>
      <w:r>
        <w:rPr>
          <w:noProof/>
        </w:rPr>
        <w:instrText xml:space="preserve"> PAGEREF _Toc200095312 \h </w:instrText>
      </w:r>
      <w:r w:rsidR="00C66024">
        <w:rPr>
          <w:noProof/>
        </w:rPr>
      </w:r>
      <w:r w:rsidR="00F7383F">
        <w:rPr>
          <w:noProof/>
        </w:rPr>
        <w:fldChar w:fldCharType="separate"/>
      </w:r>
      <w:r>
        <w:rPr>
          <w:noProof/>
        </w:rPr>
        <w:t>140</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5.1.2</w:t>
      </w:r>
      <w:r>
        <w:rPr>
          <w:rFonts w:asciiTheme="minorHAnsi" w:eastAsiaTheme="minorEastAsia" w:hAnsiTheme="minorHAnsi" w:cstheme="minorBidi"/>
          <w:noProof/>
          <w:szCs w:val="24"/>
        </w:rPr>
        <w:tab/>
      </w:r>
      <w:r>
        <w:rPr>
          <w:noProof/>
        </w:rPr>
        <w:t>Total stocks of infrastructure</w:t>
      </w:r>
      <w:r>
        <w:rPr>
          <w:noProof/>
        </w:rPr>
        <w:tab/>
      </w:r>
      <w:r w:rsidR="00F7383F">
        <w:rPr>
          <w:noProof/>
        </w:rPr>
        <w:fldChar w:fldCharType="begin"/>
      </w:r>
      <w:r>
        <w:rPr>
          <w:noProof/>
        </w:rPr>
        <w:instrText xml:space="preserve"> PAGEREF _Toc200095313 \h </w:instrText>
      </w:r>
      <w:r w:rsidR="00C66024">
        <w:rPr>
          <w:noProof/>
        </w:rPr>
      </w:r>
      <w:r w:rsidR="00F7383F">
        <w:rPr>
          <w:noProof/>
        </w:rPr>
        <w:fldChar w:fldCharType="separate"/>
      </w:r>
      <w:r>
        <w:rPr>
          <w:noProof/>
        </w:rPr>
        <w:t>140</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5.1.3</w:t>
      </w:r>
      <w:r>
        <w:rPr>
          <w:rFonts w:asciiTheme="minorHAnsi" w:eastAsiaTheme="minorEastAsia" w:hAnsiTheme="minorHAnsi" w:cstheme="minorBidi"/>
          <w:noProof/>
          <w:szCs w:val="24"/>
        </w:rPr>
        <w:tab/>
      </w:r>
      <w:r>
        <w:rPr>
          <w:noProof/>
        </w:rPr>
        <w:t>Access to infrastructure</w:t>
      </w:r>
      <w:r>
        <w:rPr>
          <w:noProof/>
        </w:rPr>
        <w:tab/>
      </w:r>
      <w:r w:rsidR="00F7383F">
        <w:rPr>
          <w:noProof/>
        </w:rPr>
        <w:fldChar w:fldCharType="begin"/>
      </w:r>
      <w:r>
        <w:rPr>
          <w:noProof/>
        </w:rPr>
        <w:instrText xml:space="preserve"> PAGEREF _Toc200095314 \h </w:instrText>
      </w:r>
      <w:r w:rsidR="00C66024">
        <w:rPr>
          <w:noProof/>
        </w:rPr>
      </w:r>
      <w:r w:rsidR="00F7383F">
        <w:rPr>
          <w:noProof/>
        </w:rPr>
        <w:fldChar w:fldCharType="separate"/>
      </w:r>
      <w:r>
        <w:rPr>
          <w:noProof/>
        </w:rPr>
        <w:t>143</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5.1.4</w:t>
      </w:r>
      <w:r>
        <w:rPr>
          <w:rFonts w:asciiTheme="minorHAnsi" w:eastAsiaTheme="minorEastAsia" w:hAnsiTheme="minorHAnsi" w:cstheme="minorBidi"/>
          <w:noProof/>
          <w:szCs w:val="24"/>
        </w:rPr>
        <w:tab/>
      </w:r>
      <w:r>
        <w:rPr>
          <w:noProof/>
        </w:rPr>
        <w:t>Spending on Infrastructure</w:t>
      </w:r>
      <w:r>
        <w:rPr>
          <w:noProof/>
        </w:rPr>
        <w:tab/>
      </w:r>
      <w:r w:rsidR="00F7383F">
        <w:rPr>
          <w:noProof/>
        </w:rPr>
        <w:fldChar w:fldCharType="begin"/>
      </w:r>
      <w:r>
        <w:rPr>
          <w:noProof/>
        </w:rPr>
        <w:instrText xml:space="preserve"> PAGEREF _Toc200095315 \h </w:instrText>
      </w:r>
      <w:r w:rsidR="00C66024">
        <w:rPr>
          <w:noProof/>
        </w:rPr>
      </w:r>
      <w:r w:rsidR="00F7383F">
        <w:rPr>
          <w:noProof/>
        </w:rPr>
        <w:fldChar w:fldCharType="separate"/>
      </w:r>
      <w:r>
        <w:rPr>
          <w:noProof/>
        </w:rPr>
        <w:t>148</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5.1.5</w:t>
      </w:r>
      <w:r>
        <w:rPr>
          <w:rFonts w:asciiTheme="minorHAnsi" w:eastAsiaTheme="minorEastAsia" w:hAnsiTheme="minorHAnsi" w:cstheme="minorBidi"/>
          <w:noProof/>
          <w:szCs w:val="24"/>
        </w:rPr>
        <w:tab/>
      </w:r>
      <w:r>
        <w:rPr>
          <w:noProof/>
        </w:rPr>
        <w:t>Spending shortfalls</w:t>
      </w:r>
      <w:r>
        <w:rPr>
          <w:noProof/>
        </w:rPr>
        <w:tab/>
      </w:r>
      <w:r w:rsidR="00F7383F">
        <w:rPr>
          <w:noProof/>
        </w:rPr>
        <w:fldChar w:fldCharType="begin"/>
      </w:r>
      <w:r>
        <w:rPr>
          <w:noProof/>
        </w:rPr>
        <w:instrText xml:space="preserve"> PAGEREF _Toc200095316 \h </w:instrText>
      </w:r>
      <w:r w:rsidR="00C66024">
        <w:rPr>
          <w:noProof/>
        </w:rPr>
      </w:r>
      <w:r w:rsidR="00F7383F">
        <w:rPr>
          <w:noProof/>
        </w:rPr>
        <w:fldChar w:fldCharType="separate"/>
      </w:r>
      <w:r>
        <w:rPr>
          <w:noProof/>
        </w:rPr>
        <w:t>154</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5.1.6</w:t>
      </w:r>
      <w:r>
        <w:rPr>
          <w:rFonts w:asciiTheme="minorHAnsi" w:eastAsiaTheme="minorEastAsia" w:hAnsiTheme="minorHAnsi" w:cstheme="minorBidi"/>
          <w:noProof/>
          <w:szCs w:val="24"/>
        </w:rPr>
        <w:tab/>
      </w:r>
      <w:r>
        <w:rPr>
          <w:noProof/>
        </w:rPr>
        <w:t>Falling short of targets</w:t>
      </w:r>
      <w:r>
        <w:rPr>
          <w:noProof/>
        </w:rPr>
        <w:tab/>
      </w:r>
      <w:r w:rsidR="00F7383F">
        <w:rPr>
          <w:noProof/>
        </w:rPr>
        <w:fldChar w:fldCharType="begin"/>
      </w:r>
      <w:r>
        <w:rPr>
          <w:noProof/>
        </w:rPr>
        <w:instrText xml:space="preserve"> PAGEREF _Toc200095317 \h </w:instrText>
      </w:r>
      <w:r w:rsidR="00C66024">
        <w:rPr>
          <w:noProof/>
        </w:rPr>
      </w:r>
      <w:r w:rsidR="00F7383F">
        <w:rPr>
          <w:noProof/>
        </w:rPr>
        <w:fldChar w:fldCharType="separate"/>
      </w:r>
      <w:r>
        <w:rPr>
          <w:noProof/>
        </w:rPr>
        <w:t>155</w:t>
      </w:r>
      <w:r w:rsidR="00F7383F">
        <w:rPr>
          <w:noProof/>
        </w:rPr>
        <w:fldChar w:fldCharType="end"/>
      </w:r>
    </w:p>
    <w:p w:rsidR="001E2660" w:rsidRDefault="001E2660">
      <w:pPr>
        <w:pStyle w:val="TOC2"/>
        <w:tabs>
          <w:tab w:val="right" w:leader="dot" w:pos="9350"/>
        </w:tabs>
        <w:rPr>
          <w:rFonts w:asciiTheme="minorHAnsi" w:eastAsiaTheme="minorEastAsia" w:hAnsiTheme="minorHAnsi" w:cstheme="minorBidi"/>
          <w:noProof/>
          <w:szCs w:val="24"/>
        </w:rPr>
      </w:pPr>
      <w:r>
        <w:rPr>
          <w:noProof/>
        </w:rPr>
        <w:t>5.2 Comparisons of the base case with other forecasts</w:t>
      </w:r>
      <w:r>
        <w:rPr>
          <w:noProof/>
        </w:rPr>
        <w:tab/>
      </w:r>
      <w:r w:rsidR="00F7383F">
        <w:rPr>
          <w:noProof/>
        </w:rPr>
        <w:fldChar w:fldCharType="begin"/>
      </w:r>
      <w:r>
        <w:rPr>
          <w:noProof/>
        </w:rPr>
        <w:instrText xml:space="preserve"> PAGEREF _Toc200095318 \h </w:instrText>
      </w:r>
      <w:r w:rsidR="00C66024">
        <w:rPr>
          <w:noProof/>
        </w:rPr>
      </w:r>
      <w:r w:rsidR="00F7383F">
        <w:rPr>
          <w:noProof/>
        </w:rPr>
        <w:fldChar w:fldCharType="separate"/>
      </w:r>
      <w:r>
        <w:rPr>
          <w:noProof/>
        </w:rPr>
        <w:t>159</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5.2.1</w:t>
      </w:r>
      <w:r>
        <w:rPr>
          <w:rFonts w:asciiTheme="minorHAnsi" w:eastAsiaTheme="minorEastAsia" w:hAnsiTheme="minorHAnsi" w:cstheme="minorBidi"/>
          <w:noProof/>
          <w:szCs w:val="24"/>
        </w:rPr>
        <w:tab/>
      </w:r>
      <w:r>
        <w:rPr>
          <w:noProof/>
        </w:rPr>
        <w:t>Electricity generating capacity and access to electricity</w:t>
      </w:r>
      <w:r>
        <w:rPr>
          <w:noProof/>
        </w:rPr>
        <w:tab/>
      </w:r>
      <w:r w:rsidR="00F7383F">
        <w:rPr>
          <w:noProof/>
        </w:rPr>
        <w:fldChar w:fldCharType="begin"/>
      </w:r>
      <w:r>
        <w:rPr>
          <w:noProof/>
        </w:rPr>
        <w:instrText xml:space="preserve"> PAGEREF _Toc200095319 \h </w:instrText>
      </w:r>
      <w:r w:rsidR="00C66024">
        <w:rPr>
          <w:noProof/>
        </w:rPr>
      </w:r>
      <w:r w:rsidR="00F7383F">
        <w:rPr>
          <w:noProof/>
        </w:rPr>
        <w:fldChar w:fldCharType="separate"/>
      </w:r>
      <w:r>
        <w:rPr>
          <w:noProof/>
        </w:rPr>
        <w:t>160</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5.2.2</w:t>
      </w:r>
      <w:r>
        <w:rPr>
          <w:rFonts w:asciiTheme="minorHAnsi" w:eastAsiaTheme="minorEastAsia" w:hAnsiTheme="minorHAnsi" w:cstheme="minorBidi"/>
          <w:noProof/>
          <w:szCs w:val="24"/>
        </w:rPr>
        <w:tab/>
      </w:r>
      <w:r>
        <w:rPr>
          <w:noProof/>
        </w:rPr>
        <w:t>Infrastructure spending forecasts</w:t>
      </w:r>
      <w:r>
        <w:rPr>
          <w:noProof/>
        </w:rPr>
        <w:tab/>
      </w:r>
      <w:r w:rsidR="00F7383F">
        <w:rPr>
          <w:noProof/>
        </w:rPr>
        <w:fldChar w:fldCharType="begin"/>
      </w:r>
      <w:r>
        <w:rPr>
          <w:noProof/>
        </w:rPr>
        <w:instrText xml:space="preserve"> PAGEREF _Toc200095320 \h </w:instrText>
      </w:r>
      <w:r w:rsidR="00C66024">
        <w:rPr>
          <w:noProof/>
        </w:rPr>
      </w:r>
      <w:r w:rsidR="00F7383F">
        <w:rPr>
          <w:noProof/>
        </w:rPr>
        <w:fldChar w:fldCharType="separate"/>
      </w:r>
      <w:r>
        <w:rPr>
          <w:noProof/>
        </w:rPr>
        <w:t>162</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5.2.3</w:t>
      </w:r>
      <w:r>
        <w:rPr>
          <w:rFonts w:asciiTheme="minorHAnsi" w:eastAsiaTheme="minorEastAsia" w:hAnsiTheme="minorHAnsi" w:cstheme="minorBidi"/>
          <w:noProof/>
          <w:szCs w:val="24"/>
        </w:rPr>
        <w:tab/>
      </w:r>
      <w:r>
        <w:rPr>
          <w:noProof/>
        </w:rPr>
        <w:t>Hughes, Chinowsky, and Strzepek forecasts</w:t>
      </w:r>
      <w:r>
        <w:rPr>
          <w:noProof/>
        </w:rPr>
        <w:tab/>
      </w:r>
      <w:r w:rsidR="00F7383F">
        <w:rPr>
          <w:noProof/>
        </w:rPr>
        <w:fldChar w:fldCharType="begin"/>
      </w:r>
      <w:r>
        <w:rPr>
          <w:noProof/>
        </w:rPr>
        <w:instrText xml:space="preserve"> PAGEREF _Toc200095321 \h </w:instrText>
      </w:r>
      <w:r w:rsidR="00C66024">
        <w:rPr>
          <w:noProof/>
        </w:rPr>
      </w:r>
      <w:r w:rsidR="00F7383F">
        <w:rPr>
          <w:noProof/>
        </w:rPr>
        <w:fldChar w:fldCharType="separate"/>
      </w:r>
      <w:r>
        <w:rPr>
          <w:noProof/>
        </w:rPr>
        <w:t>166</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5.2.4</w:t>
      </w:r>
      <w:r>
        <w:rPr>
          <w:rFonts w:asciiTheme="minorHAnsi" w:eastAsiaTheme="minorEastAsia" w:hAnsiTheme="minorHAnsi" w:cstheme="minorBidi"/>
          <w:noProof/>
          <w:szCs w:val="24"/>
        </w:rPr>
        <w:tab/>
      </w:r>
      <w:r>
        <w:rPr>
          <w:noProof/>
        </w:rPr>
        <w:t>Summary of forecast comparisons</w:t>
      </w:r>
      <w:r>
        <w:rPr>
          <w:noProof/>
        </w:rPr>
        <w:tab/>
      </w:r>
      <w:r w:rsidR="00F7383F">
        <w:rPr>
          <w:noProof/>
        </w:rPr>
        <w:fldChar w:fldCharType="begin"/>
      </w:r>
      <w:r>
        <w:rPr>
          <w:noProof/>
        </w:rPr>
        <w:instrText xml:space="preserve"> PAGEREF _Toc200095322 \h </w:instrText>
      </w:r>
      <w:r w:rsidR="00C66024">
        <w:rPr>
          <w:noProof/>
        </w:rPr>
      </w:r>
      <w:r w:rsidR="00F7383F">
        <w:rPr>
          <w:noProof/>
        </w:rPr>
        <w:fldChar w:fldCharType="separate"/>
      </w:r>
      <w:r>
        <w:rPr>
          <w:noProof/>
        </w:rPr>
        <w:t>171</w:t>
      </w:r>
      <w:r w:rsidR="00F7383F">
        <w:rPr>
          <w:noProof/>
        </w:rPr>
        <w:fldChar w:fldCharType="end"/>
      </w:r>
    </w:p>
    <w:p w:rsidR="001E2660" w:rsidRDefault="001E2660">
      <w:pPr>
        <w:pStyle w:val="TOC2"/>
        <w:tabs>
          <w:tab w:val="right" w:leader="dot" w:pos="9350"/>
        </w:tabs>
        <w:rPr>
          <w:rFonts w:asciiTheme="minorHAnsi" w:eastAsiaTheme="minorEastAsia" w:hAnsiTheme="minorHAnsi" w:cstheme="minorBidi"/>
          <w:noProof/>
          <w:szCs w:val="24"/>
        </w:rPr>
      </w:pPr>
      <w:r>
        <w:rPr>
          <w:noProof/>
        </w:rPr>
        <w:t>5.3 Exploring Key Uncertainties</w:t>
      </w:r>
      <w:r>
        <w:rPr>
          <w:noProof/>
        </w:rPr>
        <w:tab/>
      </w:r>
      <w:r w:rsidR="00F7383F">
        <w:rPr>
          <w:noProof/>
        </w:rPr>
        <w:fldChar w:fldCharType="begin"/>
      </w:r>
      <w:r>
        <w:rPr>
          <w:noProof/>
        </w:rPr>
        <w:instrText xml:space="preserve"> PAGEREF _Toc200095323 \h </w:instrText>
      </w:r>
      <w:r w:rsidR="00C66024">
        <w:rPr>
          <w:noProof/>
        </w:rPr>
      </w:r>
      <w:r w:rsidR="00F7383F">
        <w:rPr>
          <w:noProof/>
        </w:rPr>
        <w:fldChar w:fldCharType="separate"/>
      </w:r>
      <w:r>
        <w:rPr>
          <w:noProof/>
        </w:rPr>
        <w:t>171</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5.3.1</w:t>
      </w:r>
      <w:r>
        <w:rPr>
          <w:rFonts w:asciiTheme="minorHAnsi" w:eastAsiaTheme="minorEastAsia" w:hAnsiTheme="minorHAnsi" w:cstheme="minorBidi"/>
          <w:noProof/>
          <w:szCs w:val="24"/>
        </w:rPr>
        <w:tab/>
      </w:r>
      <w:r>
        <w:rPr>
          <w:noProof/>
        </w:rPr>
        <w:t>Cost assumptions</w:t>
      </w:r>
      <w:r>
        <w:rPr>
          <w:noProof/>
        </w:rPr>
        <w:tab/>
      </w:r>
      <w:r w:rsidR="00F7383F">
        <w:rPr>
          <w:noProof/>
        </w:rPr>
        <w:fldChar w:fldCharType="begin"/>
      </w:r>
      <w:r>
        <w:rPr>
          <w:noProof/>
        </w:rPr>
        <w:instrText xml:space="preserve"> PAGEREF _Toc200095324 \h </w:instrText>
      </w:r>
      <w:r w:rsidR="00C66024">
        <w:rPr>
          <w:noProof/>
        </w:rPr>
      </w:r>
      <w:r w:rsidR="00F7383F">
        <w:rPr>
          <w:noProof/>
        </w:rPr>
        <w:fldChar w:fldCharType="separate"/>
      </w:r>
      <w:r>
        <w:rPr>
          <w:noProof/>
        </w:rPr>
        <w:t>171</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5.3.2</w:t>
      </w:r>
      <w:r>
        <w:rPr>
          <w:rFonts w:asciiTheme="minorHAnsi" w:eastAsiaTheme="minorEastAsia" w:hAnsiTheme="minorHAnsi" w:cstheme="minorBidi"/>
          <w:noProof/>
          <w:szCs w:val="24"/>
        </w:rPr>
        <w:tab/>
      </w:r>
      <w:r>
        <w:rPr>
          <w:noProof/>
        </w:rPr>
        <w:t>MFP assumptions</w:t>
      </w:r>
      <w:r>
        <w:rPr>
          <w:noProof/>
        </w:rPr>
        <w:tab/>
      </w:r>
      <w:r w:rsidR="00F7383F">
        <w:rPr>
          <w:noProof/>
        </w:rPr>
        <w:fldChar w:fldCharType="begin"/>
      </w:r>
      <w:r>
        <w:rPr>
          <w:noProof/>
        </w:rPr>
        <w:instrText xml:space="preserve"> PAGEREF _Toc200095325 \h </w:instrText>
      </w:r>
      <w:r w:rsidR="00C66024">
        <w:rPr>
          <w:noProof/>
        </w:rPr>
      </w:r>
      <w:r w:rsidR="00F7383F">
        <w:rPr>
          <w:noProof/>
        </w:rPr>
        <w:fldChar w:fldCharType="separate"/>
      </w:r>
      <w:r>
        <w:rPr>
          <w:noProof/>
        </w:rPr>
        <w:t>171</w:t>
      </w:r>
      <w:r w:rsidR="00F7383F">
        <w:rPr>
          <w:noProof/>
        </w:rPr>
        <w:fldChar w:fldCharType="end"/>
      </w:r>
    </w:p>
    <w:p w:rsidR="001E2660" w:rsidRDefault="001E2660">
      <w:pPr>
        <w:pStyle w:val="TOC2"/>
        <w:tabs>
          <w:tab w:val="right" w:leader="dot" w:pos="9350"/>
        </w:tabs>
        <w:rPr>
          <w:rFonts w:asciiTheme="minorHAnsi" w:eastAsiaTheme="minorEastAsia" w:hAnsiTheme="minorHAnsi" w:cstheme="minorBidi"/>
          <w:noProof/>
          <w:szCs w:val="24"/>
        </w:rPr>
      </w:pPr>
      <w:r>
        <w:rPr>
          <w:noProof/>
        </w:rPr>
        <w:t>5.4 Conclusions</w:t>
      </w:r>
      <w:r>
        <w:rPr>
          <w:noProof/>
        </w:rPr>
        <w:tab/>
      </w:r>
      <w:r w:rsidR="00F7383F">
        <w:rPr>
          <w:noProof/>
        </w:rPr>
        <w:fldChar w:fldCharType="begin"/>
      </w:r>
      <w:r>
        <w:rPr>
          <w:noProof/>
        </w:rPr>
        <w:instrText xml:space="preserve"> PAGEREF _Toc200095326 \h </w:instrText>
      </w:r>
      <w:r w:rsidR="00C66024">
        <w:rPr>
          <w:noProof/>
        </w:rPr>
      </w:r>
      <w:r w:rsidR="00F7383F">
        <w:rPr>
          <w:noProof/>
        </w:rPr>
        <w:fldChar w:fldCharType="separate"/>
      </w:r>
      <w:r>
        <w:rPr>
          <w:noProof/>
        </w:rPr>
        <w:t>171</w:t>
      </w:r>
      <w:r w:rsidR="00F7383F">
        <w:rPr>
          <w:noProof/>
        </w:rPr>
        <w:fldChar w:fldCharType="end"/>
      </w:r>
    </w:p>
    <w:p w:rsidR="001E2660" w:rsidRDefault="001E2660">
      <w:pPr>
        <w:pStyle w:val="TOC1"/>
        <w:tabs>
          <w:tab w:val="left" w:pos="420"/>
          <w:tab w:val="right" w:leader="dot" w:pos="9350"/>
        </w:tabs>
        <w:rPr>
          <w:rFonts w:asciiTheme="minorHAnsi" w:eastAsiaTheme="minorEastAsia" w:hAnsiTheme="minorHAnsi" w:cstheme="minorBidi"/>
          <w:noProof/>
          <w:szCs w:val="24"/>
        </w:rPr>
      </w:pPr>
      <w:r>
        <w:rPr>
          <w:noProof/>
        </w:rPr>
        <w:t>6.</w:t>
      </w:r>
      <w:r>
        <w:rPr>
          <w:rFonts w:asciiTheme="minorHAnsi" w:eastAsiaTheme="minorEastAsia" w:hAnsiTheme="minorHAnsi" w:cstheme="minorBidi"/>
          <w:noProof/>
          <w:szCs w:val="24"/>
        </w:rPr>
        <w:tab/>
      </w:r>
      <w:r>
        <w:rPr>
          <w:noProof/>
        </w:rPr>
        <w:t>Achieving Infrastructure Goals and Targets</w:t>
      </w:r>
      <w:r>
        <w:rPr>
          <w:noProof/>
        </w:rPr>
        <w:tab/>
      </w:r>
      <w:r w:rsidR="00F7383F">
        <w:rPr>
          <w:noProof/>
        </w:rPr>
        <w:fldChar w:fldCharType="begin"/>
      </w:r>
      <w:r>
        <w:rPr>
          <w:noProof/>
        </w:rPr>
        <w:instrText xml:space="preserve"> PAGEREF _Toc200095327 \h </w:instrText>
      </w:r>
      <w:r w:rsidR="00C66024">
        <w:rPr>
          <w:noProof/>
        </w:rPr>
      </w:r>
      <w:r w:rsidR="00F7383F">
        <w:rPr>
          <w:noProof/>
        </w:rPr>
        <w:fldChar w:fldCharType="separate"/>
      </w:r>
      <w:r>
        <w:rPr>
          <w:noProof/>
        </w:rPr>
        <w:t>173</w:t>
      </w:r>
      <w:r w:rsidR="00F7383F">
        <w:rPr>
          <w:noProof/>
        </w:rPr>
        <w:fldChar w:fldCharType="end"/>
      </w:r>
    </w:p>
    <w:p w:rsidR="001E2660" w:rsidRDefault="001E2660">
      <w:pPr>
        <w:pStyle w:val="TOC2"/>
        <w:tabs>
          <w:tab w:val="right" w:leader="dot" w:pos="9350"/>
        </w:tabs>
        <w:rPr>
          <w:rFonts w:asciiTheme="minorHAnsi" w:eastAsiaTheme="minorEastAsia" w:hAnsiTheme="minorHAnsi" w:cstheme="minorBidi"/>
          <w:noProof/>
          <w:szCs w:val="24"/>
        </w:rPr>
      </w:pPr>
      <w:r>
        <w:rPr>
          <w:noProof/>
        </w:rPr>
        <w:t>6.1 Missing Global Targets in the Base Case</w:t>
      </w:r>
      <w:r>
        <w:rPr>
          <w:noProof/>
        </w:rPr>
        <w:tab/>
      </w:r>
      <w:r w:rsidR="00F7383F">
        <w:rPr>
          <w:noProof/>
        </w:rPr>
        <w:fldChar w:fldCharType="begin"/>
      </w:r>
      <w:r>
        <w:rPr>
          <w:noProof/>
        </w:rPr>
        <w:instrText xml:space="preserve"> PAGEREF _Toc200095328 \h </w:instrText>
      </w:r>
      <w:r w:rsidR="00C66024">
        <w:rPr>
          <w:noProof/>
        </w:rPr>
      </w:r>
      <w:r w:rsidR="00F7383F">
        <w:rPr>
          <w:noProof/>
        </w:rPr>
        <w:fldChar w:fldCharType="separate"/>
      </w:r>
      <w:r>
        <w:rPr>
          <w:noProof/>
        </w:rPr>
        <w:t>174</w:t>
      </w:r>
      <w:r w:rsidR="00F7383F">
        <w:rPr>
          <w:noProof/>
        </w:rPr>
        <w:fldChar w:fldCharType="end"/>
      </w:r>
    </w:p>
    <w:p w:rsidR="001E2660" w:rsidRDefault="001E2660">
      <w:pPr>
        <w:pStyle w:val="TOC2"/>
        <w:tabs>
          <w:tab w:val="right" w:leader="dot" w:pos="9350"/>
        </w:tabs>
        <w:rPr>
          <w:rFonts w:asciiTheme="minorHAnsi" w:eastAsiaTheme="minorEastAsia" w:hAnsiTheme="minorHAnsi" w:cstheme="minorBidi"/>
          <w:noProof/>
          <w:szCs w:val="24"/>
        </w:rPr>
      </w:pPr>
      <w:r>
        <w:rPr>
          <w:noProof/>
        </w:rPr>
        <w:t>6.2 A Universal Targets Scenario</w:t>
      </w:r>
      <w:r>
        <w:rPr>
          <w:noProof/>
        </w:rPr>
        <w:tab/>
      </w:r>
      <w:r w:rsidR="00F7383F">
        <w:rPr>
          <w:noProof/>
        </w:rPr>
        <w:fldChar w:fldCharType="begin"/>
      </w:r>
      <w:r>
        <w:rPr>
          <w:noProof/>
        </w:rPr>
        <w:instrText xml:space="preserve"> PAGEREF _Toc200095329 \h </w:instrText>
      </w:r>
      <w:r w:rsidR="00C66024">
        <w:rPr>
          <w:noProof/>
        </w:rPr>
      </w:r>
      <w:r w:rsidR="00F7383F">
        <w:rPr>
          <w:noProof/>
        </w:rPr>
        <w:fldChar w:fldCharType="separate"/>
      </w:r>
      <w:r>
        <w:rPr>
          <w:noProof/>
        </w:rPr>
        <w:t>178</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6.2.1</w:t>
      </w:r>
      <w:r>
        <w:rPr>
          <w:rFonts w:asciiTheme="minorHAnsi" w:eastAsiaTheme="minorEastAsia" w:hAnsiTheme="minorHAnsi" w:cstheme="minorBidi"/>
          <w:noProof/>
          <w:szCs w:val="24"/>
        </w:rPr>
        <w:tab/>
      </w:r>
      <w:r>
        <w:rPr>
          <w:noProof/>
        </w:rPr>
        <w:t>Changes in access and target achievement</w:t>
      </w:r>
      <w:r>
        <w:rPr>
          <w:noProof/>
        </w:rPr>
        <w:tab/>
      </w:r>
      <w:r w:rsidR="00F7383F">
        <w:rPr>
          <w:noProof/>
        </w:rPr>
        <w:fldChar w:fldCharType="begin"/>
      </w:r>
      <w:r>
        <w:rPr>
          <w:noProof/>
        </w:rPr>
        <w:instrText xml:space="preserve"> PAGEREF _Toc200095330 \h </w:instrText>
      </w:r>
      <w:r w:rsidR="00C66024">
        <w:rPr>
          <w:noProof/>
        </w:rPr>
      </w:r>
      <w:r w:rsidR="00F7383F">
        <w:rPr>
          <w:noProof/>
        </w:rPr>
        <w:fldChar w:fldCharType="separate"/>
      </w:r>
      <w:r>
        <w:rPr>
          <w:noProof/>
        </w:rPr>
        <w:t>178</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6.2.2</w:t>
      </w:r>
      <w:r>
        <w:rPr>
          <w:rFonts w:asciiTheme="minorHAnsi" w:eastAsiaTheme="minorEastAsia" w:hAnsiTheme="minorHAnsi" w:cstheme="minorBidi"/>
          <w:noProof/>
          <w:szCs w:val="24"/>
        </w:rPr>
        <w:tab/>
      </w:r>
      <w:r>
        <w:rPr>
          <w:noProof/>
        </w:rPr>
        <w:t>The economic benefits and costs of pursuing universal targets</w:t>
      </w:r>
      <w:r>
        <w:rPr>
          <w:noProof/>
        </w:rPr>
        <w:tab/>
      </w:r>
      <w:r w:rsidR="00F7383F">
        <w:rPr>
          <w:noProof/>
        </w:rPr>
        <w:fldChar w:fldCharType="begin"/>
      </w:r>
      <w:r>
        <w:rPr>
          <w:noProof/>
        </w:rPr>
        <w:instrText xml:space="preserve"> PAGEREF _Toc200095331 \h </w:instrText>
      </w:r>
      <w:r w:rsidR="00C66024">
        <w:rPr>
          <w:noProof/>
        </w:rPr>
      </w:r>
      <w:r w:rsidR="00F7383F">
        <w:rPr>
          <w:noProof/>
        </w:rPr>
        <w:fldChar w:fldCharType="separate"/>
      </w:r>
      <w:r>
        <w:rPr>
          <w:noProof/>
        </w:rPr>
        <w:t>182</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6.2.3</w:t>
      </w:r>
      <w:r>
        <w:rPr>
          <w:rFonts w:asciiTheme="minorHAnsi" w:eastAsiaTheme="minorEastAsia" w:hAnsiTheme="minorHAnsi" w:cstheme="minorBidi"/>
          <w:noProof/>
          <w:szCs w:val="24"/>
        </w:rPr>
        <w:tab/>
      </w:r>
      <w:r>
        <w:rPr>
          <w:noProof/>
        </w:rPr>
        <w:t>The social benefits and costs of pursuing universal targets</w:t>
      </w:r>
      <w:r>
        <w:rPr>
          <w:noProof/>
        </w:rPr>
        <w:tab/>
      </w:r>
      <w:r w:rsidR="00F7383F">
        <w:rPr>
          <w:noProof/>
        </w:rPr>
        <w:fldChar w:fldCharType="begin"/>
      </w:r>
      <w:r>
        <w:rPr>
          <w:noProof/>
        </w:rPr>
        <w:instrText xml:space="preserve"> PAGEREF _Toc200095332 \h </w:instrText>
      </w:r>
      <w:r w:rsidR="00C66024">
        <w:rPr>
          <w:noProof/>
        </w:rPr>
      </w:r>
      <w:r w:rsidR="00F7383F">
        <w:rPr>
          <w:noProof/>
        </w:rPr>
        <w:fldChar w:fldCharType="separate"/>
      </w:r>
      <w:r>
        <w:rPr>
          <w:noProof/>
        </w:rPr>
        <w:t>185</w:t>
      </w:r>
      <w:r w:rsidR="00F7383F">
        <w:rPr>
          <w:noProof/>
        </w:rPr>
        <w:fldChar w:fldCharType="end"/>
      </w:r>
    </w:p>
    <w:p w:rsidR="001E2660" w:rsidRDefault="001E2660">
      <w:pPr>
        <w:pStyle w:val="TOC2"/>
        <w:tabs>
          <w:tab w:val="right" w:leader="dot" w:pos="9350"/>
        </w:tabs>
        <w:rPr>
          <w:rFonts w:asciiTheme="minorHAnsi" w:eastAsiaTheme="minorEastAsia" w:hAnsiTheme="minorHAnsi" w:cstheme="minorBidi"/>
          <w:noProof/>
          <w:szCs w:val="24"/>
        </w:rPr>
      </w:pPr>
      <w:r>
        <w:rPr>
          <w:noProof/>
        </w:rPr>
        <w:t>6.3 What Would it Cost to Achieve the Universal Targets?</w:t>
      </w:r>
      <w:r>
        <w:rPr>
          <w:noProof/>
        </w:rPr>
        <w:tab/>
      </w:r>
      <w:r w:rsidR="00F7383F">
        <w:rPr>
          <w:noProof/>
        </w:rPr>
        <w:fldChar w:fldCharType="begin"/>
      </w:r>
      <w:r>
        <w:rPr>
          <w:noProof/>
        </w:rPr>
        <w:instrText xml:space="preserve"> PAGEREF _Toc200095333 \h </w:instrText>
      </w:r>
      <w:r w:rsidR="00C66024">
        <w:rPr>
          <w:noProof/>
        </w:rPr>
      </w:r>
      <w:r w:rsidR="00F7383F">
        <w:rPr>
          <w:noProof/>
        </w:rPr>
        <w:fldChar w:fldCharType="separate"/>
      </w:r>
      <w:r>
        <w:rPr>
          <w:noProof/>
        </w:rPr>
        <w:t>190</w:t>
      </w:r>
      <w:r w:rsidR="00F7383F">
        <w:rPr>
          <w:noProof/>
        </w:rPr>
        <w:fldChar w:fldCharType="end"/>
      </w:r>
    </w:p>
    <w:p w:rsidR="001E2660" w:rsidRDefault="001E2660">
      <w:pPr>
        <w:pStyle w:val="TOC2"/>
        <w:tabs>
          <w:tab w:val="right" w:leader="dot" w:pos="9350"/>
        </w:tabs>
        <w:rPr>
          <w:rFonts w:asciiTheme="minorHAnsi" w:eastAsiaTheme="minorEastAsia" w:hAnsiTheme="minorHAnsi" w:cstheme="minorBidi"/>
          <w:noProof/>
          <w:szCs w:val="24"/>
        </w:rPr>
      </w:pPr>
      <w:r>
        <w:rPr>
          <w:noProof/>
        </w:rPr>
        <w:t>6.4 Alternatives to Universal Targets</w:t>
      </w:r>
      <w:r>
        <w:rPr>
          <w:noProof/>
        </w:rPr>
        <w:tab/>
      </w:r>
      <w:r w:rsidR="00F7383F">
        <w:rPr>
          <w:noProof/>
        </w:rPr>
        <w:fldChar w:fldCharType="begin"/>
      </w:r>
      <w:r>
        <w:rPr>
          <w:noProof/>
        </w:rPr>
        <w:instrText xml:space="preserve"> PAGEREF _Toc200095334 \h </w:instrText>
      </w:r>
      <w:r w:rsidR="00C66024">
        <w:rPr>
          <w:noProof/>
        </w:rPr>
      </w:r>
      <w:r w:rsidR="00F7383F">
        <w:rPr>
          <w:noProof/>
        </w:rPr>
        <w:fldChar w:fldCharType="separate"/>
      </w:r>
      <w:r>
        <w:rPr>
          <w:noProof/>
        </w:rPr>
        <w:t>194</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6.4.1</w:t>
      </w:r>
      <w:r>
        <w:rPr>
          <w:rFonts w:asciiTheme="minorHAnsi" w:eastAsiaTheme="minorEastAsia" w:hAnsiTheme="minorHAnsi" w:cstheme="minorBidi"/>
          <w:noProof/>
          <w:szCs w:val="24"/>
        </w:rPr>
        <w:tab/>
      </w:r>
      <w:r>
        <w:rPr>
          <w:noProof/>
        </w:rPr>
        <w:t>Defining alternative targets</w:t>
      </w:r>
      <w:r>
        <w:rPr>
          <w:noProof/>
        </w:rPr>
        <w:tab/>
      </w:r>
      <w:r w:rsidR="00F7383F">
        <w:rPr>
          <w:noProof/>
        </w:rPr>
        <w:fldChar w:fldCharType="begin"/>
      </w:r>
      <w:r>
        <w:rPr>
          <w:noProof/>
        </w:rPr>
        <w:instrText xml:space="preserve"> PAGEREF _Toc200095335 \h </w:instrText>
      </w:r>
      <w:r w:rsidR="00C66024">
        <w:rPr>
          <w:noProof/>
        </w:rPr>
      </w:r>
      <w:r w:rsidR="00F7383F">
        <w:rPr>
          <w:noProof/>
        </w:rPr>
        <w:fldChar w:fldCharType="separate"/>
      </w:r>
      <w:r>
        <w:rPr>
          <w:noProof/>
        </w:rPr>
        <w:t>194</w:t>
      </w:r>
      <w:r w:rsidR="00F7383F">
        <w:rPr>
          <w:noProof/>
        </w:rPr>
        <w:fldChar w:fldCharType="end"/>
      </w:r>
    </w:p>
    <w:p w:rsidR="001E2660" w:rsidRDefault="001E2660">
      <w:pPr>
        <w:pStyle w:val="TOC3"/>
        <w:tabs>
          <w:tab w:val="left" w:pos="1260"/>
          <w:tab w:val="right" w:leader="dot" w:pos="9350"/>
        </w:tabs>
        <w:rPr>
          <w:rFonts w:asciiTheme="minorHAnsi" w:eastAsiaTheme="minorEastAsia" w:hAnsiTheme="minorHAnsi" w:cstheme="minorBidi"/>
          <w:noProof/>
          <w:szCs w:val="24"/>
        </w:rPr>
      </w:pPr>
      <w:r>
        <w:rPr>
          <w:noProof/>
        </w:rPr>
        <w:t xml:space="preserve">6.4.2 </w:t>
      </w:r>
      <w:r>
        <w:rPr>
          <w:rFonts w:asciiTheme="minorHAnsi" w:eastAsiaTheme="minorEastAsia" w:hAnsiTheme="minorHAnsi" w:cstheme="minorBidi"/>
          <w:noProof/>
          <w:szCs w:val="24"/>
        </w:rPr>
        <w:tab/>
      </w:r>
      <w:r>
        <w:rPr>
          <w:noProof/>
        </w:rPr>
        <w:t>Comparing the alternatives</w:t>
      </w:r>
      <w:r>
        <w:rPr>
          <w:noProof/>
        </w:rPr>
        <w:tab/>
      </w:r>
      <w:r w:rsidR="00F7383F">
        <w:rPr>
          <w:noProof/>
        </w:rPr>
        <w:fldChar w:fldCharType="begin"/>
      </w:r>
      <w:r>
        <w:rPr>
          <w:noProof/>
        </w:rPr>
        <w:instrText xml:space="preserve"> PAGEREF _Toc200095336 \h </w:instrText>
      </w:r>
      <w:r w:rsidR="00C66024">
        <w:rPr>
          <w:noProof/>
        </w:rPr>
      </w:r>
      <w:r w:rsidR="00F7383F">
        <w:rPr>
          <w:noProof/>
        </w:rPr>
        <w:fldChar w:fldCharType="separate"/>
      </w:r>
      <w:r>
        <w:rPr>
          <w:noProof/>
        </w:rPr>
        <w:t>196</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6.4.3</w:t>
      </w:r>
      <w:r>
        <w:rPr>
          <w:rFonts w:asciiTheme="minorHAnsi" w:eastAsiaTheme="minorEastAsia" w:hAnsiTheme="minorHAnsi" w:cstheme="minorBidi"/>
          <w:noProof/>
          <w:szCs w:val="24"/>
        </w:rPr>
        <w:tab/>
      </w:r>
      <w:r>
        <w:rPr>
          <w:noProof/>
        </w:rPr>
        <w:t>Lessons from the results for target and priority setting by countries</w:t>
      </w:r>
      <w:r>
        <w:rPr>
          <w:noProof/>
        </w:rPr>
        <w:tab/>
      </w:r>
      <w:r w:rsidR="00F7383F">
        <w:rPr>
          <w:noProof/>
        </w:rPr>
        <w:fldChar w:fldCharType="begin"/>
      </w:r>
      <w:r>
        <w:rPr>
          <w:noProof/>
        </w:rPr>
        <w:instrText xml:space="preserve"> PAGEREF _Toc200095337 \h </w:instrText>
      </w:r>
      <w:r w:rsidR="00C66024">
        <w:rPr>
          <w:noProof/>
        </w:rPr>
      </w:r>
      <w:r w:rsidR="00F7383F">
        <w:rPr>
          <w:noProof/>
        </w:rPr>
        <w:fldChar w:fldCharType="separate"/>
      </w:r>
      <w:r>
        <w:rPr>
          <w:noProof/>
        </w:rPr>
        <w:t>199</w:t>
      </w:r>
      <w:r w:rsidR="00F7383F">
        <w:rPr>
          <w:noProof/>
        </w:rPr>
        <w:fldChar w:fldCharType="end"/>
      </w:r>
    </w:p>
    <w:p w:rsidR="001E2660" w:rsidRDefault="001E2660">
      <w:pPr>
        <w:pStyle w:val="TOC3"/>
        <w:tabs>
          <w:tab w:val="left" w:pos="1200"/>
          <w:tab w:val="right" w:leader="dot" w:pos="9350"/>
        </w:tabs>
        <w:rPr>
          <w:rFonts w:asciiTheme="minorHAnsi" w:eastAsiaTheme="minorEastAsia" w:hAnsiTheme="minorHAnsi" w:cstheme="minorBidi"/>
          <w:noProof/>
          <w:szCs w:val="24"/>
        </w:rPr>
      </w:pPr>
      <w:r>
        <w:rPr>
          <w:noProof/>
        </w:rPr>
        <w:t>6.4.4</w:t>
      </w:r>
      <w:r>
        <w:rPr>
          <w:rFonts w:asciiTheme="minorHAnsi" w:eastAsiaTheme="minorEastAsia" w:hAnsiTheme="minorHAnsi" w:cstheme="minorBidi"/>
          <w:noProof/>
          <w:szCs w:val="24"/>
        </w:rPr>
        <w:tab/>
      </w:r>
      <w:r>
        <w:rPr>
          <w:noProof/>
        </w:rPr>
        <w:t>Lessons for international donors</w:t>
      </w:r>
      <w:r>
        <w:rPr>
          <w:noProof/>
        </w:rPr>
        <w:tab/>
      </w:r>
      <w:r w:rsidR="00F7383F">
        <w:rPr>
          <w:noProof/>
        </w:rPr>
        <w:fldChar w:fldCharType="begin"/>
      </w:r>
      <w:r>
        <w:rPr>
          <w:noProof/>
        </w:rPr>
        <w:instrText xml:space="preserve"> PAGEREF _Toc200095338 \h </w:instrText>
      </w:r>
      <w:r w:rsidR="00C66024">
        <w:rPr>
          <w:noProof/>
        </w:rPr>
      </w:r>
      <w:r w:rsidR="00F7383F">
        <w:rPr>
          <w:noProof/>
        </w:rPr>
        <w:fldChar w:fldCharType="separate"/>
      </w:r>
      <w:r>
        <w:rPr>
          <w:noProof/>
        </w:rPr>
        <w:t>200</w:t>
      </w:r>
      <w:r w:rsidR="00F7383F">
        <w:rPr>
          <w:noProof/>
        </w:rPr>
        <w:fldChar w:fldCharType="end"/>
      </w:r>
    </w:p>
    <w:p w:rsidR="001E2660" w:rsidRDefault="001E2660">
      <w:pPr>
        <w:pStyle w:val="TOC2"/>
        <w:tabs>
          <w:tab w:val="right" w:leader="dot" w:pos="9350"/>
        </w:tabs>
        <w:rPr>
          <w:rFonts w:asciiTheme="minorHAnsi" w:eastAsiaTheme="minorEastAsia" w:hAnsiTheme="minorHAnsi" w:cstheme="minorBidi"/>
          <w:noProof/>
          <w:szCs w:val="24"/>
        </w:rPr>
      </w:pPr>
      <w:r>
        <w:rPr>
          <w:noProof/>
        </w:rPr>
        <w:t>6.5 Conclusions</w:t>
      </w:r>
      <w:r>
        <w:rPr>
          <w:noProof/>
        </w:rPr>
        <w:tab/>
      </w:r>
      <w:r w:rsidR="00F7383F">
        <w:rPr>
          <w:noProof/>
        </w:rPr>
        <w:fldChar w:fldCharType="begin"/>
      </w:r>
      <w:r>
        <w:rPr>
          <w:noProof/>
        </w:rPr>
        <w:instrText xml:space="preserve"> PAGEREF _Toc200095339 \h </w:instrText>
      </w:r>
      <w:r w:rsidR="00C66024">
        <w:rPr>
          <w:noProof/>
        </w:rPr>
      </w:r>
      <w:r w:rsidR="00F7383F">
        <w:rPr>
          <w:noProof/>
        </w:rPr>
        <w:fldChar w:fldCharType="separate"/>
      </w:r>
      <w:r>
        <w:rPr>
          <w:noProof/>
        </w:rPr>
        <w:t>202</w:t>
      </w:r>
      <w:r w:rsidR="00F7383F">
        <w:rPr>
          <w:noProof/>
        </w:rPr>
        <w:fldChar w:fldCharType="end"/>
      </w:r>
    </w:p>
    <w:p w:rsidR="001E2660" w:rsidRDefault="001E2660">
      <w:pPr>
        <w:pStyle w:val="TOC1"/>
        <w:tabs>
          <w:tab w:val="left" w:pos="420"/>
          <w:tab w:val="right" w:leader="dot" w:pos="9350"/>
        </w:tabs>
        <w:rPr>
          <w:rFonts w:asciiTheme="minorHAnsi" w:eastAsiaTheme="minorEastAsia" w:hAnsiTheme="minorHAnsi" w:cstheme="minorBidi"/>
          <w:noProof/>
          <w:szCs w:val="24"/>
        </w:rPr>
      </w:pPr>
      <w:r>
        <w:rPr>
          <w:noProof/>
        </w:rPr>
        <w:t>7.</w:t>
      </w:r>
      <w:r>
        <w:rPr>
          <w:rFonts w:asciiTheme="minorHAnsi" w:eastAsiaTheme="minorEastAsia" w:hAnsiTheme="minorHAnsi" w:cstheme="minorBidi"/>
          <w:noProof/>
          <w:szCs w:val="24"/>
        </w:rPr>
        <w:tab/>
      </w:r>
      <w:r>
        <w:rPr>
          <w:noProof/>
        </w:rPr>
        <w:t>The Future of Global Infrastructure</w:t>
      </w:r>
      <w:r>
        <w:rPr>
          <w:noProof/>
        </w:rPr>
        <w:tab/>
      </w:r>
      <w:r w:rsidR="00F7383F">
        <w:rPr>
          <w:noProof/>
        </w:rPr>
        <w:fldChar w:fldCharType="begin"/>
      </w:r>
      <w:r>
        <w:rPr>
          <w:noProof/>
        </w:rPr>
        <w:instrText xml:space="preserve"> PAGEREF _Toc200095340 \h </w:instrText>
      </w:r>
      <w:r w:rsidR="00C66024">
        <w:rPr>
          <w:noProof/>
        </w:rPr>
      </w:r>
      <w:r w:rsidR="00F7383F">
        <w:rPr>
          <w:noProof/>
        </w:rPr>
        <w:fldChar w:fldCharType="separate"/>
      </w:r>
      <w:r>
        <w:rPr>
          <w:noProof/>
        </w:rPr>
        <w:t>203</w:t>
      </w:r>
      <w:r w:rsidR="00F7383F">
        <w:rPr>
          <w:noProof/>
        </w:rPr>
        <w:fldChar w:fldCharType="end"/>
      </w:r>
    </w:p>
    <w:p w:rsidR="001E2660" w:rsidRDefault="001E2660">
      <w:pPr>
        <w:pStyle w:val="TOC2"/>
        <w:tabs>
          <w:tab w:val="right" w:leader="dot" w:pos="9350"/>
        </w:tabs>
        <w:rPr>
          <w:rFonts w:asciiTheme="minorHAnsi" w:eastAsiaTheme="minorEastAsia" w:hAnsiTheme="minorHAnsi" w:cstheme="minorBidi"/>
          <w:noProof/>
          <w:szCs w:val="24"/>
        </w:rPr>
      </w:pPr>
      <w:r>
        <w:rPr>
          <w:noProof/>
        </w:rPr>
        <w:t>7.1 Expanding Capability for Forecasting Infrastructure Futures</w:t>
      </w:r>
      <w:r>
        <w:rPr>
          <w:noProof/>
        </w:rPr>
        <w:tab/>
      </w:r>
      <w:r w:rsidR="00F7383F">
        <w:rPr>
          <w:noProof/>
        </w:rPr>
        <w:fldChar w:fldCharType="begin"/>
      </w:r>
      <w:r>
        <w:rPr>
          <w:noProof/>
        </w:rPr>
        <w:instrText xml:space="preserve"> PAGEREF _Toc200095341 \h </w:instrText>
      </w:r>
      <w:r w:rsidR="00C66024">
        <w:rPr>
          <w:noProof/>
        </w:rPr>
      </w:r>
      <w:r w:rsidR="00F7383F">
        <w:rPr>
          <w:noProof/>
        </w:rPr>
        <w:fldChar w:fldCharType="separate"/>
      </w:r>
      <w:r>
        <w:rPr>
          <w:noProof/>
        </w:rPr>
        <w:t>203</w:t>
      </w:r>
      <w:r w:rsidR="00F7383F">
        <w:rPr>
          <w:noProof/>
        </w:rPr>
        <w:fldChar w:fldCharType="end"/>
      </w:r>
    </w:p>
    <w:p w:rsidR="001E2660" w:rsidRDefault="001E2660">
      <w:pPr>
        <w:pStyle w:val="TOC2"/>
        <w:tabs>
          <w:tab w:val="right" w:leader="dot" w:pos="9350"/>
        </w:tabs>
        <w:rPr>
          <w:rFonts w:asciiTheme="minorHAnsi" w:eastAsiaTheme="minorEastAsia" w:hAnsiTheme="minorHAnsi" w:cstheme="minorBidi"/>
          <w:noProof/>
          <w:szCs w:val="24"/>
        </w:rPr>
      </w:pPr>
      <w:r>
        <w:rPr>
          <w:noProof/>
        </w:rPr>
        <w:t>7.2 Understanding the Future of Infrastructure Globally</w:t>
      </w:r>
      <w:r>
        <w:rPr>
          <w:noProof/>
        </w:rPr>
        <w:tab/>
      </w:r>
      <w:r w:rsidR="00F7383F">
        <w:rPr>
          <w:noProof/>
        </w:rPr>
        <w:fldChar w:fldCharType="begin"/>
      </w:r>
      <w:r>
        <w:rPr>
          <w:noProof/>
        </w:rPr>
        <w:instrText xml:space="preserve"> PAGEREF _Toc200095342 \h </w:instrText>
      </w:r>
      <w:r w:rsidR="00C66024">
        <w:rPr>
          <w:noProof/>
        </w:rPr>
      </w:r>
      <w:r w:rsidR="00F7383F">
        <w:rPr>
          <w:noProof/>
        </w:rPr>
        <w:fldChar w:fldCharType="separate"/>
      </w:r>
      <w:r>
        <w:rPr>
          <w:noProof/>
        </w:rPr>
        <w:t>204</w:t>
      </w:r>
      <w:r w:rsidR="00F7383F">
        <w:rPr>
          <w:noProof/>
        </w:rPr>
        <w:fldChar w:fldCharType="end"/>
      </w:r>
    </w:p>
    <w:p w:rsidR="001E2660" w:rsidRDefault="001E2660">
      <w:pPr>
        <w:pStyle w:val="TOC2"/>
        <w:tabs>
          <w:tab w:val="right" w:leader="dot" w:pos="9350"/>
        </w:tabs>
        <w:rPr>
          <w:rFonts w:asciiTheme="minorHAnsi" w:eastAsiaTheme="minorEastAsia" w:hAnsiTheme="minorHAnsi" w:cstheme="minorBidi"/>
          <w:noProof/>
          <w:szCs w:val="24"/>
        </w:rPr>
      </w:pPr>
      <w:r>
        <w:rPr>
          <w:noProof/>
        </w:rPr>
        <w:t>7.3 The Future of Infrastructure Forecasting</w:t>
      </w:r>
      <w:r>
        <w:rPr>
          <w:noProof/>
        </w:rPr>
        <w:tab/>
      </w:r>
      <w:r w:rsidR="00F7383F">
        <w:rPr>
          <w:noProof/>
        </w:rPr>
        <w:fldChar w:fldCharType="begin"/>
      </w:r>
      <w:r>
        <w:rPr>
          <w:noProof/>
        </w:rPr>
        <w:instrText xml:space="preserve"> PAGEREF _Toc200095343 \h </w:instrText>
      </w:r>
      <w:r w:rsidR="00C66024">
        <w:rPr>
          <w:noProof/>
        </w:rPr>
      </w:r>
      <w:r w:rsidR="00F7383F">
        <w:rPr>
          <w:noProof/>
        </w:rPr>
        <w:fldChar w:fldCharType="separate"/>
      </w:r>
      <w:r>
        <w:rPr>
          <w:noProof/>
        </w:rPr>
        <w:t>208</w:t>
      </w:r>
      <w:r w:rsidR="00F7383F">
        <w:rPr>
          <w:noProof/>
        </w:rPr>
        <w:fldChar w:fldCharType="end"/>
      </w:r>
    </w:p>
    <w:p w:rsidR="001E2660" w:rsidRDefault="001E2660">
      <w:pPr>
        <w:pStyle w:val="TOC1"/>
        <w:tabs>
          <w:tab w:val="right" w:leader="dot" w:pos="9350"/>
        </w:tabs>
        <w:rPr>
          <w:rFonts w:asciiTheme="minorHAnsi" w:eastAsiaTheme="minorEastAsia" w:hAnsiTheme="minorHAnsi" w:cstheme="minorBidi"/>
          <w:noProof/>
          <w:szCs w:val="24"/>
        </w:rPr>
      </w:pPr>
      <w:r>
        <w:rPr>
          <w:noProof/>
        </w:rPr>
        <w:t>References</w:t>
      </w:r>
      <w:r>
        <w:rPr>
          <w:noProof/>
        </w:rPr>
        <w:tab/>
      </w:r>
      <w:r w:rsidR="00F7383F">
        <w:rPr>
          <w:noProof/>
        </w:rPr>
        <w:fldChar w:fldCharType="begin"/>
      </w:r>
      <w:r>
        <w:rPr>
          <w:noProof/>
        </w:rPr>
        <w:instrText xml:space="preserve"> PAGEREF _Toc200095344 \h </w:instrText>
      </w:r>
      <w:r w:rsidR="00C66024">
        <w:rPr>
          <w:noProof/>
        </w:rPr>
      </w:r>
      <w:r w:rsidR="00F7383F">
        <w:rPr>
          <w:noProof/>
        </w:rPr>
        <w:fldChar w:fldCharType="separate"/>
      </w:r>
      <w:r>
        <w:rPr>
          <w:noProof/>
        </w:rPr>
        <w:t>210</w:t>
      </w:r>
      <w:r w:rsidR="00F7383F">
        <w:rPr>
          <w:noProof/>
        </w:rPr>
        <w:fldChar w:fldCharType="end"/>
      </w:r>
    </w:p>
    <w:p w:rsidR="007D46DA" w:rsidRDefault="00F7383F" w:rsidP="007D46DA">
      <w:pPr>
        <w:spacing w:before="120"/>
        <w:jc w:val="both"/>
        <w:rPr>
          <w:sz w:val="20"/>
        </w:rPr>
      </w:pPr>
      <w:r w:rsidRPr="00E04D31">
        <w:rPr>
          <w:b/>
          <w:bCs/>
          <w:color w:val="000000"/>
        </w:rPr>
        <w:fldChar w:fldCharType="end"/>
      </w:r>
    </w:p>
    <w:p w:rsidR="007D46DA" w:rsidRPr="00D52E2B" w:rsidRDefault="007D46DA" w:rsidP="007D46DA">
      <w:pPr>
        <w:pStyle w:val="Heading1"/>
        <w:numPr>
          <w:ilvl w:val="0"/>
          <w:numId w:val="0"/>
        </w:numPr>
        <w:jc w:val="left"/>
      </w:pPr>
      <w:bookmarkStart w:id="0" w:name="_Toc200095248"/>
      <w:r>
        <w:t>Preface</w:t>
      </w:r>
      <w:bookmarkEnd w:id="0"/>
    </w:p>
    <w:p w:rsidR="000016D4" w:rsidRDefault="007D46DA" w:rsidP="000016D4">
      <w:pPr>
        <w:pStyle w:val="BodyText"/>
        <w:spacing w:before="0" w:after="0"/>
        <w:jc w:val="left"/>
      </w:pPr>
      <w:r>
        <w:rPr>
          <w:i/>
          <w:color w:val="000000"/>
        </w:rPr>
        <w:t>Building</w:t>
      </w:r>
      <w:r w:rsidRPr="00622170">
        <w:rPr>
          <w:i/>
          <w:color w:val="000000"/>
        </w:rPr>
        <w:t xml:space="preserve"> Global</w:t>
      </w:r>
      <w:r>
        <w:rPr>
          <w:i/>
          <w:color w:val="000000"/>
        </w:rPr>
        <w:t xml:space="preserve"> Infrastructure </w:t>
      </w:r>
      <w:r>
        <w:t>is the fourth in a series of volumes on Patterns of Potential Human Progress (PPHP), a series that explores prospects for human development and the improvement of the global human condition. Each volume considers one key aspect of how development appears to be unfolding globally and locally, how we would like it to evolve, and how better to assure that we move it in desired directions.</w:t>
      </w:r>
    </w:p>
    <w:p w:rsidR="007D46DA" w:rsidRDefault="007D46DA" w:rsidP="000016D4">
      <w:pPr>
        <w:pStyle w:val="BodyText"/>
        <w:spacing w:before="0" w:after="0"/>
        <w:jc w:val="left"/>
      </w:pPr>
      <w:r>
        <w:t xml:space="preserve"> </w:t>
      </w:r>
    </w:p>
    <w:p w:rsidR="000016D4" w:rsidRDefault="007D46DA" w:rsidP="000016D4">
      <w:pPr>
        <w:pStyle w:val="BodyText"/>
        <w:spacing w:before="0" w:after="0"/>
        <w:jc w:val="left"/>
      </w:pPr>
      <w:r>
        <w:t>The volumes emerge from the Frederick S. Pardee Center for International Futures at the University of Denver’s Josef Korbel School of International Studies. The International Futures (IFs) modeling and analysis project has worked for more than three decades to develop and use the strongest possible global, long-term, multiple issue capability for exploring the future of key global issues. Among the philosophical underpinnings of the IFs project are the beliefs that (1) prediction is impossible, but forecasting is necessary to help us understand change and to support policy development; (2) analysis should always be built around alternative possible futures; and (3) the tools for forecasting should be as fully open and transparent as possible.</w:t>
      </w:r>
    </w:p>
    <w:p w:rsidR="007D46DA" w:rsidRPr="00AB1780" w:rsidRDefault="007D46DA" w:rsidP="000016D4">
      <w:pPr>
        <w:pStyle w:val="BodyText"/>
        <w:spacing w:before="0" w:after="0"/>
        <w:jc w:val="left"/>
      </w:pPr>
      <w:r>
        <w:t xml:space="preserve"> </w:t>
      </w:r>
    </w:p>
    <w:p w:rsidR="000016D4" w:rsidRDefault="007D46DA" w:rsidP="000016D4">
      <w:pPr>
        <w:pStyle w:val="BodyText"/>
        <w:spacing w:before="0" w:after="0"/>
        <w:jc w:val="left"/>
      </w:pPr>
      <w:r>
        <w:t>The first volume in the PPHP series was dedicated to the central issue of global poverty reduction, presenting initially a long-range, base case forecast—an elaboration of the path we appear to be on. It then explored an extensive set of variations in that path, each tied to alternative domestic and international interventions. The second volume applied a similar methodology—it provided a long-range, base case forecast for global advances in education participation and attainment, and it developed a normative scenario for global advance in formal education, looking for a pattern that was aggressive, but reasonable. The third volume drilled down into arguably the most important of all issues for humans, that of health. Its base case showed the rapid changes occurring in mortality and morbidity patterns, including the growing burden of noncommunicable diseases and injuries, especially as populations age nearly everywhere. It also devoted considerable attention to exploring the complex relationships between health futures and broader demographic and economic ones, including the question of whether investments in health contributed to economic well-being.</w:t>
      </w:r>
    </w:p>
    <w:p w:rsidR="007D46DA" w:rsidRDefault="007D46DA" w:rsidP="000016D4">
      <w:pPr>
        <w:pStyle w:val="BodyText"/>
        <w:spacing w:before="0" w:after="0"/>
        <w:jc w:val="left"/>
      </w:pPr>
      <w:r>
        <w:t xml:space="preserve"> </w:t>
      </w:r>
    </w:p>
    <w:p w:rsidR="000016D4" w:rsidRDefault="007D46DA" w:rsidP="000016D4">
      <w:pPr>
        <w:pStyle w:val="BodyText"/>
        <w:spacing w:before="0" w:after="0"/>
        <w:jc w:val="left"/>
      </w:pPr>
      <w:r>
        <w:t>Following these three volumes, the series has turned from direct study of ends such as poverty reduction, education advance, and health improvement to a consideration of some of the most important means by which these ends are achieved, specifically the building of extensive infrastructure and the strengthening of governance. (We recognize, of course, that both highly accessible infrastructure systems and good governance have important value as ends in themselves, as well as being means to further ends.) In the upcoming volume on governance, we will explore possible futures, as well as look extensively at the past, of three interacting dimensions of governance, namely, the provision of security, the building of capacity, and the broadening and deepening of inclusion.</w:t>
      </w:r>
    </w:p>
    <w:p w:rsidR="007D46DA" w:rsidRDefault="007D46DA" w:rsidP="000016D4">
      <w:pPr>
        <w:pStyle w:val="BodyText"/>
        <w:spacing w:before="0" w:after="0"/>
        <w:jc w:val="left"/>
      </w:pPr>
    </w:p>
    <w:p w:rsidR="000016D4" w:rsidRDefault="007D46DA" w:rsidP="000016D4">
      <w:pPr>
        <w:pStyle w:val="BodyText"/>
        <w:keepLines/>
        <w:spacing w:before="0" w:after="0"/>
        <w:jc w:val="left"/>
      </w:pPr>
      <w:r>
        <w:t xml:space="preserve">This volume initiates our shift toward means with an extensive consideration of the possible futures of infrastructure in countries across the world. We analyze the prospects for rapid advance in access to road transport, electricity, water and sanitation, and information/communications systems. We do so by placing infrastructure in the context of broader human development systems, considering the drivers in demand for it from demographic and economic growth, the constraints that financing availability can place on its development and maintenance, and the impact that infrastructure has on economic growth and broader socioeconomic and environmental systems (which then in turn close the loop by affecting the further demand for, and supply of, infrastructure over time). That is, we take a broad systemic approach, not simply extrapolating the demand for infrastructure or the potential investment needs of the sector. We examine the dynamics of these interacting systems for 183 countries, seeking to understand the path on which we find ourselves and where that might take us over the coming 50 years. </w:t>
      </w:r>
    </w:p>
    <w:p w:rsidR="007D46DA" w:rsidRDefault="007D46DA" w:rsidP="000016D4">
      <w:pPr>
        <w:pStyle w:val="BodyText"/>
        <w:keepLines/>
        <w:spacing w:before="0" w:after="0"/>
        <w:jc w:val="left"/>
      </w:pPr>
    </w:p>
    <w:p w:rsidR="000016D4" w:rsidRDefault="007D46DA" w:rsidP="000016D4">
      <w:pPr>
        <w:pStyle w:val="BodyText"/>
        <w:spacing w:before="0" w:after="0"/>
        <w:jc w:val="left"/>
      </w:pPr>
      <w:r>
        <w:t xml:space="preserve">We also seek to understand the patterns of these dynamics across countries at different income levels and within different global regions. Although there are some limited generalizations that one can make—for instance the fundamental importance of access to safe water even at the lowest levels of income, and the broad push now being made almost everywhere towards universal access to electricity—the world is remarkable for its heterogeneity of patterns of infrastructure development, both across countries and across time. </w:t>
      </w:r>
    </w:p>
    <w:p w:rsidR="007D46DA" w:rsidRDefault="007D46DA" w:rsidP="000016D4">
      <w:pPr>
        <w:pStyle w:val="BodyText"/>
        <w:spacing w:before="0" w:after="0"/>
        <w:jc w:val="left"/>
      </w:pPr>
    </w:p>
    <w:p w:rsidR="000016D4" w:rsidRDefault="007D46DA" w:rsidP="000016D4">
      <w:pPr>
        <w:pStyle w:val="BodyText"/>
        <w:spacing w:before="0" w:after="0"/>
        <w:jc w:val="left"/>
      </w:pPr>
      <w:r>
        <w:t>With respect to the temporal dynamics, the past is not necessarily prologue. Across all types of infrastructure, currently high-income countries have generally made long, halting and (in response to technological and broader economic changes) somewhat sequential historical transitions. In contrast, many countries today struggle with developing or extending all forms simultaneously and over a compressed time period during a veritable rush toward modern development. The changing technologies within infrastructure systems partly also explain the differences one must expect to see in future development paths relative to historical ones. In no other case, of course, is this more obvious than with respect to information and communications technology, where both developed and developing countries are coping with dramatic transformations in those technologies and where citizens in developing countries are progressing at a pace not so terribly different than that of their high-income cousins.</w:t>
      </w:r>
    </w:p>
    <w:p w:rsidR="007D46DA" w:rsidRDefault="007D46DA" w:rsidP="000016D4">
      <w:pPr>
        <w:pStyle w:val="BodyText"/>
        <w:spacing w:before="0" w:after="0"/>
        <w:jc w:val="left"/>
      </w:pPr>
      <w:r>
        <w:t xml:space="preserve"> </w:t>
      </w:r>
    </w:p>
    <w:p w:rsidR="000016D4" w:rsidRDefault="007D46DA" w:rsidP="000016D4">
      <w:pPr>
        <w:pStyle w:val="BodyText"/>
        <w:spacing w:before="0" w:after="0"/>
        <w:jc w:val="left"/>
      </w:pPr>
      <w:r>
        <w:t xml:space="preserve">In addition to exploring the current path that the building of infrastructure appears to be following, we also explore the potential for, and impact of, accelerating the developmental path. We look first at some of the targets that various organizations and initiatives have put forward, sometimes in the spirit of the Millennium Development Goals. Most standard targets, however, differentiate in relatively limited ways among countries at vastly different income and social development levels. We therefore also build and consider a scenario that puts countries on paths that lead to high rates of infrastructure access relative to countries at their own level of development, these often being more reasonable targets even while they remain aggressive ones. We find that countries often could mobilize the resources to reach such targets, and that whether outside assistance appears needed or not, pursuing the targets would ultimately have quite significant economic benefits. </w:t>
      </w:r>
      <w:r w:rsidR="000016D4">
        <w:t>However, we also find</w:t>
      </w:r>
      <w:r>
        <w:t xml:space="preserve"> that diversion of resources from other government spending, such as those on health and education, has at least interim costs as well as potential longer-term benefits. Our attention to infrastructure in the broader context of other systems facilitates exploration of these interactions.</w:t>
      </w:r>
    </w:p>
    <w:p w:rsidR="007D46DA" w:rsidRDefault="007D46DA" w:rsidP="000016D4">
      <w:pPr>
        <w:pStyle w:val="BodyText"/>
        <w:spacing w:before="0" w:after="0"/>
        <w:jc w:val="left"/>
      </w:pPr>
    </w:p>
    <w:p w:rsidR="007D46DA" w:rsidRPr="00F51AAF" w:rsidRDefault="007D46DA" w:rsidP="000016D4">
      <w:pPr>
        <w:pStyle w:val="BodyText"/>
        <w:spacing w:before="0" w:after="0"/>
        <w:jc w:val="left"/>
      </w:pPr>
      <w:r>
        <w:t xml:space="preserve">In spite of frequent calls for building infrastructure in support of development, there has been remarkably little effort to consider alternative futures for it. This volume is the first study to look forward across half a century at infrastructure for 183 countries and the regions and groupings into which they fall, exploring multiple forms of infrastructure and their interactions, and linking that analysis to the dynamics of the larger human development system. Our hope is that this broad and deep exploration can contribute to the collective effort to create widespread and ultimately universal access to critical infrastructures around the world. Those who wish to explore or extend our analysis can find the full IFs system, including the scenarios of this volume, at </w:t>
      </w:r>
      <w:hyperlink r:id="rId7" w:history="1">
        <w:r w:rsidRPr="00677428">
          <w:rPr>
            <w:rStyle w:val="Hyperlink"/>
          </w:rPr>
          <w:t>www.ifs.du.edu</w:t>
        </w:r>
      </w:hyperlink>
      <w:r>
        <w:t>.</w:t>
      </w:r>
    </w:p>
    <w:p w:rsidR="007D46DA" w:rsidRDefault="007D46DA" w:rsidP="000016D4">
      <w:pPr>
        <w:jc w:val="both"/>
        <w:rPr>
          <w:sz w:val="20"/>
        </w:rPr>
      </w:pPr>
    </w:p>
    <w:p w:rsidR="007D46DA" w:rsidRDefault="007D46DA" w:rsidP="007D46DA">
      <w:pPr>
        <w:spacing w:before="120"/>
        <w:jc w:val="both"/>
        <w:rPr>
          <w:sz w:val="20"/>
        </w:rPr>
      </w:pPr>
    </w:p>
    <w:p w:rsidR="007D46DA" w:rsidRDefault="007D46DA" w:rsidP="007D46DA">
      <w:pPr>
        <w:spacing w:before="120"/>
        <w:jc w:val="both"/>
        <w:rPr>
          <w:sz w:val="20"/>
        </w:rPr>
      </w:pPr>
    </w:p>
    <w:p w:rsidR="007D46DA" w:rsidRDefault="007D46DA" w:rsidP="007D46DA">
      <w:pPr>
        <w:spacing w:before="120"/>
        <w:jc w:val="both"/>
        <w:rPr>
          <w:sz w:val="20"/>
        </w:rPr>
      </w:pPr>
    </w:p>
    <w:p w:rsidR="007D46DA" w:rsidRDefault="007D46DA" w:rsidP="007D46DA">
      <w:pPr>
        <w:spacing w:before="120"/>
        <w:jc w:val="both"/>
        <w:rPr>
          <w:sz w:val="20"/>
        </w:rPr>
      </w:pPr>
    </w:p>
    <w:p w:rsidR="007D46DA" w:rsidRDefault="007D46DA" w:rsidP="007D46DA">
      <w:pPr>
        <w:spacing w:before="120"/>
        <w:jc w:val="both"/>
        <w:rPr>
          <w:sz w:val="20"/>
        </w:rPr>
      </w:pPr>
    </w:p>
    <w:p w:rsidR="007D46DA" w:rsidRDefault="007D46DA" w:rsidP="007D46DA">
      <w:pPr>
        <w:spacing w:before="120"/>
        <w:jc w:val="both"/>
        <w:rPr>
          <w:sz w:val="20"/>
        </w:rPr>
      </w:pPr>
    </w:p>
    <w:p w:rsidR="007D46DA" w:rsidRDefault="007D46DA" w:rsidP="007D46DA">
      <w:pPr>
        <w:spacing w:before="120"/>
        <w:jc w:val="both"/>
        <w:rPr>
          <w:sz w:val="20"/>
        </w:rPr>
      </w:pPr>
    </w:p>
    <w:p w:rsidR="007D46DA" w:rsidRDefault="007D46DA" w:rsidP="007D46DA">
      <w:pPr>
        <w:spacing w:before="120"/>
        <w:jc w:val="both"/>
        <w:rPr>
          <w:sz w:val="20"/>
        </w:rPr>
      </w:pPr>
    </w:p>
    <w:p w:rsidR="007D46DA" w:rsidRDefault="007D46DA" w:rsidP="007D46DA">
      <w:pPr>
        <w:spacing w:before="120"/>
        <w:jc w:val="both"/>
        <w:rPr>
          <w:sz w:val="20"/>
        </w:rPr>
      </w:pPr>
    </w:p>
    <w:p w:rsidR="007D46DA" w:rsidRDefault="007D46DA" w:rsidP="007D46DA">
      <w:pPr>
        <w:spacing w:before="120"/>
        <w:jc w:val="both"/>
        <w:rPr>
          <w:sz w:val="20"/>
        </w:rPr>
      </w:pPr>
    </w:p>
    <w:p w:rsidR="007D46DA" w:rsidRDefault="007D46DA" w:rsidP="007D46DA">
      <w:pPr>
        <w:spacing w:before="120"/>
        <w:jc w:val="both"/>
        <w:rPr>
          <w:sz w:val="20"/>
        </w:rPr>
      </w:pPr>
    </w:p>
    <w:p w:rsidR="007D46DA" w:rsidRDefault="007D46DA" w:rsidP="007D46DA">
      <w:pPr>
        <w:spacing w:before="120"/>
        <w:jc w:val="both"/>
        <w:rPr>
          <w:sz w:val="20"/>
        </w:rPr>
      </w:pPr>
    </w:p>
    <w:p w:rsidR="007D46DA" w:rsidRDefault="007D46DA" w:rsidP="007D46DA">
      <w:pPr>
        <w:spacing w:before="120"/>
        <w:jc w:val="both"/>
        <w:rPr>
          <w:sz w:val="20"/>
        </w:rPr>
      </w:pPr>
    </w:p>
    <w:p w:rsidR="007D46DA" w:rsidRDefault="007D46DA" w:rsidP="007D46DA">
      <w:pPr>
        <w:spacing w:before="120"/>
        <w:jc w:val="both"/>
        <w:rPr>
          <w:sz w:val="20"/>
        </w:rPr>
      </w:pPr>
    </w:p>
    <w:p w:rsidR="007D46DA" w:rsidRDefault="007D46DA" w:rsidP="007D46DA">
      <w:pPr>
        <w:spacing w:before="120"/>
        <w:jc w:val="both"/>
        <w:rPr>
          <w:sz w:val="20"/>
        </w:rPr>
      </w:pPr>
    </w:p>
    <w:p w:rsidR="007D46DA" w:rsidRDefault="007D46DA" w:rsidP="007D46DA">
      <w:pPr>
        <w:spacing w:before="120"/>
        <w:jc w:val="both"/>
        <w:rPr>
          <w:sz w:val="20"/>
        </w:rPr>
      </w:pPr>
    </w:p>
    <w:p w:rsidR="007D46DA" w:rsidRDefault="007D46DA" w:rsidP="007D46DA">
      <w:pPr>
        <w:spacing w:before="120"/>
        <w:jc w:val="both"/>
        <w:rPr>
          <w:sz w:val="20"/>
        </w:rPr>
      </w:pPr>
    </w:p>
    <w:p w:rsidR="007D46DA" w:rsidRDefault="007D46DA" w:rsidP="007D46DA">
      <w:pPr>
        <w:spacing w:before="120"/>
        <w:jc w:val="both"/>
        <w:rPr>
          <w:sz w:val="20"/>
        </w:rPr>
      </w:pPr>
    </w:p>
    <w:p w:rsidR="007D46DA" w:rsidRDefault="007D46DA" w:rsidP="007D46DA">
      <w:pPr>
        <w:spacing w:before="120"/>
        <w:jc w:val="both"/>
        <w:rPr>
          <w:sz w:val="20"/>
        </w:rPr>
      </w:pPr>
    </w:p>
    <w:p w:rsidR="007D46DA" w:rsidRDefault="007D46DA" w:rsidP="007D46DA">
      <w:pPr>
        <w:spacing w:before="120"/>
        <w:jc w:val="both"/>
        <w:rPr>
          <w:sz w:val="20"/>
        </w:rPr>
      </w:pPr>
    </w:p>
    <w:p w:rsidR="007D46DA" w:rsidRDefault="007D46DA" w:rsidP="007D46DA">
      <w:pPr>
        <w:spacing w:before="120"/>
        <w:jc w:val="both"/>
        <w:rPr>
          <w:sz w:val="20"/>
        </w:rPr>
      </w:pPr>
    </w:p>
    <w:p w:rsidR="007D46DA" w:rsidRDefault="007D46DA" w:rsidP="007D46DA">
      <w:pPr>
        <w:spacing w:before="120"/>
        <w:jc w:val="both"/>
        <w:rPr>
          <w:sz w:val="20"/>
        </w:rPr>
      </w:pPr>
    </w:p>
    <w:p w:rsidR="007D46DA" w:rsidRDefault="007D46DA" w:rsidP="007D46DA">
      <w:pPr>
        <w:spacing w:before="120"/>
        <w:jc w:val="both"/>
        <w:rPr>
          <w:sz w:val="20"/>
        </w:rPr>
      </w:pPr>
    </w:p>
    <w:p w:rsidR="007D46DA" w:rsidRDefault="007D46DA" w:rsidP="007D46DA">
      <w:pPr>
        <w:spacing w:before="120"/>
        <w:jc w:val="both"/>
        <w:rPr>
          <w:sz w:val="20"/>
        </w:rPr>
      </w:pPr>
    </w:p>
    <w:p w:rsidR="007D46DA" w:rsidRDefault="007D46DA" w:rsidP="007D46DA">
      <w:pPr>
        <w:spacing w:before="120"/>
        <w:jc w:val="both"/>
        <w:rPr>
          <w:sz w:val="20"/>
        </w:rPr>
      </w:pPr>
    </w:p>
    <w:p w:rsidR="007D46DA" w:rsidRDefault="007D46DA" w:rsidP="007D46DA">
      <w:pPr>
        <w:spacing w:before="120"/>
        <w:jc w:val="both"/>
        <w:rPr>
          <w:sz w:val="20"/>
        </w:rPr>
      </w:pPr>
    </w:p>
    <w:p w:rsidR="007D46DA" w:rsidRPr="00F07D4D" w:rsidRDefault="007D46DA" w:rsidP="007D46DA">
      <w:pPr>
        <w:pStyle w:val="Heading1"/>
        <w:numPr>
          <w:ilvl w:val="0"/>
          <w:numId w:val="0"/>
        </w:numPr>
        <w:ind w:left="432" w:hanging="432"/>
        <w:jc w:val="left"/>
      </w:pPr>
      <w:bookmarkStart w:id="1" w:name="_Toc200095249"/>
      <w:r>
        <w:t>Acknowledgements</w:t>
      </w:r>
      <w:bookmarkEnd w:id="1"/>
    </w:p>
    <w:p w:rsidR="007D46DA" w:rsidRDefault="007D46DA" w:rsidP="000016D4">
      <w:pPr>
        <w:pStyle w:val="BodyText"/>
        <w:spacing w:before="0" w:after="0"/>
        <w:jc w:val="left"/>
      </w:pPr>
      <w:r>
        <w:t xml:space="preserve">The authors again owe special thanks to Frederick S. Pardee, who conceptualized the Patterns of Potential Human Progress series that this volume continues. We much appreciate </w:t>
      </w:r>
      <w:r w:rsidRPr="000A1E16">
        <w:t>Fred’s ongoing</w:t>
      </w:r>
      <w:r>
        <w:t xml:space="preserve"> support for the work of the International Futures (IFs) project and his contribution of energy, enthusiasm, and ideas, including the special responsibility he has taken for the country-specific supporting data tables that accompany the PPHP volumes and appear on-line at the IFs website. </w:t>
      </w:r>
    </w:p>
    <w:p w:rsidR="000016D4" w:rsidRDefault="007D46DA" w:rsidP="000016D4">
      <w:pPr>
        <w:pStyle w:val="BodyText"/>
        <w:spacing w:before="0" w:after="0"/>
        <w:jc w:val="left"/>
      </w:pPr>
      <w:r>
        <w:t xml:space="preserve">The International Futures (IFs) simulation modeling system, the core tool of this volume, has been developed over thirty years under the leadership of Barry B. Hughes at the Josef Korbel School of International Studies, University of Denver. Thanks to the support of the University and the Frederick S. Pardee Center for International Futures, the complete system, including both a downloadable version and an on-line version, is available for all users at </w:t>
      </w:r>
      <w:hyperlink r:id="rId8" w:history="1">
        <w:r w:rsidRPr="000F5C02">
          <w:rPr>
            <w:rStyle w:val="Hyperlink"/>
          </w:rPr>
          <w:t>www.ifs.du.edu</w:t>
        </w:r>
      </w:hyperlink>
      <w:r>
        <w:t>.</w:t>
      </w:r>
    </w:p>
    <w:p w:rsidR="007D46DA" w:rsidRDefault="007D46DA" w:rsidP="000016D4">
      <w:pPr>
        <w:pStyle w:val="BodyText"/>
        <w:spacing w:before="0" w:after="0"/>
        <w:jc w:val="left"/>
      </w:pPr>
    </w:p>
    <w:p w:rsidR="000016D4" w:rsidRDefault="007D46DA" w:rsidP="000016D4">
      <w:pPr>
        <w:pStyle w:val="BodyText"/>
        <w:spacing w:before="0" w:after="0"/>
        <w:jc w:val="left"/>
      </w:pPr>
      <w:r>
        <w:t>IFs, developed originally as an educational tool, owes much to the large number of students, instructors, and analysts who have used or reacted to the system over many years and provided much appreciated advice for enhancement. The first two volumes of this series provided names of many of those, and without repeating the listing we thank them still again (as we do earlier team members, listed also in those two volumes).</w:t>
      </w:r>
    </w:p>
    <w:p w:rsidR="007D46DA" w:rsidRDefault="007D46DA" w:rsidP="000016D4">
      <w:pPr>
        <w:pStyle w:val="BodyText"/>
        <w:spacing w:before="0" w:after="0"/>
        <w:jc w:val="left"/>
      </w:pPr>
    </w:p>
    <w:p w:rsidR="007D46DA" w:rsidRDefault="007D46DA" w:rsidP="000016D4">
      <w:pPr>
        <w:pStyle w:val="BodyText"/>
        <w:spacing w:before="0" w:after="0"/>
        <w:jc w:val="left"/>
      </w:pPr>
      <w:r>
        <w:t>IFs team members who made special contributions to this volume include</w:t>
      </w:r>
      <w:r w:rsidR="002C11AA">
        <w:t xml:space="preserve"> </w:t>
      </w:r>
      <w:r>
        <w:t>…</w:t>
      </w:r>
    </w:p>
    <w:p w:rsidR="000016D4" w:rsidRDefault="007D46DA" w:rsidP="000016D4">
      <w:pPr>
        <w:pStyle w:val="BodyText"/>
        <w:spacing w:before="0" w:after="0"/>
        <w:jc w:val="left"/>
      </w:pPr>
      <w:r>
        <w:t>We also thank an exceptional group of external reviewers who greatly enhanced this volume through their feedback. They are</w:t>
      </w:r>
      <w:r w:rsidR="002C11AA">
        <w:t xml:space="preserve"> ... </w:t>
      </w:r>
      <w:r>
        <w:t>. No one could save us from all of our errors of omission and commission, but they saved us from many.</w:t>
      </w:r>
    </w:p>
    <w:p w:rsidR="007D46DA" w:rsidRDefault="007D46DA" w:rsidP="000016D4">
      <w:pPr>
        <w:pStyle w:val="BodyText"/>
        <w:spacing w:before="0" w:after="0"/>
        <w:jc w:val="left"/>
      </w:pPr>
    </w:p>
    <w:p w:rsidR="000016D4" w:rsidRDefault="007D46DA" w:rsidP="000016D4">
      <w:pPr>
        <w:pStyle w:val="BodyText"/>
        <w:spacing w:before="0" w:after="0"/>
        <w:jc w:val="left"/>
      </w:pPr>
      <w:r>
        <w:t>Most recent funding for IFs has come from Frederick S. Pardee, the United Nations Environment Programme, the U.S. National Intelligence Council, the European Commission, and the United Kingdom Department for International Development. Other developments within IFs have been funded in part by the United Nations Human Development Report Office, United States Institute for Peace, Strategic Assessments Group of the U.S. Central Intelligence Agency, by the Frederick S. Pardee Center for Longer Range Global Policy and the Future of the Human Condition at RAND Corporation, and the European Union Center at the University of Michigan. Thanks also to</w:t>
      </w:r>
      <w:r w:rsidRPr="009F1DD1">
        <w:t xml:space="preserve"> the National Science Foundation, the Cleveland Foundation, the Exxon Education Foundation, the Kettering Family Foundation, the Pacific Cultural Foundation, the U</w:t>
      </w:r>
      <w:r>
        <w:t>nited States Institute of Peace, and General Motors for funding that contributed to earlier generations of IFs. Special thanks to our strategic partner in Africa, the Institute for Security Studies, with whom we engage in a variety of projects.</w:t>
      </w:r>
    </w:p>
    <w:p w:rsidR="007D46DA" w:rsidRDefault="007D46DA" w:rsidP="000016D4">
      <w:pPr>
        <w:pStyle w:val="BodyText"/>
        <w:spacing w:before="0" w:after="0"/>
        <w:jc w:val="left"/>
      </w:pPr>
    </w:p>
    <w:p w:rsidR="000016D4" w:rsidRDefault="007D46DA" w:rsidP="000016D4">
      <w:pPr>
        <w:pStyle w:val="BodyText"/>
        <w:spacing w:before="0" w:after="0"/>
        <w:jc w:val="left"/>
      </w:pPr>
      <w:r>
        <w:t xml:space="preserve">At Paradigm Publishers, Jennifer Knerr, long-term editor and friend of the IFs project, was wonderfully helpful and supportive. At Oxford University Press in New Delhi, we are grateful for the warm support and partnership of Neha Kohli, Associate Development Editor, and Urmilla Dasgupta, Commissioning Editor. And we are extremely appreciative of the beautiful design and layout work on all of the series volumes by Trevor Bounford and Denise Goodey of </w:t>
      </w:r>
      <w:r w:rsidRPr="001B2B4C">
        <w:rPr>
          <w:u w:val="single"/>
        </w:rPr>
        <w:t>Bounford.com</w:t>
      </w:r>
      <w:r>
        <w:t>. We also much appreciate Eleanora von Dehsen’s help in standardizing our presentation.</w:t>
      </w:r>
    </w:p>
    <w:p w:rsidR="000016D4" w:rsidRDefault="000016D4" w:rsidP="000016D4">
      <w:pPr>
        <w:pStyle w:val="BodyText"/>
        <w:spacing w:before="0" w:after="0"/>
        <w:jc w:val="left"/>
      </w:pPr>
    </w:p>
    <w:p w:rsidR="000016D4" w:rsidRDefault="007D46DA" w:rsidP="000016D4">
      <w:pPr>
        <w:pStyle w:val="BodyText"/>
        <w:spacing w:before="0" w:after="0"/>
        <w:jc w:val="left"/>
      </w:pPr>
      <w:r>
        <w:t>Finally, the authors built on tremendous foundations of work directed towards understanding infrastructure (its forms, benefits, and costs). The hope that motivated our work was that we might contribute something to that ongoing stream of effort by exploring the ability of countries around the world to meet the infrastructure needs of their people and by examining the broader human development consequences of meeting, or failing to meet, those needs over the next fifty years. Other than the authors, of course, none of the named individuals or institutions bears any responsibility for the current status of the model or for the analysis presented here. Their support is nonetheless greatly appreciated.</w:t>
      </w:r>
    </w:p>
    <w:p w:rsidR="007D46DA" w:rsidRDefault="007D46DA" w:rsidP="000016D4">
      <w:pPr>
        <w:pStyle w:val="BodyText"/>
        <w:spacing w:before="0" w:after="0"/>
        <w:jc w:val="left"/>
      </w:pPr>
    </w:p>
    <w:p w:rsidR="007D46DA" w:rsidRDefault="007D46DA" w:rsidP="000016D4">
      <w:pPr>
        <w:pStyle w:val="BodyText"/>
        <w:spacing w:before="0" w:after="0"/>
      </w:pPr>
      <w:r>
        <w:t>Barry B. Hughes</w:t>
      </w:r>
    </w:p>
    <w:p w:rsidR="007D46DA" w:rsidRPr="00981A7F" w:rsidRDefault="007D46DA" w:rsidP="000016D4">
      <w:pPr>
        <w:pStyle w:val="BodyText"/>
        <w:spacing w:before="0" w:after="0"/>
      </w:pPr>
      <w:r>
        <w:t>Series Editor</w:t>
      </w:r>
    </w:p>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053A06" w:rsidRDefault="00053A06">
      <w:pPr>
        <w:sectPr w:rsidR="00053A06">
          <w:footerReference w:type="even" r:id="rId9"/>
          <w:footerReference w:type="default" r:id="rId10"/>
          <w:type w:val="continuous"/>
          <w:pgSz w:w="12240" w:h="15840"/>
          <w:pgMar w:top="1440" w:right="1440" w:bottom="1440" w:left="1440" w:gutter="0"/>
          <w:pgNumType w:fmt="lowerRoman" w:start="1"/>
          <w:titlePg/>
          <w:docGrid w:linePitch="326"/>
        </w:sectPr>
      </w:pPr>
    </w:p>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Pr="00E04D31" w:rsidRDefault="007D46DA" w:rsidP="007D46DA">
      <w:pPr>
        <w:pStyle w:val="Heading1"/>
        <w:numPr>
          <w:ilvl w:val="0"/>
          <w:numId w:val="0"/>
        </w:numPr>
        <w:ind w:left="360"/>
        <w:rPr>
          <w:color w:val="000000"/>
          <w:lang w:val="en-US"/>
        </w:rPr>
      </w:pPr>
      <w:bookmarkStart w:id="2" w:name="_Toc213578241"/>
      <w:bookmarkStart w:id="3" w:name="_Toc323232030"/>
      <w:bookmarkStart w:id="4" w:name="_Toc200095250"/>
      <w:r w:rsidRPr="00E04D31">
        <w:rPr>
          <w:color w:val="000000"/>
          <w:lang w:val="en-US"/>
        </w:rPr>
        <w:t xml:space="preserve">1. </w:t>
      </w:r>
      <w:bookmarkEnd w:id="2"/>
      <w:r w:rsidRPr="00E04D31">
        <w:rPr>
          <w:color w:val="000000"/>
          <w:lang w:val="en-US"/>
        </w:rPr>
        <w:t>Introduction</w:t>
      </w:r>
      <w:bookmarkEnd w:id="3"/>
      <w:bookmarkEnd w:id="4"/>
    </w:p>
    <w:p w:rsidR="007D46DA" w:rsidRPr="00E04D31" w:rsidRDefault="007D46DA" w:rsidP="007D46DA">
      <w:pPr>
        <w:jc w:val="center"/>
        <w:rPr>
          <w:i/>
        </w:rPr>
      </w:pPr>
      <w:r w:rsidRPr="00E04D31">
        <w:rPr>
          <w:i/>
        </w:rPr>
        <w:t xml:space="preserve">What vast additions to the conveniences and comforts of living might mankind have acquired, if the money spent in wars had been employed in works of public utility; what an extension of agriculture even to the tops of our mountains; what rivers rendered navigable, or joined by canals; what bridges, aqueducts, new roads, and other public works, edifices, and improvements might not have been obtained by spending those millions in doing good, which in the last war have been spent in doing mischief. </w:t>
      </w:r>
    </w:p>
    <w:p w:rsidR="007D46DA" w:rsidRPr="00E04D31" w:rsidRDefault="007D46DA" w:rsidP="007D46DA">
      <w:pPr>
        <w:jc w:val="center"/>
        <w:rPr>
          <w:i/>
        </w:rPr>
      </w:pPr>
      <w:r w:rsidRPr="00E04D31">
        <w:rPr>
          <w:i/>
        </w:rPr>
        <w:t>-</w:t>
      </w:r>
      <w:r w:rsidRPr="00E04D31">
        <w:t>Benjamin Franklin</w:t>
      </w:r>
      <w:r w:rsidRPr="004C6126">
        <w:rPr>
          <w:rStyle w:val="FootnoteReference"/>
        </w:rPr>
        <w:footnoteReference w:id="-1"/>
      </w:r>
    </w:p>
    <w:p w:rsidR="007D46DA" w:rsidRPr="00E04D31" w:rsidRDefault="007D46DA" w:rsidP="007D46DA">
      <w:pPr>
        <w:jc w:val="center"/>
        <w:rPr>
          <w:i/>
        </w:rPr>
      </w:pPr>
    </w:p>
    <w:p w:rsidR="007D46DA" w:rsidRPr="00391E86" w:rsidRDefault="007D46DA" w:rsidP="007D46DA">
      <w:pPr>
        <w:jc w:val="center"/>
      </w:pPr>
    </w:p>
    <w:p w:rsidR="007D46DA" w:rsidRPr="00CF307E" w:rsidRDefault="007D46DA" w:rsidP="007D46DA">
      <w:r w:rsidRPr="00CF307E">
        <w:t>From the earliest roads to today’s information superhighway and beyond, infrastructure has facilitated, and will continue to facilitate, almost all aspects of human activity. It makes possible the movement and transmission of goods, services, people, energy, and information, including ideas and culture, upon which societies rely. Infrastructure also protects us from the vagaries of the natural world, allowing us to live and work in locations that would otherwise be forbidding or unusable (Doyle and Havlick 2009).</w:t>
      </w:r>
    </w:p>
    <w:p w:rsidR="007D46DA" w:rsidRPr="00CF307E" w:rsidRDefault="007D46DA" w:rsidP="007D46DA"/>
    <w:p w:rsidR="007D46DA" w:rsidRPr="00CF307E" w:rsidRDefault="007D46DA" w:rsidP="007D46DA">
      <w:r>
        <w:t>While infrastructure can provide invaluable services, the provision of infrastructure and the potential benefits that might result are not always a given. As the above quote by Benjamin Franklin makes clear, there exists a tension between infrastructure’s promise and its missed potential. This tension arises not only from competing demands on public resources, but also from the ways in which infrastructure is funded, structured, and managed. This had lead us to a world in which infrastructure and its benefits are spread very unevenly across populations around the world.</w:t>
      </w:r>
    </w:p>
    <w:p w:rsidR="007D46DA" w:rsidRPr="00CF307E" w:rsidRDefault="007D46DA" w:rsidP="007D46DA"/>
    <w:p w:rsidR="007D46DA" w:rsidRDefault="007D46DA" w:rsidP="007D46DA">
      <w:r>
        <w:t>The focus of this volume is on how this situation may change over the next half-century. To what extent can we expect those countries with significant gaps in infrastructure to close these gaps, and what does this mean for their social and economic development? For those countries that have achieved a general level of sufficiency in basic infrastructure, what are the challenges to maintaining and renewing these systems?</w:t>
      </w:r>
    </w:p>
    <w:p w:rsidR="007D46DA" w:rsidRDefault="007D46DA" w:rsidP="007D46DA"/>
    <w:p w:rsidR="007D46DA" w:rsidRDefault="007D46DA" w:rsidP="007D46DA">
      <w:r>
        <w:t>This volume explores aspects of the future of infrastructure that go beyond any other study of which we are aware. At the same time, our goals are modest. We are fully cognizant that infrastructure has undergone a number of significant technological transformations in the past. We have no reason to doubt that this will continue, particularly given the continued growth and penetration of Information and Communication Technologies (ICT). Forecasting such transformations, however, is beyond the general scope of this and similar studies that focus on evolutionary rather than revolutionary change. Thus, the story of the future of infrastructure in the real world will almost certainly be richer and more dynamic than any we tell here. Even so, there is much for us to tell.</w:t>
      </w:r>
    </w:p>
    <w:p w:rsidR="007D46DA" w:rsidRPr="00CF307E" w:rsidRDefault="007D46DA" w:rsidP="007D46DA"/>
    <w:p w:rsidR="007D46DA" w:rsidRPr="00877E30" w:rsidRDefault="00877E30" w:rsidP="00877E30">
      <w:pPr>
        <w:pStyle w:val="Heading2"/>
      </w:pPr>
      <w:bookmarkStart w:id="5" w:name="_Toc323232031"/>
      <w:r>
        <w:t xml:space="preserve"> </w:t>
      </w:r>
      <w:bookmarkStart w:id="6" w:name="_Toc200095251"/>
      <w:r w:rsidR="007D46DA" w:rsidRPr="00877E30">
        <w:t>The What and Why of Infrastructure</w:t>
      </w:r>
      <w:bookmarkEnd w:id="5"/>
      <w:bookmarkEnd w:id="6"/>
    </w:p>
    <w:p w:rsidR="007D46DA" w:rsidRPr="00877E30" w:rsidRDefault="007D46DA" w:rsidP="00877E30">
      <w:pPr>
        <w:pStyle w:val="Heading3"/>
      </w:pPr>
      <w:bookmarkStart w:id="7" w:name="_Toc323232032"/>
      <w:bookmarkStart w:id="8" w:name="_Toc200095252"/>
      <w:r w:rsidRPr="00877E30">
        <w:t>What is infrastructure?</w:t>
      </w:r>
      <w:bookmarkEnd w:id="7"/>
      <w:bookmarkEnd w:id="8"/>
      <w:r w:rsidRPr="00877E30">
        <w:t xml:space="preserve"> </w:t>
      </w:r>
    </w:p>
    <w:p w:rsidR="007D46DA" w:rsidRDefault="007D46DA" w:rsidP="007D46DA">
      <w:pPr>
        <w:pStyle w:val="BodyText"/>
        <w:spacing w:before="0" w:after="0"/>
        <w:jc w:val="left"/>
      </w:pPr>
      <w:r w:rsidRPr="00E04D31">
        <w:t xml:space="preserve">The Merriam-Webster Dictionary first defines infrastructure as “the underlying foundation or basic framework (as of a system or organization),” and then includes the following as an alternative definition: “the system of public works of a country, state, or region; </w:t>
      </w:r>
      <w:r w:rsidRPr="00E04D31">
        <w:rPr>
          <w:i/>
        </w:rPr>
        <w:t>also</w:t>
      </w:r>
      <w:r w:rsidRPr="00E04D31">
        <w:t xml:space="preserve"> the resources (as personnel, buildings, or equipment) required for an activity.”</w:t>
      </w:r>
      <w:r w:rsidRPr="004C6126">
        <w:rPr>
          <w:rStyle w:val="FootnoteReference"/>
        </w:rPr>
        <w:footnoteReference w:id="0"/>
      </w:r>
      <w:r w:rsidRPr="00E04D31">
        <w:t xml:space="preserve"> Whether explicit or implicit, the characteristic common to all definitions and descriptions </w:t>
      </w:r>
      <w:r>
        <w:t xml:space="preserve">of infrastructure </w:t>
      </w:r>
      <w:r w:rsidRPr="00E04D31">
        <w:t xml:space="preserve">is that </w:t>
      </w:r>
      <w:r>
        <w:t>it</w:t>
      </w:r>
      <w:r w:rsidRPr="00E04D31">
        <w:t xml:space="preserve"> is an enabling foundation for some other purpose</w:t>
      </w:r>
      <w:r>
        <w:t xml:space="preserve"> and not an end in itself.</w:t>
      </w:r>
    </w:p>
    <w:p w:rsidR="007D46DA" w:rsidRDefault="007D46DA" w:rsidP="007D46DA">
      <w:pPr>
        <w:pStyle w:val="BodyText"/>
        <w:spacing w:before="0" w:after="0"/>
        <w:jc w:val="left"/>
      </w:pPr>
    </w:p>
    <w:p w:rsidR="007D46DA" w:rsidRDefault="007D46DA" w:rsidP="007D46DA">
      <w:pPr>
        <w:pStyle w:val="BodyText"/>
        <w:spacing w:before="0" w:after="0"/>
        <w:jc w:val="left"/>
      </w:pPr>
      <w:r w:rsidRPr="00E04D31">
        <w:t xml:space="preserve">In practice, there is a wide variability in the components included in infrastructure depending on the context in which the term is used. Frequently, a distinction is made between </w:t>
      </w:r>
      <w:r w:rsidRPr="00E04D31">
        <w:rPr>
          <w:i/>
        </w:rPr>
        <w:t>hard infrastructure</w:t>
      </w:r>
      <w:r w:rsidRPr="00E04D31">
        <w:t xml:space="preserve"> (e.g., physical foundations of societies such as roads and power plants) and </w:t>
      </w:r>
      <w:r w:rsidRPr="00E04D31">
        <w:rPr>
          <w:i/>
        </w:rPr>
        <w:t xml:space="preserve">soft infrastructure </w:t>
      </w:r>
      <w:r w:rsidRPr="00E04D31">
        <w:t>(e.g., social foundations of societies such as governments and legal systems)</w:t>
      </w:r>
      <w:r w:rsidRPr="00391E86">
        <w:t xml:space="preserve"> </w:t>
      </w:r>
      <w:r w:rsidRPr="00E04D31">
        <w:t xml:space="preserve">(see Figure 1.1). </w:t>
      </w:r>
      <w:r>
        <w:t>In between these two lay K</w:t>
      </w:r>
      <w:r w:rsidRPr="00E04D31">
        <w:t>nowledge systems</w:t>
      </w:r>
      <w:r>
        <w:t xml:space="preserve">, </w:t>
      </w:r>
      <w:r w:rsidRPr="00E04D31">
        <w:t xml:space="preserve">which we define as those systems and activities within a society that promote innovation and knowledge transfer through human capital development. </w:t>
      </w:r>
      <w:r>
        <w:t>K</w:t>
      </w:r>
      <w:r w:rsidRPr="00E04D31">
        <w:t xml:space="preserve">nowledge systems fulfill two vital functions: (1) </w:t>
      </w:r>
      <w:r>
        <w:t xml:space="preserve">they </w:t>
      </w:r>
      <w:r w:rsidRPr="00E04D31">
        <w:t>serv</w:t>
      </w:r>
      <w:r>
        <w:t>e</w:t>
      </w:r>
      <w:r w:rsidRPr="00E04D31">
        <w:t xml:space="preserve"> a specialized role by connecting directly to hard infrastructure through improvements in technology (crucial to extending access and to sustainability); and (2) </w:t>
      </w:r>
      <w:r>
        <w:t xml:space="preserve">they </w:t>
      </w:r>
      <w:r w:rsidRPr="00E04D31">
        <w:t>serv</w:t>
      </w:r>
      <w:r>
        <w:t>e</w:t>
      </w:r>
      <w:r w:rsidRPr="00E04D31">
        <w:t xml:space="preserve"> a broader role by promoting those aspects of governance and other social systems that facilitate the development and use of infrastructure (and other systems) for human well-being.</w:t>
      </w:r>
    </w:p>
    <w:p w:rsidR="007D46DA" w:rsidRDefault="007D46DA" w:rsidP="007D46DA">
      <w:pPr>
        <w:pStyle w:val="BodyText"/>
        <w:spacing w:before="0" w:after="0"/>
        <w:jc w:val="left"/>
      </w:pPr>
    </w:p>
    <w:p w:rsidR="007D46DA" w:rsidRDefault="007D46DA" w:rsidP="007D46DA">
      <w:pPr>
        <w:pStyle w:val="BodyText"/>
        <w:spacing w:before="0" w:after="0"/>
        <w:jc w:val="left"/>
      </w:pPr>
      <w:r w:rsidRPr="00E04D31">
        <w:t xml:space="preserve">Our </w:t>
      </w:r>
      <w:r>
        <w:t xml:space="preserve">primary </w:t>
      </w:r>
      <w:r w:rsidRPr="00E04D31">
        <w:t>focus in this volume is on hard infrastructure</w:t>
      </w:r>
      <w:r>
        <w:t>—the</w:t>
      </w:r>
      <w:r w:rsidRPr="00E04D31">
        <w:t xml:space="preserve"> systems that provide for the movement and distribution of people and goods, energy, water and wastes, and information. </w:t>
      </w:r>
      <w:r>
        <w:t xml:space="preserve">This includes, </w:t>
      </w:r>
      <w:r>
        <w:rPr>
          <w:i/>
        </w:rPr>
        <w:t>inter alia</w:t>
      </w:r>
      <w:r>
        <w:t xml:space="preserve">, roads, railways, electricity generation plants, transmission lines, dams, canals, irrigation works, water delivery and sanitation systems, and communication networks. In the course of our work on infrastructure we have also developed basic representations of knowledge systems, but we leave analysis and forecasting of those primarily for future work. </w:t>
      </w:r>
    </w:p>
    <w:p w:rsidR="007D46DA" w:rsidRDefault="007D46DA" w:rsidP="007D46DA">
      <w:pPr>
        <w:pStyle w:val="BodyText"/>
        <w:spacing w:before="0" w:after="0"/>
        <w:jc w:val="left"/>
      </w:pPr>
    </w:p>
    <w:p w:rsidR="007D46DA" w:rsidRDefault="007D46DA" w:rsidP="007D46DA">
      <w:r>
        <w:t>Many studies separate infrastructure into distinct categories and look at their development as largely discrete. This can make for easier analysis, and we also do so to a certain extent for this reason. In reality, however, there are many strong relationships between many forms of infrastructure, with examples of both complementarity and substitution.</w:t>
      </w:r>
    </w:p>
    <w:p w:rsidR="007D46DA" w:rsidRDefault="007D46DA" w:rsidP="007D46DA"/>
    <w:p w:rsidR="007D46DA" w:rsidRDefault="007D46DA" w:rsidP="007D46DA">
      <w:r>
        <w:t xml:space="preserve">Physical co-locality is probably the most straightforward example of the complementary nature of much infrastructure. A typical city street, itself a form of infrastructure, will often have power lines and telephone cables running alongside it and water and sewer lines running beneath. In such cases, the establishment of one infrastructure early on, such as roads, makes the later construction of other infrastructure easier, especially in dense urban areas where issues of zoning can become quite complex. Infrastructures can also complement each other by enhancing operation. For example, ICT infrastructure can improve the monitoring and control of energy, transportation, and water systems, through smart-grid applications </w:t>
      </w:r>
      <w:r w:rsidR="00F7383F" w:rsidRPr="003E4031">
        <w:fldChar w:fldCharType="begin"/>
      </w:r>
      <w:r w:rsidRPr="003E4031">
        <w:instrText xml:space="preserve"> ADDIN ZOTERO_ITEM {"citationID":"kQmJtPb1","properties":{"formattedCitation":"(Organisation for Economic Cooperation and Development (OECD) 2006)","plainCitation":"(Organisation for Economic Cooperation and Development (OECD) 2006)"},"citationItems":[{"id":1462,"uris":["http://zotero.org/groups/4482/items/NHI2AW4I","http://zotero.org/groups/4482/items/5MCXH4FW"],"uri":["http://zotero.org/groups/4482/items/NHI2AW4I","http://zotero.org/groups/4482/items/5MCXH4FW"]}]} </w:instrText>
      </w:r>
      <w:r w:rsidR="00F7383F" w:rsidRPr="003E4031">
        <w:fldChar w:fldCharType="separate"/>
      </w:r>
      <w:r w:rsidRPr="003E4031">
        <w:rPr>
          <w:noProof/>
        </w:rPr>
        <w:t>(Organisation for Economic Cooperation and Development (OECD) 2006, 32)</w:t>
      </w:r>
      <w:r w:rsidR="00F7383F" w:rsidRPr="003E4031">
        <w:fldChar w:fldCharType="end"/>
      </w:r>
      <w:r w:rsidRPr="003E4031">
        <w:t>.</w:t>
      </w:r>
    </w:p>
    <w:p w:rsidR="007D46DA" w:rsidRDefault="007D46DA" w:rsidP="007D46DA"/>
    <w:p w:rsidR="007D46DA" w:rsidRDefault="007D46DA" w:rsidP="007D46DA">
      <w:r>
        <w:t>Substitution occurs when one form of infrastructure replaces another. In the past, when more efficient infrastructure was developed it would supplant the outdated forms in an orderly progression. Dirt roads became paved, roads and paved roads, turned into highways. A hand operated well became a pumped water station. Watermills gave way to hydroelectric dams. Today, this orderly process continues, but further changes are occurring as ICT has begun to allow the substitution of one type of infrastructure for another. The rise of e-commerce and telecommuting to work has, on a limited scale, begun to supplant the need for physical transportation. For developing countries, the ability of new technologies, especially ICT, to substitute for old has proven a boon for development as they have leapfrogged iterative infrastructure (like fixed phone lines) for more advanced infrastructure like mobile phones and mobile broadband (See Chapter 2).</w:t>
      </w:r>
    </w:p>
    <w:p w:rsidR="007D46DA" w:rsidRDefault="007D46DA" w:rsidP="007D46DA"/>
    <w:p w:rsidR="007D46DA" w:rsidRDefault="007D46DA" w:rsidP="007D46DA">
      <w:r>
        <w:t xml:space="preserve">Finally, many infrastructures are inherently reliant on others. Without energy, the movement of people, goods, resources, and information simply would not happen. Thus, transportation, water, and ICT all rely on energy infrastructure. At the same time, energy infrastructure is heavily dependent on other forms for access to energy resources. A significant amount of transport, particularly freight transport, is devoted to moving energy resources. </w:t>
      </w:r>
      <w:r w:rsidRPr="003442E2">
        <w:t>For example, in 2007, coal and petroleum products accounted for 32.5 percent of freight transport shipments within the U.S.</w:t>
      </w:r>
      <w:r w:rsidRPr="004C6126">
        <w:rPr>
          <w:rStyle w:val="FootnoteReference"/>
        </w:rPr>
        <w:footnoteReference w:id="1"/>
      </w:r>
      <w:r w:rsidRPr="003442E2">
        <w:t xml:space="preserve"> Internationally, </w:t>
      </w:r>
      <w:r>
        <w:t xml:space="preserve">more </w:t>
      </w:r>
      <w:r w:rsidRPr="003442E2">
        <w:t xml:space="preserve">trade and transport </w:t>
      </w:r>
      <w:r>
        <w:t xml:space="preserve">is devoted to the movement </w:t>
      </w:r>
      <w:r w:rsidRPr="003442E2">
        <w:t>of oil than any other single product.</w:t>
      </w:r>
      <w:r w:rsidRPr="004C6126">
        <w:rPr>
          <w:rStyle w:val="FootnoteReference"/>
        </w:rPr>
        <w:footnoteReference w:id="2"/>
      </w:r>
      <w:r w:rsidRPr="003442E2">
        <w:t xml:space="preserve"> The energy system </w:t>
      </w:r>
      <w:r>
        <w:t xml:space="preserve">also </w:t>
      </w:r>
      <w:r w:rsidRPr="003442E2">
        <w:t>requires significant amounts of water, be it for extraction and production, refining, or power generation</w:t>
      </w:r>
      <w:r>
        <w:t>, most obviously in steam generators</w:t>
      </w:r>
      <w:r w:rsidRPr="003442E2">
        <w:t>.</w:t>
      </w:r>
      <w:r>
        <w:t xml:space="preserve"> More recently, there has been much discussion about the use of smart grid technology to manage electricity production and distribution. For example, </w:t>
      </w:r>
      <w:r w:rsidRPr="003E4031">
        <w:t xml:space="preserve">Amin and Wollenberg </w:t>
      </w:r>
      <w:r w:rsidR="00F7383F" w:rsidRPr="003E4031">
        <w:fldChar w:fldCharType="begin"/>
      </w:r>
      <w:r>
        <w:instrText xml:space="preserve"> ADDIN ZOTERO_ITEM {"citationID":"ybGIEL2X","properties":{"formattedCitation":"(2005, 37)","plainCitation":"(2005, 37)"},"citationItems":[{"id":905,"uris":["http://zotero.org/groups/4482/items/WSTKGQIS"],"uri":["http://zotero.org/groups/4482/items/WSTKGQIS"],"locator":"37","label":"page","suppress-author":true}]} </w:instrText>
      </w:r>
      <w:r w:rsidR="00F7383F" w:rsidRPr="003E4031">
        <w:fldChar w:fldCharType="separate"/>
      </w:r>
      <w:r>
        <w:t>(2005: 37)</w:t>
      </w:r>
      <w:r w:rsidR="00F7383F" w:rsidRPr="003E4031">
        <w:fldChar w:fldCharType="end"/>
      </w:r>
      <w:r>
        <w:t xml:space="preserve"> spoke of a system in which </w:t>
      </w:r>
      <w:r w:rsidRPr="003442E2">
        <w:t>“every node in the power network of the future will be awake, responsive, adaptive, price-smart, eco-sensitive, real-time, flexible… and interconnected with everything else</w:t>
      </w:r>
      <w:r>
        <w:t>.</w:t>
      </w:r>
      <w:r w:rsidRPr="003442E2">
        <w:t>”</w:t>
      </w:r>
    </w:p>
    <w:p w:rsidR="007D46DA" w:rsidRDefault="007D46DA" w:rsidP="007D46DA">
      <w:pPr>
        <w:pStyle w:val="BodyText"/>
        <w:spacing w:before="0" w:after="0"/>
        <w:jc w:val="left"/>
        <w:rPr>
          <w:b/>
        </w:rPr>
      </w:pPr>
    </w:p>
    <w:p w:rsidR="007D46DA" w:rsidRPr="00E04D31" w:rsidRDefault="007D46DA" w:rsidP="00877E30">
      <w:pPr>
        <w:pStyle w:val="FiguresTest"/>
      </w:pPr>
      <w:r>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-44450</wp:posOffset>
            </wp:positionV>
            <wp:extent cx="5942965" cy="4457065"/>
            <wp:effectExtent l="25400" t="0" r="635" b="0"/>
            <wp:wrapTight wrapText="bothSides">
              <wp:wrapPolygon edited="0">
                <wp:start x="-92" y="0"/>
                <wp:lineTo x="-92" y="21542"/>
                <wp:lineTo x="21602" y="21542"/>
                <wp:lineTo x="21602" y="0"/>
                <wp:lineTo x="-92"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942965" cy="4457065"/>
                    </a:xfrm>
                    <a:prstGeom prst="rect">
                      <a:avLst/>
                    </a:prstGeom>
                    <a:noFill/>
                    <a:ln w="9525">
                      <a:noFill/>
                      <a:miter lim="800000"/>
                      <a:headEnd/>
                      <a:tailEnd/>
                    </a:ln>
                  </pic:spPr>
                </pic:pic>
              </a:graphicData>
            </a:graphic>
          </wp:anchor>
        </w:drawing>
      </w:r>
      <w:r w:rsidRPr="00E04D31">
        <w:t>Figure 1.1 Examples of hard and soft infrastructure with knowledge systems as a bridge</w:t>
      </w:r>
    </w:p>
    <w:p w:rsidR="007D46DA" w:rsidRPr="00E04D31" w:rsidRDefault="007D46DA" w:rsidP="007D46DA">
      <w:pPr>
        <w:pStyle w:val="BodyText"/>
        <w:spacing w:before="0" w:after="0"/>
        <w:jc w:val="left"/>
        <w:rPr>
          <w:i/>
        </w:rPr>
      </w:pPr>
      <w:r w:rsidRPr="00E04D31">
        <w:rPr>
          <w:i/>
        </w:rPr>
        <w:t>Source: Authors’ conceptualization.</w:t>
      </w:r>
    </w:p>
    <w:p w:rsidR="007D46DA" w:rsidRDefault="007D46DA" w:rsidP="007D46DA">
      <w:pPr>
        <w:pStyle w:val="BodyText"/>
        <w:spacing w:before="0" w:after="0"/>
        <w:jc w:val="left"/>
      </w:pPr>
    </w:p>
    <w:p w:rsidR="007D46DA" w:rsidRDefault="007D46DA" w:rsidP="00877E30">
      <w:pPr>
        <w:pStyle w:val="Heading3"/>
      </w:pPr>
      <w:bookmarkStart w:id="9" w:name="_Toc323232033"/>
      <w:bookmarkStart w:id="10" w:name="_Toc200095253"/>
      <w:r>
        <w:t>The importance of</w:t>
      </w:r>
      <w:r w:rsidRPr="00E04D31">
        <w:t xml:space="preserve"> infrastructure</w:t>
      </w:r>
      <w:bookmarkEnd w:id="9"/>
      <w:bookmarkEnd w:id="10"/>
    </w:p>
    <w:p w:rsidR="007D46DA" w:rsidRPr="00E04D31" w:rsidRDefault="007D46DA" w:rsidP="007D46DA">
      <w:r>
        <w:t>I</w:t>
      </w:r>
      <w:r w:rsidRPr="00E04D31">
        <w:t>nfrastructure ha</w:t>
      </w:r>
      <w:r>
        <w:t>s</w:t>
      </w:r>
      <w:r w:rsidRPr="00E04D31">
        <w:t xml:space="preserve"> transformed </w:t>
      </w:r>
      <w:r>
        <w:t xml:space="preserve">our economic, social, and physical landscapes. With the exception of agriculture, the development of infrastructure has altered more land on earth than any other human activity. In the form of the light produced by the electricity network, infrastructure can literally be seen from space (see </w:t>
      </w:r>
      <w:r w:rsidRPr="00E04D31">
        <w:t>Figure 1.2</w:t>
      </w:r>
      <w:r>
        <w:t>).</w:t>
      </w:r>
    </w:p>
    <w:p w:rsidR="007D46DA" w:rsidRPr="00E04D31" w:rsidRDefault="007D46DA" w:rsidP="007D46DA">
      <w:pPr>
        <w:pStyle w:val="BodyText"/>
        <w:spacing w:before="0" w:after="0"/>
        <w:jc w:val="left"/>
        <w:rPr>
          <w:b/>
        </w:rPr>
      </w:pPr>
      <w:r>
        <w:rPr>
          <w:b/>
          <w:noProof/>
        </w:rPr>
        <w:drawing>
          <wp:anchor distT="0" distB="0" distL="114300" distR="114300" simplePos="0" relativeHeight="251659264" behindDoc="0" locked="1" layoutInCell="1" allowOverlap="1">
            <wp:simplePos x="0" y="0"/>
            <wp:positionH relativeFrom="column">
              <wp:align>center</wp:align>
            </wp:positionH>
            <wp:positionV relativeFrom="paragraph">
              <wp:posOffset>88900</wp:posOffset>
            </wp:positionV>
            <wp:extent cx="5943600" cy="2971800"/>
            <wp:effectExtent l="0" t="0" r="0" b="0"/>
            <wp:wrapTopAndBottom/>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943600" cy="2971800"/>
                    </a:xfrm>
                    <a:prstGeom prst="rect">
                      <a:avLst/>
                    </a:prstGeom>
                    <a:noFill/>
                    <a:ln w="9525">
                      <a:noFill/>
                      <a:miter lim="800000"/>
                      <a:headEnd/>
                      <a:tailEnd/>
                    </a:ln>
                  </pic:spPr>
                </pic:pic>
              </a:graphicData>
            </a:graphic>
          </wp:anchor>
        </w:drawing>
      </w:r>
      <w:r w:rsidRPr="00E04D31">
        <w:rPr>
          <w:b/>
        </w:rPr>
        <w:t>Figure 1.2 Nighttime lights from space</w:t>
      </w:r>
    </w:p>
    <w:p w:rsidR="007D46DA" w:rsidRPr="00666F53" w:rsidRDefault="007D46DA" w:rsidP="007D46DA">
      <w:pPr>
        <w:pStyle w:val="BodyText"/>
        <w:spacing w:before="0" w:after="0"/>
        <w:jc w:val="left"/>
        <w:rPr>
          <w:b/>
          <w:lang w:val="fr-FR"/>
        </w:rPr>
      </w:pPr>
      <w:r w:rsidRPr="00666F53">
        <w:rPr>
          <w:lang w:val="fr-FR"/>
        </w:rPr>
        <w:t xml:space="preserve">(Source: </w:t>
      </w:r>
      <w:hyperlink r:id="rId14" w:history="1">
        <w:r w:rsidRPr="00666F53">
          <w:rPr>
            <w:rStyle w:val="Hyperlink"/>
            <w:lang w:val="fr-FR"/>
          </w:rPr>
          <w:t>http://duckwater.bu.edu/urban/global.html</w:t>
        </w:r>
      </w:hyperlink>
      <w:r w:rsidRPr="00666F53">
        <w:rPr>
          <w:lang w:val="fr-FR"/>
        </w:rPr>
        <w:t>)</w:t>
      </w:r>
    </w:p>
    <w:p w:rsidR="007D46DA" w:rsidRPr="00666F53" w:rsidRDefault="007D46DA" w:rsidP="007D46DA">
      <w:pPr>
        <w:rPr>
          <w:lang w:val="fr-FR"/>
        </w:rPr>
      </w:pPr>
    </w:p>
    <w:p w:rsidR="007D46DA" w:rsidRPr="00E04D31" w:rsidRDefault="007D46DA" w:rsidP="007D46DA">
      <w:r>
        <w:t>D</w:t>
      </w:r>
      <w:r w:rsidRPr="00E04D31">
        <w:t xml:space="preserve">espite </w:t>
      </w:r>
      <w:r>
        <w:t xml:space="preserve">its </w:t>
      </w:r>
      <w:r w:rsidRPr="00E04D31">
        <w:t xml:space="preserve">large physical manifestations, </w:t>
      </w:r>
      <w:r>
        <w:t>a lot of</w:t>
      </w:r>
      <w:r w:rsidRPr="00E04D31">
        <w:t xml:space="preserve"> infrastructure</w:t>
      </w:r>
      <w:r>
        <w:t xml:space="preserve"> is</w:t>
      </w:r>
      <w:r w:rsidRPr="00E04D31">
        <w:t xml:space="preserve"> almost invisible to the casual observer. </w:t>
      </w:r>
      <w:r>
        <w:t>It</w:t>
      </w:r>
      <w:r w:rsidRPr="00E04D31">
        <w:t xml:space="preserve"> may be </w:t>
      </w:r>
      <w:r>
        <w:t xml:space="preserve">physically </w:t>
      </w:r>
      <w:r w:rsidRPr="00E04D31">
        <w:t>hidden below ground</w:t>
      </w:r>
      <w:r>
        <w:t xml:space="preserve"> or</w:t>
      </w:r>
      <w:r w:rsidRPr="00E04D31">
        <w:t xml:space="preserve"> behind walls</w:t>
      </w:r>
      <w:r>
        <w:t>. It may be located away from people,</w:t>
      </w:r>
      <w:r w:rsidRPr="00E04D31">
        <w:t xml:space="preserve"> on the “outskirts” of communities</w:t>
      </w:r>
      <w:r>
        <w:t>, or, as is increasingly the case for telecommunications, in low-earth orbit</w:t>
      </w:r>
      <w:r w:rsidRPr="00E04D31">
        <w:t xml:space="preserve">. </w:t>
      </w:r>
      <w:r>
        <w:t>Furthermore, many</w:t>
      </w:r>
      <w:r w:rsidRPr="00E04D31">
        <w:t xml:space="preserve"> forms of infrastructure have come to be taken for granted to the point that they are not even noticed. Few people</w:t>
      </w:r>
      <w:r w:rsidRPr="004F56CF">
        <w:t xml:space="preserve"> </w:t>
      </w:r>
      <w:r>
        <w:t>in the developed world</w:t>
      </w:r>
      <w:r w:rsidRPr="00E04D31">
        <w:t xml:space="preserve"> think about their water or electricity supply until they turn on the tap or flip a switch and nothing happens. </w:t>
      </w:r>
      <w:r>
        <w:t>In contrast the large numbers of people without electricity and running water are almost certainly aware of the infrastructure to which they do not have access</w:t>
      </w:r>
      <w:r w:rsidRPr="00E04D31">
        <w:t>.</w:t>
      </w:r>
    </w:p>
    <w:p w:rsidR="007D46DA" w:rsidRPr="00E04D31" w:rsidRDefault="007D46DA" w:rsidP="007D46DA"/>
    <w:p w:rsidR="007D46DA" w:rsidRPr="00E20402" w:rsidRDefault="007D46DA" w:rsidP="007D46DA">
      <w:pPr>
        <w:rPr>
          <w:i/>
        </w:rPr>
      </w:pPr>
      <w:r>
        <w:t>Still, i</w:t>
      </w:r>
      <w:r w:rsidRPr="00E04D31">
        <w:t>nfrastructure is widely recognized as fundamental to economic and social development.</w:t>
      </w:r>
      <w:r>
        <w:t xml:space="preserve"> T</w:t>
      </w:r>
      <w:r w:rsidRPr="00E04D31">
        <w:t>he World Economic Forum</w:t>
      </w:r>
      <w:r>
        <w:t>’s</w:t>
      </w:r>
      <w:r w:rsidRPr="00E04D31">
        <w:t xml:space="preserve"> </w:t>
      </w:r>
      <w:r>
        <w:t xml:space="preserve">Global Competitiveness Index places infrastructure in second place in its list of twelve pillars forming the </w:t>
      </w:r>
      <w:r w:rsidRPr="00E04D31">
        <w:t xml:space="preserve">“microeconomic and macroeconomic foundations of national competitiveness,” with competitiveness defined as “the set of institutions, policies, and factors that determine the level of productivity of a country” </w:t>
      </w:r>
      <w:r w:rsidR="00F7383F">
        <w:fldChar w:fldCharType="begin"/>
      </w:r>
      <w:r>
        <w:instrText xml:space="preserve"> ADDIN ZOTERO_ITEM {"citationID":"203i1hro6t","properties":{"formattedCitation":"(Schwab 2010, 4)","plainCitation":"(Schwab 2010, 4)"},"citationItems":[{"id":1145,"uris":["http://zotero.org/groups/4482/items/8NVQJX87"],"uri":["http://zotero.org/groups/4482/items/8NVQJX87"],"locator":"4","label":"page"}]} </w:instrText>
      </w:r>
      <w:r w:rsidR="00F7383F">
        <w:fldChar w:fldCharType="separate"/>
      </w:r>
      <w:r>
        <w:t>(Schwab 2010: 4)</w:t>
      </w:r>
      <w:r w:rsidR="00F7383F">
        <w:fldChar w:fldCharType="end"/>
      </w:r>
      <w:r w:rsidRPr="00E04D31">
        <w:t>.</w:t>
      </w:r>
      <w:r w:rsidRPr="004C6126">
        <w:rPr>
          <w:rStyle w:val="FootnoteReference"/>
        </w:rPr>
        <w:footnoteReference w:id="3"/>
      </w:r>
      <w:r>
        <w:t xml:space="preserve"> Quoting their 2010 report:</w:t>
      </w:r>
    </w:p>
    <w:p w:rsidR="007D46DA" w:rsidRDefault="007D46DA" w:rsidP="007D46DA">
      <w:pPr>
        <w:pStyle w:val="BodyText"/>
        <w:spacing w:before="0" w:after="0"/>
        <w:jc w:val="left"/>
      </w:pPr>
    </w:p>
    <w:p w:rsidR="007D46DA" w:rsidRPr="00E04D31" w:rsidRDefault="007D46DA" w:rsidP="007D46DA">
      <w:pPr>
        <w:pStyle w:val="BodyText"/>
        <w:spacing w:before="0" w:after="0"/>
        <w:ind w:left="432" w:right="864"/>
        <w:jc w:val="left"/>
      </w:pPr>
      <w:r w:rsidRPr="00E04D31">
        <w:t>Extensive and efficient infrastructure is critical for ensuring the effective functioning of the economy, as it is an important factor determining the location of economic activity and the kinds of activities or sectors that can develop in a particular economy. Well-developed infrastructure reduces the effect of distance between regions, integrating the national market and connecting it at low cost to markets in other countries and regions. In addition, the quality and extensiveness of infrastructure networks significantly impact economic growth and affect income inequalities and poverty in a variety of ways. A well-developed transport and communications infrastructure network is a prerequisite for the access of less-developed communities to core economic activities and services.</w:t>
      </w:r>
    </w:p>
    <w:p w:rsidR="007D46DA" w:rsidRPr="00E04D31" w:rsidRDefault="007D46DA" w:rsidP="007D46DA">
      <w:pPr>
        <w:pStyle w:val="BodyText"/>
        <w:spacing w:before="0" w:after="0"/>
        <w:ind w:left="432" w:right="864"/>
        <w:jc w:val="left"/>
      </w:pPr>
    </w:p>
    <w:p w:rsidR="007D46DA" w:rsidRPr="00E04D31" w:rsidRDefault="007D46DA" w:rsidP="007D46DA">
      <w:pPr>
        <w:pStyle w:val="BodyText"/>
        <w:spacing w:before="0" w:after="0"/>
        <w:ind w:left="432" w:right="864"/>
        <w:jc w:val="left"/>
      </w:pPr>
      <w:r w:rsidRPr="00E04D31">
        <w:t xml:space="preserve">Effective modes of transport, including quality roads, railroads, ports, and air transport, enable entrepreneurs to get their goods and services to market in a secure and timely manner and facilitate the movement of workers to the most suitable jobs. Economies also depend on electricity supplies that are free of interruptions and shortages so that businesses and factories can work unimpeded. Finally, a solid and extensive telecommunications network allows for a rapid and free flow of information, which increases overall economic efficiency by helping to ensure that businesses can communicate and decisions are made by economic actors taking into account all available relevant information. </w:t>
      </w:r>
    </w:p>
    <w:p w:rsidR="007D46DA" w:rsidRPr="00E04D31" w:rsidRDefault="007D46DA" w:rsidP="007D46DA">
      <w:pPr>
        <w:pStyle w:val="BodyText"/>
        <w:spacing w:before="0" w:after="0"/>
        <w:ind w:left="432" w:right="864"/>
        <w:jc w:val="left"/>
      </w:pPr>
    </w:p>
    <w:p w:rsidR="007D46DA" w:rsidRDefault="007D46DA" w:rsidP="007D46DA">
      <w:pPr>
        <w:pStyle w:val="BodyText"/>
        <w:spacing w:before="0" w:after="0"/>
        <w:jc w:val="left"/>
      </w:pPr>
      <w:r>
        <w:t xml:space="preserve">For many years, particularly since Aschauer’s </w:t>
      </w:r>
      <w:fldSimple w:instr=" ADDIN ZOTERO_ITEM {&quot;citationID&quot;:&quot;8nf7dslss&quot;,&quot;properties&quot;:{&quot;formattedCitation&quot;:&quot;(1989)&quot;,&quot;plainCitation&quot;:&quot;(1989)&quot;},&quot;citationItems&quot;:[{&quot;id&quot;:341,&quot;uris&quot;:[&quot;http://zotero.org/groups/4482/items/APP6KIV5&quot;],&quot;uri&quot;:[&quot;http://zotero.org/groups/4482/items/APP6KIV5&quot;],&quot;suppress-author&quot;:true}]} ">
        <w:r>
          <w:t>(1989)</w:t>
        </w:r>
      </w:fldSimple>
      <w:r>
        <w:t xml:space="preserve"> seminal study, researchers have attempted to quantify the </w:t>
      </w:r>
      <w:r w:rsidRPr="00E04D31">
        <w:t xml:space="preserve">link </w:t>
      </w:r>
      <w:r>
        <w:t xml:space="preserve">between </w:t>
      </w:r>
      <w:r w:rsidRPr="00E04D31">
        <w:t xml:space="preserve">infrastructure </w:t>
      </w:r>
      <w:r>
        <w:t>and</w:t>
      </w:r>
      <w:r w:rsidRPr="00E04D31">
        <w:t xml:space="preserve"> economic growth.</w:t>
      </w:r>
      <w:r w:rsidRPr="004C6126">
        <w:rPr>
          <w:rStyle w:val="FootnoteReference"/>
        </w:rPr>
        <w:footnoteReference w:id="4"/>
      </w:r>
      <w:r>
        <w:t xml:space="preserve"> </w:t>
      </w:r>
      <w:r w:rsidRPr="00E04D31">
        <w:t xml:space="preserve">The actual </w:t>
      </w:r>
      <w:r>
        <w:t xml:space="preserve">magnitude of this link </w:t>
      </w:r>
      <w:r w:rsidRPr="00E04D31">
        <w:t>is a heavily debated issue in the academic and policy literature</w:t>
      </w:r>
      <w:r>
        <w:t xml:space="preserve">, but most now agree that the net effect is positive and significant </w:t>
      </w:r>
      <w:fldSimple w:instr=" ADDIN ZOTERO_ITEM {&quot;citationID&quot;:&quot;s8tkel9nf&quot;,&quot;properties&quot;:{&quot;formattedCitation&quot;:&quot;(Straub 2011)&quot;,&quot;plainCitation&quot;:&quot;(Straub 2011)&quot;},&quot;citationItems&quot;:[{&quot;id&quot;:1171,&quot;uris&quot;:[&quot;http://zotero.org/groups/4482/items/NTMIMTHX&quot;],&quot;uri&quot;:[&quot;http://zotero.org/groups/4482/items/NTMIMTHX&quot;]}]} ">
        <w:r>
          <w:t>(Straub 2011)</w:t>
        </w:r>
      </w:fldSimple>
      <w:r>
        <w:t xml:space="preserve">. At an aggregate level, Calderón and Servén </w:t>
      </w:r>
      <w:fldSimple w:instr=" ADDIN ZOTERO_ITEM {&quot;citationID&quot;:&quot;2jhiior433&quot;,&quot;properties&quot;:{&quot;formattedCitation&quot;:&quot;(2003)&quot;,&quot;plainCitation&quot;:&quot;(2003)&quot;},&quot;citationItems&quot;:[{&quot;id&quot;:1193,&quot;uris&quot;:[&quot;http://zotero.org/groups/4482/items/H7DTMA67&quot;],&quot;uri&quot;:[&quot;http://zotero.org/groups/4482/items/H7DTMA67&quot;],&quot;suppress-author&quot;:true}]} ">
        <w:r>
          <w:t>(2003)</w:t>
        </w:r>
      </w:fldSimple>
      <w:r>
        <w:t xml:space="preserve"> estimated that 30 percent of the difference in growth in GDP per capita between Latin America and East Asia was attributable to the slower growth in infrastructure in the former region compared to the latter. In later work, Calderón </w:t>
      </w:r>
      <w:fldSimple w:instr=" ADDIN ZOTERO_ITEM {&quot;citationID&quot;:&quot;1f48ldg5ht&quot;,&quot;properties&quot;:{&quot;formattedCitation&quot;:&quot;(2008)&quot;,&quot;plainCitation&quot;:&quot;(2008)&quot;},&quot;citationItems&quot;:[{&quot;id&quot;:1179,&quot;uris&quot;:[&quot;http://zotero.org/groups/4482/items/ZCSGT7PU&quot;],&quot;uri&quot;:[&quot;http://zotero.org/groups/4482/items/ZCSGT7PU&quot;],&quot;suppress-author&quot;:true}]} ">
        <w:r>
          <w:t>(2008)</w:t>
        </w:r>
      </w:fldSimple>
      <w:r>
        <w:t xml:space="preserve"> (cited in Foster and Briceño-Garmendia </w:t>
      </w:r>
      <w:r w:rsidR="00F7383F">
        <w:fldChar w:fldCharType="begin"/>
      </w:r>
      <w:r>
        <w:instrText xml:space="preserve"> ADDIN ZOTERO_ITEM {"citationID":"qtgfc5rll","properties":{"formattedCitation":"(2010, 2)","plainCitation":"(2010, 2)"},"citationItems":[{"id":301,"uris":["http://zotero.org/groups/4482/items/8R277WSI"],"uri":["http://zotero.org/groups/4482/items/8R277WSI"],"locator":"2","label":"page","suppress-author":true}]} </w:instrText>
      </w:r>
      <w:r w:rsidR="00F7383F">
        <w:fldChar w:fldCharType="separate"/>
      </w:r>
      <w:r>
        <w:t>(2010, 2)</w:t>
      </w:r>
      <w:r w:rsidR="00F7383F">
        <w:fldChar w:fldCharType="end"/>
      </w:r>
      <w:r>
        <w:t>), attributed over half of sub-Saharan Africa’s improved growth performance between the1990s and the early 2000s to infrastructure improvements, mostly in the area of telecommunications. At the same time, Calderon identified deficiencies in other forms of infrastructure, notably power, as a hindrance to growth over the same period.</w:t>
      </w:r>
    </w:p>
    <w:p w:rsidR="007D46DA" w:rsidRDefault="007D46DA" w:rsidP="007D46DA">
      <w:pPr>
        <w:pStyle w:val="BodyText"/>
        <w:spacing w:before="0" w:after="0"/>
        <w:jc w:val="left"/>
      </w:pPr>
    </w:p>
    <w:p w:rsidR="007D46DA" w:rsidRDefault="007D46DA" w:rsidP="007D46DA">
      <w:pPr>
        <w:pStyle w:val="BodyText"/>
        <w:spacing w:before="0" w:after="0"/>
        <w:jc w:val="left"/>
      </w:pPr>
      <w:r w:rsidRPr="00E04D31">
        <w:t xml:space="preserve">The importance of infrastructure for human development and well-being goes well beyond productivity and </w:t>
      </w:r>
      <w:r>
        <w:t xml:space="preserve">aggregate </w:t>
      </w:r>
      <w:r w:rsidRPr="00E04D31">
        <w:t>economic growth</w:t>
      </w:r>
      <w:r>
        <w:t>, however</w:t>
      </w:r>
      <w:r w:rsidRPr="00E04D31">
        <w:t xml:space="preserve">. </w:t>
      </w:r>
      <w:r>
        <w:t xml:space="preserve">Brenneman and Kerf </w:t>
      </w:r>
      <w:fldSimple w:instr=" ADDIN ZOTERO_ITEM {&quot;citationID&quot;:&quot;23rd5r2mgd&quot;,&quot;properties&quot;:{&quot;formattedCitation&quot;:&quot;(2002)&quot;,&quot;plainCitation&quot;:&quot;(2002)&quot;},&quot;citationItems&quot;:[{&quot;id&quot;:681,&quot;uris&quot;:[&quot;http://zotero.org/groups/4482/items/Z452ART4&quot;],&quot;uri&quot;:[&quot;http://zotero.org/groups/4482/items/Z452ART4&quot;],&quot;suppress-author&quot;:true}]} ">
        <w:r>
          <w:t>(2002)</w:t>
        </w:r>
      </w:fldSimple>
      <w:r>
        <w:t xml:space="preserve"> provide what remains the perhaps the broadest overview, in their review of numerous studies showing how infrastructure improves human well-being through underpinning growth, increasing economic opportunities, providing direct savings, improving education, supporting effective governance, improving health, and providing direct benefits. A range of studies, reviewed in more detail in Chapter 3, have added to our knowledge of the role of infrastructure. </w:t>
      </w:r>
      <w:r w:rsidRPr="003E4031">
        <w:t>Calderón and Chong</w:t>
      </w:r>
      <w:r>
        <w:t xml:space="preserve"> </w:t>
      </w:r>
      <w:r w:rsidR="00F7383F">
        <w:fldChar w:fldCharType="begin"/>
      </w:r>
      <w:r>
        <w:instrText xml:space="preserve"> ADDIN ZOTERO_ITEM {"citationID":"CaOVdr5h","properties":{"formattedCitation":"{\\rtf (Cesar Calder\\uc0\\u243{}n and Chong 2004)}","plainCitation":"(Cesar Calderón and Chong 2004)"},"citationItems":[{"id":356,"uris":["http://zotero.org/groups/4482/items/CCR8MUTF"],"uri":["http://zotero.org/groups/4482/items/CCR8MUTF"]}]} </w:instrText>
      </w:r>
      <w:r w:rsidR="00F7383F">
        <w:fldChar w:fldCharType="separate"/>
      </w:r>
      <w:r>
        <w:t>(</w:t>
      </w:r>
      <w:r w:rsidRPr="003E4031">
        <w:t>2004)</w:t>
      </w:r>
      <w:r w:rsidR="00F7383F">
        <w:fldChar w:fldCharType="end"/>
      </w:r>
      <w:r>
        <w:t xml:space="preserve"> provided strong evident that improved infrastructure reduces income inequality. The World Bank </w:t>
      </w:r>
      <w:fldSimple w:instr=" ADDIN ZOTERO_ITEM {&quot;citationID&quot;:&quot;2iko1ql5ks&quot;,&quot;properties&quot;:{&quot;formattedCitation&quot;:&quot;(2008)&quot;,&quot;plainCitation&quot;:&quot;(2008)&quot;},&quot;citationItems&quot;:[{&quot;id&quot;:1191,&quot;uris&quot;:[&quot;http://zotero.org/groups/4482/items/9KWMM27F&quot;],&quot;uri&quot;:[&quot;http://zotero.org/groups/4482/items/9KWMM27F&quot;],&quot;suppress-author&quot;:true}]} ">
        <w:r>
          <w:t>(2008)</w:t>
        </w:r>
      </w:fldSimple>
      <w:r>
        <w:t xml:space="preserve"> explored the impacts of rural electrification, showing significant positive impacts on health and education outcomes. The </w:t>
      </w:r>
      <w:r w:rsidRPr="00E04D31">
        <w:t>World Health Organization</w:t>
      </w:r>
      <w:r>
        <w:t xml:space="preserve"> (WHO)</w:t>
      </w:r>
      <w:r w:rsidRPr="00E04D31">
        <w:t xml:space="preserve"> </w:t>
      </w:r>
      <w:r>
        <w:t xml:space="preserve">has explored </w:t>
      </w:r>
      <w:r w:rsidRPr="00E04D31">
        <w:t>how access to infrastructure, particularly improved sources of drinking water and sanitation</w:t>
      </w:r>
      <w:r>
        <w:t xml:space="preserve"> and modern energy services</w:t>
      </w:r>
      <w:r w:rsidRPr="00E04D31">
        <w:t xml:space="preserve">, </w:t>
      </w:r>
      <w:r>
        <w:t>improves</w:t>
      </w:r>
      <w:r w:rsidRPr="00E04D31">
        <w:t xml:space="preserve"> human health </w:t>
      </w:r>
      <w:r w:rsidR="00F7383F" w:rsidRPr="00E04D31">
        <w:fldChar w:fldCharType="begin"/>
      </w:r>
      <w:r>
        <w:instrText xml:space="preserve"> ADDIN ZOTERO_ITEM {"citationID":"yTixadzn","properties":{"formattedCitation":"{\\rtf (Fay et al. 2005; Pr\\uc0\\u252{}ss-\\uc0\\u220{}st\\uc0\\u252{}n et al. 2004)}","plainCitation":"(Fay et al. 2005; Prüss-Üstün et al. 2004)"},"citationItems":[{"id":648,"uris":["http://zotero.org/groups/4482/items/WB5KM3K2"],"uri":["http://zotero.org/groups/4482/items/WB5KM3K2"]},{"id":497,"uris":["http://zotero.org/groups/4482/items/MN2H4MG3"],"uri":["http://zotero.org/groups/4482/items/MN2H4MG3"]}]} </w:instrText>
      </w:r>
      <w:r w:rsidR="00F7383F" w:rsidRPr="00E04D31">
        <w:fldChar w:fldCharType="separate"/>
      </w:r>
      <w:r w:rsidRPr="003E4031">
        <w:t>(Fay et al. 2005; Prüss-Üstün et al. 2004)</w:t>
      </w:r>
      <w:r w:rsidR="00F7383F" w:rsidRPr="00E04D31">
        <w:fldChar w:fldCharType="end"/>
      </w:r>
      <w:r w:rsidRPr="00E04D31">
        <w:t>.</w:t>
      </w:r>
      <w:r w:rsidRPr="00596AAA">
        <w:t xml:space="preserve"> </w:t>
      </w:r>
      <w:r>
        <w:t>They attributed</w:t>
      </w:r>
      <w:r w:rsidRPr="00E04D31">
        <w:t xml:space="preserve"> nearly two million deaths related to diarrheal diseases</w:t>
      </w:r>
      <w:r>
        <w:t xml:space="preserve"> (88 percent of all such deaths globally) </w:t>
      </w:r>
      <w:r w:rsidRPr="00E04D31">
        <w:t>to unsafe water and sanitation</w:t>
      </w:r>
      <w:r>
        <w:t xml:space="preserve"> </w:t>
      </w:r>
      <w:r w:rsidRPr="00E04D31">
        <w:t>in 2004.</w:t>
      </w:r>
      <w:r w:rsidRPr="004C6126">
        <w:rPr>
          <w:rStyle w:val="FootnoteReference"/>
        </w:rPr>
        <w:footnoteReference w:id="5"/>
      </w:r>
      <w:r w:rsidRPr="00E04D31">
        <w:t xml:space="preserve"> </w:t>
      </w:r>
      <w:r>
        <w:t>In the same year, 35 percent of all deaths from chronic obstructive pulmonary disease and 21 percent of all deaths from lower respiratory infections were due to the inhalation of indoor smoke from solid fuels.</w:t>
      </w:r>
      <w:r w:rsidRPr="004C6126">
        <w:rPr>
          <w:rStyle w:val="FootnoteReference"/>
        </w:rPr>
        <w:footnoteReference w:id="6"/>
      </w:r>
    </w:p>
    <w:p w:rsidR="007D46DA" w:rsidRDefault="007D46DA" w:rsidP="007D46DA">
      <w:pPr>
        <w:pStyle w:val="BodyText"/>
        <w:spacing w:before="0" w:after="0"/>
        <w:jc w:val="left"/>
      </w:pPr>
    </w:p>
    <w:p w:rsidR="007D46DA" w:rsidRPr="00E04D31" w:rsidRDefault="00877E30" w:rsidP="00877E30">
      <w:pPr>
        <w:pStyle w:val="Heading2"/>
      </w:pPr>
      <w:bookmarkStart w:id="11" w:name="_Toc323232034"/>
      <w:r>
        <w:t xml:space="preserve"> </w:t>
      </w:r>
      <w:bookmarkStart w:id="12" w:name="_Toc200095254"/>
      <w:r w:rsidR="007D46DA" w:rsidRPr="00E04D31">
        <w:t xml:space="preserve">The </w:t>
      </w:r>
      <w:r w:rsidR="007D46DA">
        <w:t>Past and Present</w:t>
      </w:r>
      <w:r w:rsidR="007D46DA" w:rsidRPr="00E04D31">
        <w:t xml:space="preserve"> of Global Infrastructure</w:t>
      </w:r>
      <w:bookmarkEnd w:id="11"/>
      <w:bookmarkEnd w:id="12"/>
    </w:p>
    <w:p w:rsidR="007D46DA" w:rsidRDefault="007D46DA" w:rsidP="00877E30">
      <w:pPr>
        <w:pStyle w:val="Heading3"/>
      </w:pPr>
      <w:bookmarkStart w:id="13" w:name="_Toc323232035"/>
      <w:bookmarkStart w:id="14" w:name="_Toc200095255"/>
      <w:r>
        <w:t>Infrastructure through the ages</w:t>
      </w:r>
      <w:bookmarkEnd w:id="13"/>
      <w:bookmarkEnd w:id="14"/>
    </w:p>
    <w:p w:rsidR="007D46DA" w:rsidRDefault="007D46DA" w:rsidP="007D46DA">
      <w:r>
        <w:t>Infrastructure has been with us in one form or another ever since modern humans evolved. The history of infrastructure is, in many ways, the history of human society (see Box 1.1).</w:t>
      </w:r>
    </w:p>
    <w:p w:rsidR="007D46DA" w:rsidRDefault="007D46DA" w:rsidP="007D46DA"/>
    <w:p w:rsidR="007D46DA" w:rsidRDefault="007D46DA" w:rsidP="007D46DA">
      <w:r>
        <w:t xml:space="preserve">When human societies consisted of little more than family-group hunter-gatherers, infrastructure was largely cultural and intangible in nature, like spoken language, cave paintings, and stone carvings. These cultural technologies allowed for the transmission of knowledge from one person or group to another, and thus represented the very earliest knowledge systems and information communication technologies. For thousands of years, they remained the primary form of infrastructure, but as groups grew beyond single family-groups to tribes, the first truly physical infrastructure emerged, in the form of networks of well-trod game trails and footpaths that connected seasonal encampments to each other and to favored hunting grounds, water sources and even shrines </w:t>
      </w:r>
      <w:fldSimple w:instr=" ADDIN ZOTERO_ITEM {&quot;citationID&quot;:&quot;8V3ZWc1X&quot;,&quot;properties&quot;:{&quot;formattedCitation&quot;:&quot;(White 2007)&quot;,&quot;plainCitation&quot;:&quot;(White 2007)&quot;},&quot;citationItems&quot;:[{&quot;id&quot;:1644,&quot;uris&quot;:[&quot;http://zotero.org/groups/4482/items/VNS9H3U4&quot;],&quot;uri&quot;:[&quot;http://zotero.org/groups/4482/items/VNS9H3U4&quot;]}]} ">
        <w:r>
          <w:rPr>
            <w:noProof/>
          </w:rPr>
          <w:t>(White 2007)</w:t>
        </w:r>
      </w:fldSimple>
      <w:r>
        <w:t>. As more millennia passed, and tribal societies grew larger, amassed more knowledge, and developed better ways to utilize their environments, the infrastructure we are more used to thinking about began to enter the picture.</w:t>
      </w:r>
    </w:p>
    <w:p w:rsidR="007D46DA" w:rsidRDefault="007D46DA" w:rsidP="007D46DA"/>
    <w:p w:rsidR="007D46DA" w:rsidRDefault="007D46DA" w:rsidP="007D46DA">
      <w:r w:rsidRPr="00E312E9">
        <w:t xml:space="preserve">The </w:t>
      </w:r>
      <w:r>
        <w:t>earliest</w:t>
      </w:r>
      <w:r w:rsidRPr="00E312E9">
        <w:t xml:space="preserve"> true infrastructure projects began to appear around 8,000 to 9,000 years ago as the transition to agricultural-based lifestyles allowed societies to grow </w:t>
      </w:r>
      <w:r>
        <w:t>in size</w:t>
      </w:r>
      <w:r w:rsidRPr="00E312E9">
        <w:t xml:space="preserve"> and complexity. The Jericho settlement, in what is the West Bank today, is thought to have been the site of one of the earliest instances of large-scale construction, in the form of defensive walls and barriers for flood protection </w:t>
      </w:r>
      <w:fldSimple w:instr=" ADDIN ZOTERO_ITEM {&quot;citationID&quot;:&quot;orAkQcye&quot;,&quot;properties&quot;:{&quot;formattedCitation&quot;:&quot;(Mithen 2006)&quot;,&quot;plainCitation&quot;:&quot;(Mithen 2006)&quot;},&quot;citationItems&quot;:[{&quot;id&quot;:924,&quot;uris&quot;:[&quot;http://zotero.org/groups/4482/items/KR2Q82UE&quot;],&quot;uri&quot;:[&quot;http://zotero.org/groups/4482/items/KR2Q82UE&quot;]}]} ">
        <w:r>
          <w:rPr>
            <w:noProof/>
          </w:rPr>
          <w:t>(Mithen 2006)</w:t>
        </w:r>
      </w:fldSimple>
      <w:r>
        <w:t>.</w:t>
      </w:r>
      <w:r w:rsidRPr="00E312E9">
        <w:t xml:space="preserve"> Around the same time, the people of Çatalhöyük</w:t>
      </w:r>
      <w:r>
        <w:t xml:space="preserve">, a settlement in what is now the Anatolian region of Turkey, developed the first irrigation system, consisting of gravity-fed channels designed to bring river water to nearby fields </w:t>
      </w:r>
      <w:fldSimple w:instr=" ADDIN ZOTERO_ITEM {&quot;citationID&quot;:&quot;xueBxuMk&quot;,&quot;properties&quot;:{&quot;formattedCitation&quot;:&quot;(Fairbairn 2005)&quot;,&quot;plainCitation&quot;:&quot;(Fairbairn 2005)&quot;},&quot;citationItems&quot;:[{&quot;id&quot;:912,&quot;uris&quot;:[&quot;http://zotero.org/groups/4482/items/A5E3D7HC&quot;],&quot;uri&quot;:[&quot;http://zotero.org/groups/4482/items/A5E3D7HC&quot;]}]} ">
        <w:r>
          <w:rPr>
            <w:noProof/>
          </w:rPr>
          <w:t>(Fairbairn 2005)</w:t>
        </w:r>
      </w:fldSimple>
      <w:r>
        <w:t>. These sorts of projects required a more centralized form of planning and resource mobilization than making paths, planting crops or building houses, and it was the need of such projects, specifically water projects, that would give rise to the first civilizations.</w:t>
      </w:r>
    </w:p>
    <w:p w:rsidR="007D46DA" w:rsidRDefault="007D46DA" w:rsidP="007D46DA"/>
    <w:p w:rsidR="007D46DA" w:rsidRDefault="007D46DA" w:rsidP="007D46DA">
      <w:r>
        <w:t xml:space="preserve">The earliest civilizations developed at six independent sites or ‘cradles’ around the world: the Tigris and Euphrates River Deltas, the Nile River Delta, the Indus River Valley, the Yellow River Valley, Chico Norte, and the Coatzacoalcos River Basin. At each of these sites, people first came together in centrally organized ways to manage water resources </w:t>
      </w:r>
      <w:fldSimple w:instr=" ADDIN ZOTERO_ITEM {&quot;citationID&quot;:&quot;7FxKX5u3&quot;,&quot;properties&quot;:{&quot;formattedCitation&quot;:&quot;(Solomon 2010)&quot;,&quot;plainCitation&quot;:&quot;(Solomon 2010)&quot;},&quot;citationItems&quot;:[{&quot;id&quot;:557,&quot;uris&quot;:[&quot;http://zotero.org/groups/4482/items/S324MK3P&quot;],&quot;uri&quot;:[&quot;http://zotero.org/groups/4482/items/S324MK3P&quot;]}]} ">
        <w:r>
          <w:rPr>
            <w:noProof/>
          </w:rPr>
          <w:t>(Solomon 2010)</w:t>
        </w:r>
      </w:fldSimple>
      <w:r>
        <w:t xml:space="preserve">. They built irrigation networks to water their crops and constructed earthen dikes and levees to protect themselves from seasonal floods. </w:t>
      </w:r>
    </w:p>
    <w:p w:rsidR="007D46DA" w:rsidRDefault="007D46DA" w:rsidP="007D46DA"/>
    <w:p w:rsidR="007D46DA" w:rsidRDefault="007D46DA" w:rsidP="007D46DA">
      <w:r>
        <w:t xml:space="preserve">Transportation and energy infrastructures also really began to develop during this period. The domestication of various animals began in the earliest days of the agricultural revolution, but around 5,000 to 6,000 years ago, new developments like the harness, plough and the wheel coupled with the domestication of draft animals like oxen and water buffalo gave people access to a new power source beyond human muscles for the very first time, increasing productivity and allowing faster and greater mobility of people and goods over land </w:t>
      </w:r>
      <w:r w:rsidR="00F7383F" w:rsidRPr="00037ABE">
        <w:fldChar w:fldCharType="begin"/>
      </w:r>
      <w:r>
        <w:instrText xml:space="preserve"> ADDIN ZOTERO_ITEM {"citationID":"THta3MQd","properties":{"formattedCitation":"(Christian 2004, 307)","plainCitation":"(Christian 2004, 307)"},"citationItems":[{"id":330,"uris":["http://zotero.org/groups/4482/items/ABQ7RECE"],"uri":["http://zotero.org/groups/4482/items/ABQ7RECE"],"locator":"307","label":"page"}]} </w:instrText>
      </w:r>
      <w:r w:rsidR="00F7383F" w:rsidRPr="00037ABE">
        <w:fldChar w:fldCharType="separate"/>
      </w:r>
      <w:r>
        <w:rPr>
          <w:szCs w:val="21"/>
        </w:rPr>
        <w:t>(Christian 2004, 307)</w:t>
      </w:r>
      <w:r w:rsidR="00F7383F" w:rsidRPr="00037ABE">
        <w:fldChar w:fldCharType="end"/>
      </w:r>
      <w:r w:rsidRPr="00037ABE">
        <w:t>.</w:t>
      </w:r>
      <w:r>
        <w:t xml:space="preserve"> At the same time, the rivers around which the first civilizations developed became the world’s first highways, as advances in boatbuilding enabled the movement of high volumes of people and goods, and especially construction materials, over large distances </w:t>
      </w:r>
      <w:fldSimple w:instr=" ADDIN ZOTERO_ITEM {&quot;citationID&quot;:&quot;PPS7MIhd&quot;,&quot;properties&quot;:{&quot;formattedCitation&quot;:&quot;(Solomon 2010)&quot;,&quot;plainCitation&quot;:&quot;(Solomon 2010)&quot;},&quot;citationItems&quot;:[{&quot;id&quot;:557,&quot;uris&quot;:[&quot;http://zotero.org/groups/4482/items/S324MK3P&quot;],&quot;uri&quot;:[&quot;http://zotero.org/groups/4482/items/S324MK3P&quot;]}]} ">
        <w:r>
          <w:rPr>
            <w:noProof/>
          </w:rPr>
          <w:t>(Solomon 2010)</w:t>
        </w:r>
      </w:fldSimple>
      <w:r>
        <w:t xml:space="preserve">. </w:t>
      </w:r>
    </w:p>
    <w:p w:rsidR="007D46DA" w:rsidRDefault="007D46DA" w:rsidP="007D46DA"/>
    <w:p w:rsidR="007D46DA" w:rsidRDefault="007D46DA" w:rsidP="007D46DA">
      <w:r>
        <w:t xml:space="preserve">The ability to produce more and transport more helped foster the formation of the first city-states and kingdoms and gave rise to permanent trade routes between civilizations that could stretch for hundreds and even thousands of miles </w:t>
      </w:r>
      <w:r w:rsidR="00F7383F" w:rsidRPr="00CA4EF3">
        <w:fldChar w:fldCharType="begin"/>
      </w:r>
      <w:r>
        <w:instrText xml:space="preserve"> ADDIN ZOTERO_ITEM {"citationID":"58tSbDHK","properties":{"formattedCitation":"(Gosch 2008, 13)","plainCitation":"(Gosch 2008, 13)"},"citationItems":[{"id":536,"uris":["http://zotero.org/groups/4482/items/QQKHE8HJ"],"uri":["http://zotero.org/groups/4482/items/QQKHE8HJ"],"locator":"13","label":"page"}]} </w:instrText>
      </w:r>
      <w:r w:rsidR="00F7383F" w:rsidRPr="00CA4EF3">
        <w:fldChar w:fldCharType="separate"/>
      </w:r>
      <w:r>
        <w:rPr>
          <w:szCs w:val="21"/>
        </w:rPr>
        <w:t>(Gosch 2008, 13)</w:t>
      </w:r>
      <w:r w:rsidR="00F7383F" w:rsidRPr="00CA4EF3">
        <w:fldChar w:fldCharType="end"/>
      </w:r>
      <w:r>
        <w:t>. Increasing levels of trade also spurred advances in information and communication technologies. The earliest known written language, Cuneiform, was developed in Mesopotamia around 5,500 years ago, first as a means of recording transactions and inventories and later grew into a true language. With the advent of written languages came the next advance in knowledge systems, the first library, built in Nippur 4,500 years ago.</w:t>
      </w:r>
    </w:p>
    <w:p w:rsidR="007D46DA" w:rsidRDefault="007D46DA" w:rsidP="007D46DA"/>
    <w:p w:rsidR="007D46DA" w:rsidRDefault="007D46DA" w:rsidP="007D46DA">
      <w:r>
        <w:t xml:space="preserve">The construction of larger-scale and more advanced infrastructure helped turn early city-states into the first empires. By 4,500 years ago, advanced systems of aqueducts, dams, reservoirs, wells, and canals were supplying water to fast growing cities. The first paved roads (using flagstones) also began to appear during this time. Advances in communications and transportation allowed would-be empires to raise large armies and fleets and conduct coordinated warfare </w:t>
      </w:r>
      <w:r w:rsidR="00F7383F" w:rsidRPr="00DE1C26">
        <w:fldChar w:fldCharType="begin"/>
      </w:r>
      <w:r w:rsidRPr="00DE1C26">
        <w:instrText xml:space="preserve"> ADDIN ZOTERO_ITEM {"citationID":"bVn0yQTE","properties":{"formattedCitation":"(Casson 1994, 163)","plainCitation":"(Casson 1994, 163)"},"citationItems":[{"id":671,"uris":["http://zotero.org/groups/4482/items/XJH6BQVT"],"uri":["http://zotero.org/groups/4482/items/XJH6BQVT"],"locator":"163","label":"page"}]} </w:instrText>
      </w:r>
      <w:r w:rsidR="00F7383F" w:rsidRPr="00DE1C26">
        <w:fldChar w:fldCharType="separate"/>
      </w:r>
      <w:r w:rsidRPr="00DE1C26">
        <w:rPr>
          <w:szCs w:val="21"/>
        </w:rPr>
        <w:t>(Casson 1994, 163)</w:t>
      </w:r>
      <w:r w:rsidR="00F7383F" w:rsidRPr="00DE1C26">
        <w:fldChar w:fldCharType="end"/>
      </w:r>
      <w:r>
        <w:t xml:space="preserve">. By 3,000 years ago, such advances allowed the Phoenicians to establish the first true colonial empire. The rise of empire, in turn, further required the development of improved information and communication technologies as governments found themselves managing greater and greater territories. </w:t>
      </w:r>
    </w:p>
    <w:p w:rsidR="007D46DA" w:rsidRDefault="007D46DA" w:rsidP="007D46DA"/>
    <w:p w:rsidR="007D46DA" w:rsidRDefault="007D46DA" w:rsidP="007D46DA">
      <w:r>
        <w:t>By the time of the Roman Empire, many of the infrastructures we consider modern were already in use. Vast networks of paved roads carried armies and goods across the Empire. Many buildings had running water, flush sanitation and centralized heating. Massive public waterworks using poured concrete supported millions of people. Water-powered mills provided mechanical energy. Sail and oar-powered ships transported goods and people from China to Britain. Oil lamps replaced wood burning for lighting and the Chinese began to use coal as a source of fuel. Postal services, schools, and libraries brought learning and communications to the masses. With the fall of the Roman Empire, however, many of these infrastructures would not see wide use again in Europe until the Industrial Revolution more than a thousand years later.</w:t>
      </w:r>
    </w:p>
    <w:p w:rsidR="007D46DA" w:rsidRDefault="007D46DA" w:rsidP="007D46DA"/>
    <w:p w:rsidR="007D46DA" w:rsidRDefault="007D46DA" w:rsidP="007D46DA">
      <w:r>
        <w:t>Before the Industrial Revolution, post-Dark Ages Europe first underwent a revolution in information and communications technology and knowledge systems, with the establishment of universities, the widespread adoption of the printing press, the publication of the first daily newspapers and the rise of compulsory education. These developments, in turn, helped bring about the Enlightenment and laid the scientific groundwork for the Industrial Revolution.</w:t>
      </w:r>
    </w:p>
    <w:p w:rsidR="007D46DA" w:rsidRDefault="007D46DA" w:rsidP="007D46DA"/>
    <w:p w:rsidR="007D46DA" w:rsidRDefault="007D46DA" w:rsidP="007D46DA">
      <w:r>
        <w:t xml:space="preserve">The Industrial Revolution brought back many ‘lost infrastructures’ but it also saw the advent of new forms of energy and transportation, most importantly, the development of steam power. The steam engine enormously enhanced production and revolutionized transportation, greatly shrinking time and space compared to wind and animal powered transport. The steam engine led to the great railroads that would come to crisscross continents and the steam powered ships that were much faster and more reliable than their wind-powered </w:t>
      </w:r>
      <w:r w:rsidRPr="00DE1C26">
        <w:t xml:space="preserve">predecessors </w:t>
      </w:r>
      <w:r w:rsidR="00F7383F" w:rsidRPr="00DE1C26">
        <w:fldChar w:fldCharType="begin"/>
      </w:r>
      <w:r w:rsidRPr="00DE1C26">
        <w:instrText xml:space="preserve"> ADDIN ZOTERO_ITEM {"citationID":"82pzIdvp","properties":{"formattedCitation":"{\\rtf (Stearns 2007, 38\\uc0\\u8211{}39)}","plainCitation":"(Stearns 2007, 38–39)"},"citationItems":[{"id":489,"uris":["http://zotero.org/groups/4482/items/MBZDGUNK"],"uri":["http://zotero.org/groups/4482/items/MBZDGUNK"],"locator":"38-39","label":"page"}]} </w:instrText>
      </w:r>
      <w:r w:rsidR="00F7383F" w:rsidRPr="00DE1C26">
        <w:fldChar w:fldCharType="separate"/>
      </w:r>
      <w:r w:rsidRPr="00DE1C26">
        <w:t>(Stearns 2007, 38–39)</w:t>
      </w:r>
      <w:r w:rsidR="00F7383F" w:rsidRPr="00DE1C26">
        <w:fldChar w:fldCharType="end"/>
      </w:r>
      <w:r w:rsidRPr="00DE1C26">
        <w:t>.</w:t>
      </w:r>
      <w:r>
        <w:t xml:space="preserve"> The Age of Steam and its associated infrastructure made the massive wave of colonization in the 1800s and early 1900s possible and set the foundation for today’s globalized world. Steam power also helped bring about modern warfare, as rapid mass deployments of troops and armaments became possible </w:t>
      </w:r>
      <w:fldSimple w:instr=" ADDIN ZOTERO_ITEM {&quot;citationID&quot;:&quot;TlD8EGB2&quot;,&quot;properties&quot;:{&quot;formattedCitation&quot;:&quot;(Herrera 2006)&quot;,&quot;plainCitation&quot;:&quot;(Herrera 2006)&quot;},&quot;citationItems&quot;:[{&quot;id&quot;:404,&quot;uris&quot;:[&quot;http://zotero.org/groups/4482/items/FFT5DEGF&quot;],&quot;uri&quot;:[&quot;http://zotero.org/groups/4482/items/FFT5DEGF&quot;]}]} ">
        <w:r w:rsidRPr="00DE1C26">
          <w:rPr>
            <w:szCs w:val="21"/>
          </w:rPr>
          <w:t>(Herrera 2006)</w:t>
        </w:r>
      </w:fldSimple>
      <w:r w:rsidRPr="00DE1C26">
        <w:t>.</w:t>
      </w:r>
    </w:p>
    <w:p w:rsidR="007D46DA" w:rsidRDefault="007D46DA" w:rsidP="007D46DA"/>
    <w:p w:rsidR="007D46DA" w:rsidRDefault="007D46DA" w:rsidP="007D46DA">
      <w:r>
        <w:t>By the end of the 19</w:t>
      </w:r>
      <w:r w:rsidRPr="005137E3">
        <w:rPr>
          <w:vertAlign w:val="superscript"/>
        </w:rPr>
        <w:t>th</w:t>
      </w:r>
      <w:r>
        <w:t xml:space="preserve"> century, the Age of Steam had begun to give way to the age of electricity and the infrastructure most familiar to our modern perspective. The first electrical power stations (coal plants and hydroelectric dams) provided electricity to homes, businesses, and factories, supplanting oil and natural gas lamps and wood burning stoves, and powering new industries. The early automobile and airplane gave rise to entirely new modes of travel and a new culture of personal mobility, and spurred the construction of today’s superhighways and airports. New shipping technologies like containerization and tanker ships allowed for greatly increased and globalized trade. New information and communication technologies like the wireless telegraph, radio, and television transformed how we communicate, at once enabling things as disparate seeming as the more efficient management of far-flung colonial empires and the rise of consumer culture. Advances in water treatment led to major reductions in disease and health problems from malnutrition (due to diarrheal diseases) to cavities, thanks to fluoridation.</w:t>
      </w:r>
    </w:p>
    <w:p w:rsidR="007D46DA" w:rsidRDefault="007D46DA" w:rsidP="007D46DA"/>
    <w:p w:rsidR="007D46DA" w:rsidRDefault="007D46DA" w:rsidP="007D46DA">
      <w:r>
        <w:t>We live today in the midst of ongoing revolution in ICT infrastructure that began in the mid-to-late 20</w:t>
      </w:r>
      <w:r w:rsidRPr="00D464E1">
        <w:rPr>
          <w:vertAlign w:val="superscript"/>
        </w:rPr>
        <w:t>th</w:t>
      </w:r>
      <w:r>
        <w:t xml:space="preserve"> century with the development of the personal computer and first information networks like the ARPANET. The Information or Computer Age and the infrastructure that came with it, from the Internet to globalized ‘just in time’ supply chains has resulted in the creation of an ever more integrated and globalized world, and has begun the transition to increasingly complex networks that encompass multiple forms of infrastructure, like smart electrical grids and smart highways. Where this will take us is one of the great uncertainties we must consider as we look to the future of infrastructure.</w:t>
      </w:r>
    </w:p>
    <w:p w:rsidR="007D46DA" w:rsidRDefault="007D46DA" w:rsidP="007D46DA"/>
    <w:p w:rsidR="007D46DA" w:rsidRPr="002A4784" w:rsidRDefault="007D46DA" w:rsidP="00877E30">
      <w:pPr>
        <w:pStyle w:val="Box"/>
      </w:pPr>
      <w:r w:rsidRPr="00877E30">
        <w:rPr>
          <w:shd w:val="pct15" w:color="auto" w:fill="auto"/>
        </w:rPr>
        <w:t>Box 1.1 Timeline of Significant Infrastructure Projects</w:t>
      </w:r>
      <w:r>
        <w:rPr>
          <w:rStyle w:val="FootnoteReference"/>
          <w:b w:val="0"/>
        </w:rPr>
        <w:footnoteReference w:id="7"/>
      </w:r>
    </w:p>
    <w:p w:rsidR="007D46DA" w:rsidRDefault="007D46DA" w:rsidP="00877E30">
      <w:pPr>
        <w:shd w:val="pct15" w:color="auto" w:fill="auto"/>
      </w:pPr>
      <w:r>
        <w:t xml:space="preserve">7350 BCE: Defensive fortifications at Jericho built </w:t>
      </w:r>
      <w:fldSimple w:instr=" ADDIN ZOTERO_ITEM {&quot;citationID&quot;:&quot;8DTlGUcb&quot;,&quot;properties&quot;:{&quot;formattedCitation&quot;:&quot;(Mithen 2006)&quot;,&quot;plainCitation&quot;:&quot;(Mithen 2006)&quot;},&quot;citationItems&quot;:[{&quot;id&quot;:924,&quot;uris&quot;:[&quot;http://zotero.org/groups/4482/items/KR2Q82UE&quot;],&quot;uri&quot;:[&quot;http://zotero.org/groups/4482/items/KR2Q82UE&quot;]}]} ">
        <w:r>
          <w:rPr>
            <w:noProof/>
          </w:rPr>
          <w:t>(Mithen 2006)</w:t>
        </w:r>
      </w:fldSimple>
    </w:p>
    <w:p w:rsidR="007D46DA" w:rsidRDefault="007D46DA" w:rsidP="00877E30">
      <w:pPr>
        <w:shd w:val="pct15" w:color="auto" w:fill="auto"/>
      </w:pPr>
      <w:r>
        <w:t xml:space="preserve">6000 BCE: Irrigation system built at Cat al Huyuk, Turkey </w:t>
      </w:r>
      <w:fldSimple w:instr=" ADDIN ZOTERO_ITEM {&quot;citationID&quot;:&quot;yV4ZGE5O&quot;,&quot;properties&quot;:{&quot;formattedCitation&quot;:&quot;(Fairbairn 2005)&quot;,&quot;plainCitation&quot;:&quot;(Fairbairn 2005)&quot;},&quot;citationItems&quot;:[{&quot;id&quot;:912,&quot;uris&quot;:[&quot;http://zotero.org/groups/4482/items/A5E3D7HC&quot;],&quot;uri&quot;:[&quot;http://zotero.org/groups/4482/items/A5E3D7HC&quot;]}]} ">
        <w:r>
          <w:rPr>
            <w:noProof/>
          </w:rPr>
          <w:t>(Fairbairn 2005)</w:t>
        </w:r>
      </w:fldSimple>
    </w:p>
    <w:p w:rsidR="007D46DA" w:rsidRDefault="007D46DA" w:rsidP="00877E30">
      <w:pPr>
        <w:shd w:val="pct15" w:color="auto" w:fill="auto"/>
      </w:pPr>
      <w:r>
        <w:t>3000 BCE: Irrigation canals built in Mesopotamia and Egypt</w:t>
      </w:r>
    </w:p>
    <w:p w:rsidR="007D46DA" w:rsidRDefault="007D46DA" w:rsidP="00877E30">
      <w:pPr>
        <w:shd w:val="pct15" w:color="auto" w:fill="auto"/>
      </w:pPr>
      <w:r>
        <w:t xml:space="preserve">3000 BCE: First known large dam built, Jordan </w:t>
      </w:r>
      <w:fldSimple w:instr=" ADDIN ZOTERO_ITEM {&quot;citationID&quot;:&quot;btwb40O3&quot;,&quot;properties&quot;:{&quot;formattedCitation&quot;:&quot;(Fahlbusch 2009)&quot;,&quot;plainCitation&quot;:&quot;(Fahlbusch 2009)&quot;},&quot;citationItems&quot;:[{&quot;id&quot;:1649,&quot;uris&quot;:[&quot;http://zotero.org/groups/4482/items/7EFADNTU&quot;],&quot;uri&quot;:[&quot;http://zotero.org/groups/4482/items/7EFADNTU&quot;]}]} ">
        <w:r>
          <w:rPr>
            <w:noProof/>
          </w:rPr>
          <w:t>(Fahlbusch 2009)</w:t>
        </w:r>
      </w:fldSimple>
      <w:r>
        <w:t xml:space="preserve"> </w:t>
      </w:r>
    </w:p>
    <w:p w:rsidR="007D46DA" w:rsidRDefault="007D46DA" w:rsidP="00877E30">
      <w:pPr>
        <w:shd w:val="pct15" w:color="auto" w:fill="auto"/>
      </w:pPr>
      <w:r>
        <w:t xml:space="preserve">2600 BCE: First known urban sewer system, Indus Valley </w:t>
      </w:r>
      <w:fldSimple w:instr=" ADDIN ZOTERO_ITEM {&quot;citationID&quot;:&quot;cBg89yOK&quot;,&quot;properties&quot;:{&quot;formattedCitation&quot;:&quot;(Delleur 2003)&quot;,&quot;plainCitation&quot;:&quot;(Delleur 2003)&quot;},&quot;citationItems&quot;:[{&quot;id&quot;:1163,&quot;uris&quot;:[&quot;http://zotero.org/groups/4482/items/HT7K72AW&quot;],&quot;uri&quot;:[&quot;http://zotero.org/groups/4482/items/HT7K72AW&quot;]}]} ">
        <w:r>
          <w:rPr>
            <w:noProof/>
          </w:rPr>
          <w:t>(Delleur 2003)</w:t>
        </w:r>
      </w:fldSimple>
    </w:p>
    <w:p w:rsidR="007D46DA" w:rsidRDefault="007D46DA" w:rsidP="00877E30">
      <w:pPr>
        <w:shd w:val="pct15" w:color="auto" w:fill="auto"/>
      </w:pPr>
      <w:r>
        <w:t>1900 BCE: First known European roads</w:t>
      </w:r>
    </w:p>
    <w:p w:rsidR="007D46DA" w:rsidRDefault="007D46DA" w:rsidP="00877E30">
      <w:pPr>
        <w:shd w:val="pct15" w:color="auto" w:fill="auto"/>
      </w:pPr>
      <w:r>
        <w:t>1600 BCE: Palace at Knossos equipped with running water and flush sanitation</w:t>
      </w:r>
    </w:p>
    <w:p w:rsidR="007D46DA" w:rsidRPr="00EF0A2F" w:rsidRDefault="007D46DA" w:rsidP="00877E30">
      <w:pPr>
        <w:shd w:val="pct15" w:color="auto" w:fill="auto"/>
        <w:rPr>
          <w:rFonts w:ascii="Times" w:hAnsi="Times"/>
          <w:sz w:val="20"/>
        </w:rPr>
      </w:pPr>
      <w:r>
        <w:t xml:space="preserve">1300 BCE: Arkadiko Bridge built, still in use today, Greece </w:t>
      </w:r>
    </w:p>
    <w:p w:rsidR="007D46DA" w:rsidRDefault="007D46DA" w:rsidP="00877E30">
      <w:pPr>
        <w:shd w:val="pct15" w:color="auto" w:fill="auto"/>
      </w:pPr>
      <w:r>
        <w:t xml:space="preserve">700 BCE: Necho’s canal, precursor to Suez Canal built, Egypt </w:t>
      </w:r>
      <w:fldSimple w:instr=" ADDIN ZOTERO_ITEM {&quot;citationID&quot;:&quot;tM7TrKuQ&quot;,&quot;properties&quot;:{&quot;formattedCitation&quot;:&quot;(Redmount 1995)&quot;,&quot;plainCitation&quot;:&quot;(Redmount 1995)&quot;},&quot;citationItems&quot;:[{&quot;id&quot;:192,&quot;uris&quot;:[&quot;http://zotero.org/groups/4482/items/DKHN6F8T&quot;],&quot;uri&quot;:[&quot;http://zotero.org/groups/4482/items/DKHN6F8T&quot;]}]} ">
        <w:r>
          <w:rPr>
            <w:noProof/>
          </w:rPr>
          <w:t>(Redmount 1995)</w:t>
        </w:r>
      </w:fldSimple>
    </w:p>
    <w:p w:rsidR="007D46DA" w:rsidRDefault="007D46DA" w:rsidP="00877E30">
      <w:pPr>
        <w:shd w:val="pct15" w:color="auto" w:fill="auto"/>
      </w:pPr>
      <w:r>
        <w:t xml:space="preserve">691 BCE: 50-mile long aqueduct to Nineveh built </w:t>
      </w:r>
      <w:fldSimple w:instr=" ADDIN ZOTERO_ITEM {&quot;citationID&quot;:&quot;m7t1lNyC&quot;,&quot;properties&quot;:{&quot;formattedCitation&quot;:&quot;(Aicher 1995)&quot;,&quot;plainCitation&quot;:&quot;(Aicher 1995)&quot;},&quot;citationItems&quot;:[{&quot;id&quot;:1651,&quot;uris&quot;:[&quot;http://zotero.org/groups/4482/items/U895MBUA&quot;],&quot;uri&quot;:[&quot;http://zotero.org/groups/4482/items/U895MBUA&quot;]}]} ">
        <w:r>
          <w:rPr>
            <w:noProof/>
          </w:rPr>
          <w:t>(Aicher 1995)</w:t>
        </w:r>
      </w:fldSimple>
    </w:p>
    <w:p w:rsidR="007D46DA" w:rsidRDefault="007D46DA" w:rsidP="00877E30">
      <w:pPr>
        <w:shd w:val="pct15" w:color="auto" w:fill="auto"/>
      </w:pPr>
      <w:r>
        <w:t>350 BCE: Work begins on the Southern Grand Canal, China</w:t>
      </w:r>
    </w:p>
    <w:p w:rsidR="007D46DA" w:rsidRDefault="007D46DA" w:rsidP="00877E30">
      <w:pPr>
        <w:shd w:val="pct15" w:color="auto" w:fill="auto"/>
      </w:pPr>
      <w:r>
        <w:t>312 BCE: Rome begins work on the Appian Way</w:t>
      </w:r>
    </w:p>
    <w:p w:rsidR="007D46DA" w:rsidRDefault="007D46DA" w:rsidP="00877E30">
      <w:pPr>
        <w:shd w:val="pct15" w:color="auto" w:fill="auto"/>
      </w:pPr>
      <w:r>
        <w:t>300 BCE: First water-powered mill built, Greece</w:t>
      </w:r>
    </w:p>
    <w:p w:rsidR="007D46DA" w:rsidRDefault="007D46DA" w:rsidP="00877E30">
      <w:pPr>
        <w:shd w:val="pct15" w:color="auto" w:fill="auto"/>
      </w:pPr>
      <w:r>
        <w:t>206 BCE: Great Wall of China built, 6,259 km long</w:t>
      </w:r>
    </w:p>
    <w:p w:rsidR="007D46DA" w:rsidRPr="00172EB3" w:rsidRDefault="007D46DA" w:rsidP="00877E30">
      <w:pPr>
        <w:shd w:val="pct15" w:color="auto" w:fill="auto"/>
        <w:rPr>
          <w:rFonts w:ascii="Times" w:hAnsi="Times"/>
          <w:sz w:val="20"/>
        </w:rPr>
      </w:pPr>
      <w:r>
        <w:t>200 BCE: First windmills, Persia</w:t>
      </w:r>
    </w:p>
    <w:p w:rsidR="007D46DA" w:rsidRDefault="007D46DA" w:rsidP="00877E30">
      <w:pPr>
        <w:shd w:val="pct15" w:color="auto" w:fill="auto"/>
      </w:pPr>
      <w:r>
        <w:t>170 BCE: First paved city streets, Rome</w:t>
      </w:r>
    </w:p>
    <w:p w:rsidR="007D46DA" w:rsidRDefault="007D46DA" w:rsidP="00877E30">
      <w:pPr>
        <w:shd w:val="pct15" w:color="auto" w:fill="auto"/>
      </w:pPr>
      <w:r>
        <w:t xml:space="preserve">200: 53,000 miles of roads in the Roman Empire </w:t>
      </w:r>
      <w:fldSimple w:instr=" ADDIN ZOTERO_ITEM {&quot;citationID&quot;:&quot;TemxNMV4&quot;,&quot;properties&quot;:{&quot;formattedCitation&quot;:&quot;(McCrae 2001)&quot;,&quot;plainCitation&quot;:&quot;(McCrae 2001)&quot;},&quot;citationItems&quot;:[{&quot;id&quot;:1396,&quot;uris&quot;:[&quot;http://zotero.org/groups/4482/items/K6MIU8CS&quot;],&quot;uri&quot;:[&quot;http://zotero.org/groups/4482/items/K6MIU8CS&quot;]}]} ">
        <w:r>
          <w:rPr>
            <w:noProof/>
          </w:rPr>
          <w:t>(McCrae 2001)</w:t>
        </w:r>
      </w:fldSimple>
    </w:p>
    <w:p w:rsidR="007D46DA" w:rsidRDefault="007D46DA" w:rsidP="00877E30">
      <w:pPr>
        <w:shd w:val="pct15" w:color="auto" w:fill="auto"/>
      </w:pPr>
      <w:r>
        <w:t>618: Grand Canal in China completed, 1,776 km long</w:t>
      </w:r>
    </w:p>
    <w:p w:rsidR="007D46DA" w:rsidRDefault="007D46DA" w:rsidP="00877E30">
      <w:pPr>
        <w:shd w:val="pct15" w:color="auto" w:fill="auto"/>
      </w:pPr>
      <w:r>
        <w:t>1185: First windmill in Europe, England</w:t>
      </w:r>
    </w:p>
    <w:p w:rsidR="007D46DA" w:rsidRDefault="007D46DA" w:rsidP="00877E30">
      <w:pPr>
        <w:shd w:val="pct15" w:color="auto" w:fill="auto"/>
      </w:pPr>
      <w:r>
        <w:t>1582: First pumped city water supply system, London</w:t>
      </w:r>
    </w:p>
    <w:p w:rsidR="007D46DA" w:rsidRDefault="007D46DA" w:rsidP="00877E30">
      <w:pPr>
        <w:shd w:val="pct15" w:color="auto" w:fill="auto"/>
      </w:pPr>
      <w:r>
        <w:t>1825: Erie Canal opens, 584 km long</w:t>
      </w:r>
    </w:p>
    <w:p w:rsidR="007D46DA" w:rsidRDefault="007D46DA" w:rsidP="00877E30">
      <w:pPr>
        <w:shd w:val="pct15" w:color="auto" w:fill="auto"/>
      </w:pPr>
      <w:r>
        <w:t>1865: London sanitary and intercepting sewers completed, 21,720 km of pipes</w:t>
      </w:r>
    </w:p>
    <w:p w:rsidR="007D46DA" w:rsidRDefault="007D46DA" w:rsidP="00877E30">
      <w:pPr>
        <w:shd w:val="pct15" w:color="auto" w:fill="auto"/>
      </w:pPr>
      <w:r>
        <w:t>1866: Transatlantic Cable laid</w:t>
      </w:r>
    </w:p>
    <w:p w:rsidR="007D46DA" w:rsidRDefault="007D46DA" w:rsidP="00877E30">
      <w:pPr>
        <w:shd w:val="pct15" w:color="auto" w:fill="auto"/>
      </w:pPr>
      <w:r>
        <w:t>1869: Suez Canal opens</w:t>
      </w:r>
    </w:p>
    <w:p w:rsidR="007D46DA" w:rsidRDefault="007D46DA" w:rsidP="00877E30">
      <w:pPr>
        <w:shd w:val="pct15" w:color="auto" w:fill="auto"/>
      </w:pPr>
      <w:r>
        <w:t>1869: First transcontinental railroad in the US</w:t>
      </w:r>
    </w:p>
    <w:p w:rsidR="007D46DA" w:rsidRDefault="007D46DA" w:rsidP="00877E30">
      <w:pPr>
        <w:shd w:val="pct15" w:color="auto" w:fill="auto"/>
      </w:pPr>
      <w:r>
        <w:t>1878: First telephone network, US</w:t>
      </w:r>
    </w:p>
    <w:p w:rsidR="007D46DA" w:rsidRDefault="007D46DA" w:rsidP="00877E30">
      <w:pPr>
        <w:shd w:val="pct15" w:color="auto" w:fill="auto"/>
      </w:pPr>
      <w:r>
        <w:t>1879: First commercial power station and electric grid opens, US</w:t>
      </w:r>
    </w:p>
    <w:p w:rsidR="007D46DA" w:rsidRDefault="007D46DA" w:rsidP="00877E30">
      <w:pPr>
        <w:shd w:val="pct15" w:color="auto" w:fill="auto"/>
      </w:pPr>
      <w:r>
        <w:t>1883: Brooklyn Bridge completed, US</w:t>
      </w:r>
    </w:p>
    <w:p w:rsidR="007D46DA" w:rsidRDefault="007D46DA" w:rsidP="00877E30">
      <w:pPr>
        <w:shd w:val="pct15" w:color="auto" w:fill="auto"/>
      </w:pPr>
      <w:r>
        <w:t xml:space="preserve">1887: First wind turbine built, Scotland </w:t>
      </w:r>
    </w:p>
    <w:p w:rsidR="007D46DA" w:rsidDel="002318A3" w:rsidRDefault="007D46DA" w:rsidP="00877E30">
      <w:pPr>
        <w:shd w:val="pct15" w:color="auto" w:fill="auto"/>
      </w:pPr>
      <w:r>
        <w:t>1914: Panama Canal completed</w:t>
      </w:r>
    </w:p>
    <w:p w:rsidR="007D46DA" w:rsidRDefault="007D46DA" w:rsidP="00877E30">
      <w:pPr>
        <w:shd w:val="pct15" w:color="auto" w:fill="auto"/>
      </w:pPr>
      <w:r>
        <w:t>1936: Hoover Dam completed</w:t>
      </w:r>
    </w:p>
    <w:p w:rsidR="007D46DA" w:rsidRDefault="007D46DA" w:rsidP="00877E30">
      <w:pPr>
        <w:shd w:val="pct15" w:color="auto" w:fill="auto"/>
      </w:pPr>
      <w:r>
        <w:t>1954: First nuclear power station, USSR</w:t>
      </w:r>
    </w:p>
    <w:p w:rsidR="007D46DA" w:rsidRDefault="007D46DA" w:rsidP="00877E30">
      <w:pPr>
        <w:shd w:val="pct15" w:color="auto" w:fill="auto"/>
      </w:pPr>
      <w:r>
        <w:t>1956: Construction of the Interstate Highway System begun, US</w:t>
      </w:r>
    </w:p>
    <w:p w:rsidR="007D46DA" w:rsidRDefault="007D46DA" w:rsidP="00877E30">
      <w:pPr>
        <w:shd w:val="pct15" w:color="auto" w:fill="auto"/>
      </w:pPr>
      <w:r>
        <w:t>1956: Containerized transnational shipping begins</w:t>
      </w:r>
    </w:p>
    <w:p w:rsidR="007D46DA" w:rsidRDefault="007D46DA" w:rsidP="00877E30">
      <w:pPr>
        <w:shd w:val="pct15" w:color="auto" w:fill="auto"/>
      </w:pPr>
      <w:r>
        <w:t>1969: First linked computer network, the ARPANET, US</w:t>
      </w:r>
    </w:p>
    <w:p w:rsidR="007D46DA" w:rsidRDefault="007D46DA" w:rsidP="00877E30">
      <w:pPr>
        <w:shd w:val="pct15" w:color="auto" w:fill="auto"/>
      </w:pPr>
      <w:r>
        <w:t>1970: Aswan High Dam completed, Egypt</w:t>
      </w:r>
    </w:p>
    <w:p w:rsidR="007D46DA" w:rsidRDefault="007D46DA" w:rsidP="00877E30">
      <w:pPr>
        <w:shd w:val="pct15" w:color="auto" w:fill="auto"/>
      </w:pPr>
      <w:r>
        <w:t>1978: First commercial mobile phone network, US</w:t>
      </w:r>
    </w:p>
    <w:p w:rsidR="007D46DA" w:rsidRDefault="007D46DA" w:rsidP="00877E30">
      <w:pPr>
        <w:shd w:val="pct15" w:color="auto" w:fill="auto"/>
      </w:pPr>
      <w:r>
        <w:t>1991: First digital mobile phone network, Finland</w:t>
      </w:r>
    </w:p>
    <w:p w:rsidR="007D46DA" w:rsidRDefault="007D46DA" w:rsidP="00877E30">
      <w:pPr>
        <w:shd w:val="pct15" w:color="auto" w:fill="auto"/>
      </w:pPr>
      <w:r>
        <w:t xml:space="preserve">1998: Akashi Kaikyo Bridge completed, longest central span of any bridge, Japan </w:t>
      </w:r>
    </w:p>
    <w:p w:rsidR="007D46DA" w:rsidRDefault="007D46DA" w:rsidP="00877E30">
      <w:pPr>
        <w:shd w:val="pct15" w:color="auto" w:fill="auto"/>
      </w:pPr>
      <w:r>
        <w:t>2001: First broadband mobile phone network, Japan</w:t>
      </w:r>
    </w:p>
    <w:p w:rsidR="007D46DA" w:rsidRDefault="007D46DA" w:rsidP="00877E30">
      <w:pPr>
        <w:shd w:val="pct15" w:color="auto" w:fill="auto"/>
      </w:pPr>
      <w:r>
        <w:t>2008: Three-Gorges Dam completed, China</w:t>
      </w:r>
    </w:p>
    <w:p w:rsidR="007D46DA" w:rsidRDefault="007D46DA" w:rsidP="00877E30">
      <w:pPr>
        <w:shd w:val="pct15" w:color="auto" w:fill="auto"/>
      </w:pPr>
      <w:r>
        <w:t xml:space="preserve">Primary sources: </w:t>
      </w:r>
      <w:r w:rsidR="00F7383F">
        <w:fldChar w:fldCharType="begin"/>
      </w:r>
      <w:r>
        <w:instrText xml:space="preserve"> ADDIN ZOTERO_ITEM {"citationID":"sdWRHR3z","properties":{"formattedCitation":"{\\rtf (Mithen 2006; O\\uc0\\u8217{}Brian 2000; O\\uc0\\u8217{}Brien, Philip\\uc0\\u8217{}s Map Studio, and Cosmographics (Firm) 1999; Hodges 1992; Grun and Stein 1991; Spier 2010; Brown 2008; Christian 2004)}","plainCitation":"(Mithen 2006; O’Brian 2000; O’Brien, Philip’s Map Studio, and Cosmographics (Firm) 1999; Hodges 1992; Grun and Stein 1991; Spier 2010; Brown 2008; Christian 2004)"},"citationItems":[{"id":924,"uris":["http://zotero.org/groups/4482/items/KR2Q82UE"],"uri":["http://zotero.org/groups/4482/items/KR2Q82UE"],"label":"page"},{"id":1648,"uris":["http://zotero.org/groups/4482/items/UE33ETQT"],"uri":["http://zotero.org/groups/4482/items/UE33ETQT"],"label":"page"},{"id":1646,"uris":["http://zotero.org/groups/4482/items/FAFFBTN3"],"uri":["http://zotero.org/groups/4482/items/FAFFBTN3"],"label":"page"},{"id":187,"uris":["http://zotero.org/groups/4482/items/TUJ2AUGB"],"uri":["http://zotero.org/groups/4482/items/TUJ2AUGB"],"label":"page"},{"id":1647,"uris":["http://zotero.org/groups/4482/items/8PZCFVC7"],"uri":["http://zotero.org/groups/4482/items/8PZCFVC7"],"label":"page"},{"id":761,"uris":["http://zotero.org/groups/4482/items/MSUTJJTP"],"uri":["http://zotero.org/groups/4482/items/MSUTJJTP"],"label":"page"},{"id":938,"uris":["http://zotero.org/groups/4482/items/RRT83TBK"],"uri":["http://zotero.org/groups/4482/items/RRT83TBK"],"label":"page"},{"id":330,"uris":["http://zotero.org/groups/4482/items/ABQ7RECE"],"uri":["http://zotero.org/groups/4482/items/ABQ7RECE"],"label":"page"}]} </w:instrText>
      </w:r>
      <w:r w:rsidR="00F7383F">
        <w:fldChar w:fldCharType="separate"/>
      </w:r>
      <w:r w:rsidRPr="00A26758">
        <w:t>(Mithen 2006; O’Brian 2000; O’Brien, Philip’s Map Studio, and Cosmographics (Firm) 1999; Hodges 1992; Grun and Stein 1991; Spier 2010; Brown 2008; Christian 2004</w:t>
      </w:r>
      <w:r>
        <w:t>)</w:t>
      </w:r>
      <w:r w:rsidR="00F7383F">
        <w:fldChar w:fldCharType="end"/>
      </w:r>
    </w:p>
    <w:p w:rsidR="007D46DA" w:rsidRDefault="007D46DA" w:rsidP="00877E30">
      <w:pPr>
        <w:shd w:val="pct15" w:color="auto" w:fill="auto"/>
      </w:pPr>
      <w:r>
        <w:t xml:space="preserve">Other Sources: Encyclopedia Britannica, Wikipedia </w:t>
      </w:r>
    </w:p>
    <w:p w:rsidR="007D46DA" w:rsidRDefault="007D46DA" w:rsidP="007D46DA"/>
    <w:p w:rsidR="007D46DA" w:rsidRPr="00E04D31" w:rsidRDefault="007D46DA" w:rsidP="00877E30">
      <w:pPr>
        <w:pStyle w:val="Heading3"/>
      </w:pPr>
      <w:bookmarkStart w:id="15" w:name="_Toc323232036"/>
      <w:bookmarkStart w:id="16" w:name="_Toc200095256"/>
      <w:r>
        <w:t>I</w:t>
      </w:r>
      <w:r w:rsidRPr="00E04D31">
        <w:t>nfrastructure</w:t>
      </w:r>
      <w:r>
        <w:t>’s current extent</w:t>
      </w:r>
      <w:bookmarkEnd w:id="15"/>
      <w:bookmarkEnd w:id="16"/>
    </w:p>
    <w:p w:rsidR="007D46DA" w:rsidDel="006170A4" w:rsidRDefault="007D46DA" w:rsidP="007D46DA">
      <w:r>
        <w:t xml:space="preserve">The extent of modern infrastructure at the global level is truly remarkable. In 2005, people (and goods) could travel over 18.9 million kilometers of paved roads (enough to circle the globe 470 times), enjoy the benefits of the 4.1 billion kilowatts of electricity produced by the world’s power plants, communicate using 1.2 billion fixed telephone lines and 1.9 billion mobile phone subscriptions, and drink from just over 1 billion household water connections. </w:t>
      </w:r>
    </w:p>
    <w:p w:rsidR="007D46DA" w:rsidRDefault="007D46DA" w:rsidP="007D46DA"/>
    <w:p w:rsidR="007D46DA" w:rsidRDefault="007D46DA" w:rsidP="007D46DA">
      <w:r>
        <w:t xml:space="preserve">In spite of the truly tremendous extent of modern infrastructure, large portions of humanity outside of the highest income countries do not have access to it. Figure 1.3 shows the levels of access to five key forms of infrastructure for people living in countries grouped into four World Bank economic categories. The clear message is one of continued disparity in the midst of growing abundance. </w:t>
      </w:r>
    </w:p>
    <w:p w:rsidR="007D46DA" w:rsidRDefault="007D46DA" w:rsidP="007D46DA"/>
    <w:p w:rsidR="007D46DA" w:rsidRDefault="007D46DA" w:rsidP="007D46DA">
      <w:pPr>
        <w:jc w:val="center"/>
      </w:pPr>
      <w:r>
        <w:rPr>
          <w:noProof/>
        </w:rPr>
        <w:drawing>
          <wp:inline distT="0" distB="0" distL="0" distR="0">
            <wp:extent cx="5486400" cy="4030980"/>
            <wp:effectExtent l="25400" t="25400" r="0" b="7620"/>
            <wp:docPr id="11" name="C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D46DA" w:rsidRPr="00DC422B" w:rsidRDefault="007D46DA" w:rsidP="00877E30">
      <w:pPr>
        <w:pStyle w:val="FiguresTest"/>
      </w:pPr>
      <w:r w:rsidRPr="003A2EDC">
        <w:t>Figure 1.3 Selected infrastructure access rates, 2010</w:t>
      </w:r>
    </w:p>
    <w:p w:rsidR="007D46DA" w:rsidRDefault="007D46DA" w:rsidP="007D46DA">
      <w:pPr>
        <w:pStyle w:val="BodyText"/>
        <w:spacing w:before="0" w:after="0"/>
        <w:jc w:val="left"/>
        <w:rPr>
          <w:i/>
        </w:rPr>
      </w:pPr>
      <w:r w:rsidRPr="00877CA8">
        <w:rPr>
          <w:i/>
        </w:rPr>
        <w:t xml:space="preserve">Note: </w:t>
      </w:r>
      <w:r>
        <w:rPr>
          <w:i/>
        </w:rPr>
        <w:t>Used 2010</w:t>
      </w:r>
      <w:r w:rsidRPr="00877CA8">
        <w:rPr>
          <w:i/>
        </w:rPr>
        <w:t xml:space="preserve"> for all categories </w:t>
      </w:r>
      <w:r>
        <w:rPr>
          <w:i/>
        </w:rPr>
        <w:t>except roads which only extends</w:t>
      </w:r>
      <w:r w:rsidRPr="00877CA8">
        <w:rPr>
          <w:i/>
        </w:rPr>
        <w:t xml:space="preserve"> through 2005;</w:t>
      </w:r>
      <w:r>
        <w:rPr>
          <w:i/>
        </w:rPr>
        <w:t xml:space="preserve"> Access to all-weather roads refers to the percentage of the rural population with access.</w:t>
      </w:r>
    </w:p>
    <w:p w:rsidR="007D46DA" w:rsidRPr="00E04D31" w:rsidRDefault="007D46DA" w:rsidP="007D46DA">
      <w:pPr>
        <w:pStyle w:val="BodyText"/>
        <w:spacing w:before="0" w:after="0"/>
        <w:jc w:val="left"/>
        <w:rPr>
          <w:i/>
        </w:rPr>
      </w:pPr>
      <w:r w:rsidRPr="00E04D31">
        <w:rPr>
          <w:i/>
        </w:rPr>
        <w:t>Source:</w:t>
      </w:r>
      <w:r>
        <w:rPr>
          <w:i/>
        </w:rPr>
        <w:t xml:space="preserve"> WDI 2010-2011</w:t>
      </w:r>
    </w:p>
    <w:p w:rsidR="007D46DA" w:rsidRDefault="007D46DA" w:rsidP="007D46DA">
      <w:pPr>
        <w:pStyle w:val="BodyText"/>
        <w:spacing w:before="0" w:after="0"/>
        <w:jc w:val="left"/>
        <w:rPr>
          <w:i/>
        </w:rPr>
      </w:pPr>
    </w:p>
    <w:p w:rsidR="007D46DA" w:rsidRDefault="007D46DA" w:rsidP="007D46DA">
      <w:pPr>
        <w:pStyle w:val="BodyText"/>
        <w:spacing w:before="0" w:after="0"/>
        <w:jc w:val="left"/>
      </w:pPr>
      <w:r>
        <w:t xml:space="preserve">In 2010, only 63 percent of the populations of low-income countries had access to an improved source of drinking water, as compared to 99 percent of people in high-income countries. The corresponding numbers for sanitation are even more uneven, with 39 percent of people in low-income countries having access, compared to 99.5 percent. These disparities translate to </w:t>
      </w:r>
      <w:r w:rsidRPr="00E04D31">
        <w:t>over 1 billion people globally not hav</w:t>
      </w:r>
      <w:r>
        <w:t>ing</w:t>
      </w:r>
      <w:r w:rsidRPr="00E04D31">
        <w:t xml:space="preserve"> access to an improved water supply, and over 2.4 billion not served by improved sanitation infrastructure.</w:t>
      </w:r>
      <w:r>
        <w:t xml:space="preserve"> </w:t>
      </w:r>
    </w:p>
    <w:p w:rsidR="007D46DA" w:rsidRDefault="007D46DA" w:rsidP="007D46DA">
      <w:pPr>
        <w:pStyle w:val="BodyText"/>
        <w:spacing w:before="0" w:after="0"/>
        <w:jc w:val="left"/>
      </w:pPr>
    </w:p>
    <w:p w:rsidR="007D46DA" w:rsidRDefault="007D46DA" w:rsidP="007D46DA">
      <w:pPr>
        <w:pStyle w:val="BodyText"/>
        <w:spacing w:before="0" w:after="0"/>
        <w:jc w:val="left"/>
      </w:pPr>
      <w:r>
        <w:t xml:space="preserve">Severe disparities also exist in regards to access to transportation infrastructure. In 2005, roughly 70 percent of people in low-income countries do not live within two kilometers of an all-season road (the standard measure of adequate transport access, see </w:t>
      </w:r>
      <w:r w:rsidR="00F7383F" w:rsidRPr="00F7383F">
        <w:fldChar w:fldCharType="begin"/>
      </w:r>
      <w:r>
        <w:instrText xml:space="preserve"> ADDIN ZOTERO_ITEM {"citationID":"hPVVJznG","properties":{"formattedCitation":"(Roberts, KC, and Rastogi 2006, 2)","plainCitation":"(Roberts, KC, and Rastogi 2006, 2)"},"citationItems":[{"id":679,"uris":["http://zotero.org/groups/4482/items/XWNS3UM5"],"uri":["http://zotero.org/groups/4482/items/XWNS3UM5"],"locator":"2","label":"page"}]} </w:instrText>
      </w:r>
      <w:r w:rsidR="00F7383F" w:rsidRPr="00F7383F">
        <w:fldChar w:fldCharType="separate"/>
      </w:r>
      <w:r>
        <w:t>(Roberts, KC, and Rastogi 2006, 2)</w:t>
      </w:r>
      <w:r w:rsidR="00F7383F">
        <w:rPr>
          <w:highlight w:val="yellow"/>
        </w:rPr>
        <w:fldChar w:fldCharType="end"/>
      </w:r>
      <w:r>
        <w:t>, as compared to 7 percent in high-income countries.</w:t>
      </w:r>
    </w:p>
    <w:p w:rsidR="007D46DA" w:rsidRDefault="007D46DA" w:rsidP="007D46DA">
      <w:pPr>
        <w:pStyle w:val="BodyText"/>
        <w:spacing w:before="0" w:after="0"/>
        <w:jc w:val="left"/>
      </w:pPr>
    </w:p>
    <w:p w:rsidR="007D46DA" w:rsidRDefault="007D46DA" w:rsidP="007D46DA">
      <w:r w:rsidRPr="00CA4EF3">
        <w:t>Over half of the global population still use</w:t>
      </w:r>
      <w:r>
        <w:t>s solid fuels in the home and one</w:t>
      </w:r>
      <w:r w:rsidRPr="00CA4EF3">
        <w:t xml:space="preserve"> quarter do</w:t>
      </w:r>
      <w:r>
        <w:t>es</w:t>
      </w:r>
      <w:r w:rsidRPr="00CA4EF3">
        <w:t xml:space="preserve"> not have access to electricity. In the low</w:t>
      </w:r>
      <w:r>
        <w:t>-</w:t>
      </w:r>
      <w:r w:rsidRPr="00CA4EF3">
        <w:t>income countries</w:t>
      </w:r>
      <w:r>
        <w:t>,</w:t>
      </w:r>
      <w:r w:rsidRPr="00CA4EF3">
        <w:t xml:space="preserve"> over </w:t>
      </w:r>
      <w:r>
        <w:t>90</w:t>
      </w:r>
      <w:r w:rsidRPr="00CA4EF3">
        <w:t xml:space="preserve"> percent </w:t>
      </w:r>
      <w:r>
        <w:t xml:space="preserve">of people still </w:t>
      </w:r>
      <w:r w:rsidRPr="00CA4EF3">
        <w:t>us</w:t>
      </w:r>
      <w:r>
        <w:t>e</w:t>
      </w:r>
      <w:r w:rsidRPr="00CA4EF3">
        <w:t xml:space="preserve"> solid fuels and only </w:t>
      </w:r>
      <w:r>
        <w:t>23 percent</w:t>
      </w:r>
      <w:r w:rsidRPr="00CA4EF3">
        <w:t xml:space="preserve"> hav</w:t>
      </w:r>
      <w:r>
        <w:t>e</w:t>
      </w:r>
      <w:r w:rsidRPr="00CA4EF3">
        <w:t xml:space="preserve"> access to electricity. </w:t>
      </w:r>
      <w:r>
        <w:t>In high-income countries, 97.6 percent of all people have access to electricity and only 5 percent use solid fuels.</w:t>
      </w:r>
    </w:p>
    <w:p w:rsidR="007D46DA" w:rsidRDefault="007D46DA" w:rsidP="007D46DA"/>
    <w:p w:rsidR="007D46DA" w:rsidRDefault="007D46DA" w:rsidP="007D46DA">
      <w:r>
        <w:t>The spread of mobile phones is one of the greatest success stories in modern infrastructure. More than 33 percent of people in low-income countries already had access to them in 2010, matching or exceeding the portion with access to all-weather roads and electricity. In our forecasts we will see the likely continued rapid growth of access to both mobile phones and the broadband services that they increasingly make available.</w:t>
      </w:r>
    </w:p>
    <w:p w:rsidR="007D46DA" w:rsidRDefault="007D46DA" w:rsidP="007D46DA"/>
    <w:p w:rsidR="007D46DA" w:rsidRDefault="007D46DA" w:rsidP="00877E30">
      <w:pPr>
        <w:pStyle w:val="Heading3"/>
      </w:pPr>
      <w:bookmarkStart w:id="17" w:name="_Toc323232037"/>
      <w:bookmarkStart w:id="18" w:name="_Toc200095257"/>
      <w:r>
        <w:t>The challenges and opportunities looking forward</w:t>
      </w:r>
      <w:bookmarkEnd w:id="17"/>
      <w:bookmarkEnd w:id="18"/>
    </w:p>
    <w:p w:rsidR="007D46DA" w:rsidRPr="00E04D31" w:rsidRDefault="007D46DA" w:rsidP="007D46DA">
      <w:pPr>
        <w:pStyle w:val="BodyText"/>
        <w:spacing w:before="0" w:after="0"/>
        <w:jc w:val="left"/>
      </w:pPr>
      <w:r>
        <w:t>Most d</w:t>
      </w:r>
      <w:r w:rsidRPr="00E04D31">
        <w:t>eveloped countries a</w:t>
      </w:r>
      <w:r>
        <w:t xml:space="preserve">lready </w:t>
      </w:r>
      <w:r w:rsidRPr="00E04D31">
        <w:t xml:space="preserve">have extensive infrastructures and high access rates to them. However, infrastructures have a natural life cycle, and many infrastructures in rich countries are deteriorating and/or reaching the end of their useful lives. All too often such deterioration is occurring without plans or provision of funds for needed renewal or replacement. </w:t>
      </w:r>
      <w:r>
        <w:t xml:space="preserve">Infrastructure ‘report cards’ for Australia </w:t>
      </w:r>
      <w:r w:rsidR="00F7383F">
        <w:fldChar w:fldCharType="begin"/>
      </w:r>
      <w:r>
        <w:instrText xml:space="preserve"> ADDIN ZOTERO_ITEM {"citationID":"17137redf6","properties":{"formattedCitation":"(Institution of Engineers, Australia 2010)","plainCitation":"(Institution of Engineers, Australia 2010)"},"citationItems":[{"id":1354,"uris":["http://zotero.org/groups/4482/items/9VVCUKI8"],"uri":["http://zotero.org/groups/4482/items/9VVCUKI8"]}]} </w:instrText>
      </w:r>
      <w:r w:rsidR="00F7383F">
        <w:fldChar w:fldCharType="separate"/>
      </w:r>
      <w:r>
        <w:t>(Institution of Engineers, Australia 2010)</w:t>
      </w:r>
      <w:r w:rsidR="00F7383F">
        <w:fldChar w:fldCharType="end"/>
      </w:r>
      <w:r>
        <w:t>,</w:t>
      </w:r>
      <w:r w:rsidRPr="00ED63B6">
        <w:t xml:space="preserve"> </w:t>
      </w:r>
      <w:r>
        <w:t xml:space="preserve">the United Kingdom </w:t>
      </w:r>
      <w:r w:rsidR="00F7383F">
        <w:fldChar w:fldCharType="begin"/>
      </w:r>
      <w:r>
        <w:instrText xml:space="preserve"> ADDIN ZOTERO_ITEM {"citationID":"2qnkg66lqm","properties":{"formattedCitation":"(Institution of Civil Engineers 2010)","plainCitation":"(Institution of Civil Engineers 2010)"},"citationItems":[{"id":1360,"uris":["http://zotero.org/groups/4482/items/8TJSTTRJ"],"uri":["http://zotero.org/groups/4482/items/8TJSTTRJ"]}]} </w:instrText>
      </w:r>
      <w:r w:rsidR="00F7383F">
        <w:fldChar w:fldCharType="separate"/>
      </w:r>
      <w:r>
        <w:t>(Institution of Civil Engineers 2010)</w:t>
      </w:r>
      <w:r w:rsidR="00F7383F">
        <w:fldChar w:fldCharType="end"/>
      </w:r>
      <w:r>
        <w:t xml:space="preserve">, and the United States </w:t>
      </w:r>
      <w:r w:rsidR="00F7383F">
        <w:fldChar w:fldCharType="begin"/>
      </w:r>
      <w:r>
        <w:instrText xml:space="preserve"> ADDIN ZOTERO_ITEM {"citationID":"2a98gk4fhq","properties":{"formattedCitation":"(American Society of Civil Engineers 2009)","plainCitation":"(American Society of Civil Engineers 2009)"},"citationItems":[{"id":1355,"uris":["http://zotero.org/groups/4482/items/UAEFSK82"],"uri":["http://zotero.org/groups/4482/items/UAEFSK82"]}]} </w:instrText>
      </w:r>
      <w:r w:rsidR="00F7383F">
        <w:fldChar w:fldCharType="separate"/>
      </w:r>
      <w:r>
        <w:t>(American Society of Civil Engineers 2009)</w:t>
      </w:r>
      <w:r w:rsidR="00F7383F">
        <w:fldChar w:fldCharType="end"/>
      </w:r>
      <w:r>
        <w:t xml:space="preserve"> painted pictures of lagging efforts to maintain existing infrastructure in both countries as well as plan for the infrastructure needs of the future.</w:t>
      </w:r>
    </w:p>
    <w:p w:rsidR="007D46DA" w:rsidRDefault="007D46DA" w:rsidP="007D46DA"/>
    <w:p w:rsidR="007D46DA" w:rsidRDefault="007D46DA" w:rsidP="007D46DA">
      <w:r>
        <w:t xml:space="preserve">In contrast, for </w:t>
      </w:r>
      <w:r w:rsidRPr="00E04D31">
        <w:t>most developing countries</w:t>
      </w:r>
      <w:r>
        <w:t xml:space="preserve"> </w:t>
      </w:r>
      <w:r w:rsidRPr="00E04D31">
        <w:t xml:space="preserve">the </w:t>
      </w:r>
      <w:r>
        <w:t>primary</w:t>
      </w:r>
      <w:r w:rsidRPr="00E04D31">
        <w:t xml:space="preserve"> </w:t>
      </w:r>
      <w:r>
        <w:t xml:space="preserve">infrastructure </w:t>
      </w:r>
      <w:r w:rsidRPr="00E04D31">
        <w:t xml:space="preserve">challenge </w:t>
      </w:r>
      <w:r>
        <w:t>remains</w:t>
      </w:r>
      <w:r w:rsidRPr="00E04D31">
        <w:t xml:space="preserve"> building out basic infrastructure and </w:t>
      </w:r>
      <w:r>
        <w:t>expanding access to the</w:t>
      </w:r>
      <w:r w:rsidRPr="00E04D31">
        <w:t xml:space="preserve"> services</w:t>
      </w:r>
      <w:r>
        <w:t xml:space="preserve"> it provides</w:t>
      </w:r>
      <w:r w:rsidRPr="00E04D31">
        <w:t>.</w:t>
      </w:r>
      <w:r>
        <w:t xml:space="preserve"> What countries now consider basic modern infrastructure, however, is very different from what it was 100 or 200 years ago when currently developed countries were developing their industrial-era base. As the earlier discussion of infrastructure across the ages suggested, there has been a sequence of major transformations in modern infrastructure technology that have in some cases led to replacements by new forms, but that that often led to a layering of additional systems on old ones, meaning that currently developing countries are now attempting to build in decades what the more developed countries built and refined over (especially) the last two centuries. </w:t>
      </w:r>
    </w:p>
    <w:p w:rsidR="007D46DA" w:rsidRDefault="007D46DA" w:rsidP="007D46DA"/>
    <w:p w:rsidR="007D46DA" w:rsidRDefault="007D46DA" w:rsidP="007D46DA">
      <w:r>
        <w:t xml:space="preserve">For example, a railroad crossed the United States in 1869, and Europe had extensively built them by that time—the oldest perhaps being the Middleton Railway in Leeds, England, established in 1758 </w:t>
      </w:r>
      <w:fldSimple w:instr=" ADDIN ZOTERO_ITEM {&quot;citationID&quot;:&quot;5PtdZhv7&quot;,&quot;properties&quot;:{&quot;formattedCitation&quot;:&quot;(Goodman and Chant 1999)&quot;,&quot;plainCitation&quot;:&quot;(Goodman and Chant 1999)&quot;},&quot;citationItems&quot;:[{&quot;id&quot;:1653,&quot;uris&quot;:[&quot;http://zotero.org/groups/4482/items/U326GTIR&quot;],&quot;uri&quot;:[&quot;http://zotero.org/groups/4482/items/U326GTIR&quot;]}]} ">
        <w:r>
          <w:rPr>
            <w:noProof/>
          </w:rPr>
          <w:t>(Goodman and Chant 1999)</w:t>
        </w:r>
      </w:fldSimple>
      <w:r>
        <w:t>.</w:t>
      </w:r>
      <w:r w:rsidRPr="004C6126">
        <w:rPr>
          <w:rStyle w:val="FootnoteReference"/>
        </w:rPr>
        <w:footnoteReference w:id="8"/>
      </w:r>
      <w:r>
        <w:t xml:space="preserve"> The development of gasoline-powered automobiles gave impetus across the entire twentieth century to the building of modern autobahns and similar multi-lane paved roads throughout the developed world. The "Great Stink" of 1858, as well as cholera epidemics of the period, led London to build a modern sewerage system with hundreds of miles of main sewers and thousands of miles of local lines before the end of the century. Earlier in the century the city had created a substantial water supply system, sometimes replacing longer-standing wooden pipes with iron ones. In 1879 Cleveland, Ohio, was the first city to use electric lights for public street lighting (even though it still struggled to replace many wooden water mains even late in the 20th century). Although invention is often disputed and many threads of development were underway, the telegraph goes back at least to Samuel Morse's demonstration in 1844, and the telephone to that of Alexander Graham Bell in 1874, while Guglielmo Marconi patented radio in 1896. A near frenzy of invention, engineering improvements, and building has characterized the industrialized world across these centuries, providing some context for the challenges of today's developing countries—also now grappling with the modern information and communications technologies sweeping across rich and poor worlds alike.</w:t>
      </w:r>
    </w:p>
    <w:p w:rsidR="007D46DA" w:rsidRDefault="007D46DA" w:rsidP="007D46DA"/>
    <w:p w:rsidR="007D46DA" w:rsidRPr="00E04D31" w:rsidRDefault="007D46DA" w:rsidP="007D46DA">
      <w:r>
        <w:t xml:space="preserve">One of the consequences of the temporally-compressed effort to create modern infrastructures in low- and middle-income societies is that the portion of GDP devoted to infrastructure spending is often higher, sometimes considerably higher, in those countries than in those with much greater income and wealth (at the same time that they face major expenditure pressures for catch-up in education and health). </w:t>
      </w:r>
      <w:r w:rsidRPr="00E04D31">
        <w:t xml:space="preserve">In addition to the burden of heavy construction and start-up costs, </w:t>
      </w:r>
      <w:r>
        <w:t>their</w:t>
      </w:r>
      <w:r w:rsidRPr="00E04D31">
        <w:t xml:space="preserve"> efforts are often compromised by ineffective governments and poor supplies of other soft infrastructures (including knowledge systems) that are central to successfully building and maintaining hard infrastructure and providing access to it. The higher population growth rates of many developing countries have added extra burdens to efforts to expand rates of infrastructure access.</w:t>
      </w:r>
      <w:r>
        <w:t xml:space="preserve"> </w:t>
      </w:r>
      <w:r w:rsidRPr="00E04D31">
        <w:t>As Doyle and Havl</w:t>
      </w:r>
      <w:r>
        <w:t>i</w:t>
      </w:r>
      <w:r w:rsidRPr="00E04D31">
        <w:t xml:space="preserve">ck </w:t>
      </w:r>
      <w:r w:rsidR="00F7383F">
        <w:fldChar w:fldCharType="begin"/>
      </w:r>
      <w:r>
        <w:instrText xml:space="preserve"> ADDIN ZOTERO_ITEM {"citationID":"2p0p6001hv","properties":{"formattedCitation":"(2009, 362)","plainCitation":"(2009, 362)"},"citationItems":[{"id":205,"uris":["http://zotero.org/groups/4482/items/2GX8GTQR"],"uri":["http://zotero.org/groups/4482/items/2GX8GTQR"],"locator":"362","label":"page","suppress-author":true}]} </w:instrText>
      </w:r>
      <w:r w:rsidR="00F7383F">
        <w:fldChar w:fldCharType="separate"/>
      </w:r>
      <w:r>
        <w:t>(2009, 362)</w:t>
      </w:r>
      <w:r w:rsidR="00F7383F">
        <w:fldChar w:fldCharType="end"/>
      </w:r>
      <w:r w:rsidRPr="00E04D31">
        <w:t xml:space="preserve"> pointed out:</w:t>
      </w:r>
    </w:p>
    <w:p w:rsidR="007D46DA" w:rsidRPr="00E04D31" w:rsidRDefault="007D46DA" w:rsidP="007D46DA"/>
    <w:p w:rsidR="007D46DA" w:rsidRPr="00E04D31" w:rsidRDefault="007D46DA" w:rsidP="007D46DA">
      <w:pPr>
        <w:ind w:left="810" w:right="720"/>
      </w:pPr>
      <w:r w:rsidRPr="00E04D31">
        <w:t>Nearly 82 million additional people in Africa, 418 million in Asia, and 79 million in Latin America gained access to a water supply through a house connection during the 1990s. Yet the population increase over this same period of time was even greater.</w:t>
      </w:r>
    </w:p>
    <w:p w:rsidR="007D46DA" w:rsidRPr="00E04D31" w:rsidRDefault="007D46DA" w:rsidP="007D46DA"/>
    <w:p w:rsidR="007D46DA" w:rsidRPr="00E04D31" w:rsidRDefault="007D46DA" w:rsidP="007D46DA">
      <w:r w:rsidRPr="00E04D31">
        <w:t>At the same time, in many developing countries</w:t>
      </w:r>
      <w:r>
        <w:t>,</w:t>
      </w:r>
      <w:r w:rsidRPr="00E04D31">
        <w:t xml:space="preserve"> widely dispersed populations across large geographic areas preclude economies of scale</w:t>
      </w:r>
      <w:r w:rsidRPr="00EB0904">
        <w:t xml:space="preserve"> </w:t>
      </w:r>
      <w:r>
        <w:t xml:space="preserve">in </w:t>
      </w:r>
      <w:r w:rsidRPr="00E04D31">
        <w:t>infrastructure</w:t>
      </w:r>
      <w:r>
        <w:t xml:space="preserve"> projects</w:t>
      </w:r>
      <w:r w:rsidRPr="00E04D31">
        <w:t xml:space="preserve">. Differences in climate, geography, and natural resources further make the task far more difficult </w:t>
      </w:r>
      <w:r>
        <w:t>in</w:t>
      </w:r>
      <w:r w:rsidRPr="00E04D31">
        <w:t xml:space="preserve"> some </w:t>
      </w:r>
      <w:r>
        <w:t xml:space="preserve">countries </w:t>
      </w:r>
      <w:r w:rsidRPr="00E04D31">
        <w:t>than others.</w:t>
      </w:r>
    </w:p>
    <w:p w:rsidR="007D46DA" w:rsidRPr="00E04D31" w:rsidRDefault="007D46DA" w:rsidP="007D46DA">
      <w:pPr>
        <w:pStyle w:val="BodyText"/>
        <w:spacing w:before="0" w:after="0"/>
        <w:jc w:val="left"/>
      </w:pPr>
    </w:p>
    <w:p w:rsidR="007D46DA" w:rsidRDefault="007D46DA" w:rsidP="007D46DA">
      <w:pPr>
        <w:pStyle w:val="BodyText"/>
        <w:spacing w:before="0" w:after="0"/>
        <w:jc w:val="left"/>
      </w:pPr>
      <w:r w:rsidRPr="00E04D31">
        <w:t>For all countries, rich or poor, the nature of infrastructure present</w:t>
      </w:r>
      <w:r>
        <w:t>s</w:t>
      </w:r>
      <w:r w:rsidRPr="00E04D31">
        <w:t xml:space="preserve"> some common challenges. Projects are generally large-scale, expensive, require long time frames to completion, and have long payback periods. Successful projects need long-range systemic planning and long-term funding.</w:t>
      </w:r>
      <w:r>
        <w:t xml:space="preserve"> </w:t>
      </w:r>
      <w:r w:rsidRPr="00E04D31">
        <w:t xml:space="preserve">However, </w:t>
      </w:r>
      <w:r>
        <w:t>most</w:t>
      </w:r>
      <w:r w:rsidRPr="00E04D31">
        <w:t xml:space="preserve"> political processes do not favor either, and the combined result of all these factors is all-too-frequently </w:t>
      </w:r>
      <w:r>
        <w:t>delays and cost overruns, even assuming they are eventually completed (see</w:t>
      </w:r>
      <w:r w:rsidRPr="00E04D31">
        <w:t xml:space="preserve"> Box 1.</w:t>
      </w:r>
      <w:r>
        <w:t>2)</w:t>
      </w:r>
      <w:r w:rsidRPr="00E04D31">
        <w:t>. In addition, the now widely recognized need to move to sustainable forms of infrastructure</w:t>
      </w:r>
      <w:r>
        <w:t>, which</w:t>
      </w:r>
      <w:r w:rsidRPr="00E04D31">
        <w:t xml:space="preserve"> </w:t>
      </w:r>
      <w:r>
        <w:t xml:space="preserve">can lead to greater social benefit and </w:t>
      </w:r>
      <w:r w:rsidRPr="00E04D31">
        <w:t>less environmental and ecosystem degradation</w:t>
      </w:r>
      <w:r>
        <w:t>,</w:t>
      </w:r>
      <w:r w:rsidRPr="00E04D31">
        <w:t xml:space="preserve"> have added new challenges</w:t>
      </w:r>
      <w:r>
        <w:t xml:space="preserve"> for </w:t>
      </w:r>
      <w:r w:rsidRPr="00E04D31">
        <w:t>rich and poor countries</w:t>
      </w:r>
      <w:r>
        <w:t xml:space="preserve"> alike</w:t>
      </w:r>
      <w:r w:rsidRPr="00E04D31">
        <w:t>.</w:t>
      </w:r>
    </w:p>
    <w:p w:rsidR="007D46DA" w:rsidRPr="00EB0904" w:rsidRDefault="007D46DA" w:rsidP="007D46DA">
      <w:pPr>
        <w:pStyle w:val="BodyText"/>
        <w:spacing w:before="0" w:after="0"/>
        <w:jc w:val="left"/>
      </w:pPr>
    </w:p>
    <w:p w:rsidR="007D46DA" w:rsidRPr="008A3F52" w:rsidRDefault="007D46DA" w:rsidP="000016D4">
      <w:pPr>
        <w:pStyle w:val="BodyText"/>
        <w:pBdr>
          <w:top w:val="single" w:sz="4" w:space="1" w:color="auto"/>
          <w:left w:val="single" w:sz="4" w:space="0" w:color="auto"/>
          <w:bottom w:val="single" w:sz="4" w:space="1" w:color="auto"/>
          <w:right w:val="single" w:sz="4" w:space="4" w:color="auto"/>
        </w:pBdr>
        <w:shd w:val="clear" w:color="auto" w:fill="D9D9D9" w:themeFill="background1" w:themeFillShade="D9"/>
        <w:spacing w:before="0" w:after="0"/>
        <w:ind w:left="1152" w:right="1152"/>
        <w:jc w:val="left"/>
        <w:rPr>
          <w:b/>
        </w:rPr>
      </w:pPr>
      <w:r w:rsidRPr="008A3F52">
        <w:rPr>
          <w:b/>
        </w:rPr>
        <w:t>Box 1.2 The lumpy nature of large-scale infrastructure projects</w:t>
      </w:r>
    </w:p>
    <w:p w:rsidR="007D46DA" w:rsidRPr="008A3F52" w:rsidRDefault="007D46DA" w:rsidP="000016D4">
      <w:pPr>
        <w:pStyle w:val="BodyText"/>
        <w:pBdr>
          <w:top w:val="single" w:sz="4" w:space="1" w:color="auto"/>
          <w:left w:val="single" w:sz="4" w:space="0" w:color="auto"/>
          <w:bottom w:val="single" w:sz="4" w:space="1" w:color="auto"/>
          <w:right w:val="single" w:sz="4" w:space="4" w:color="auto"/>
        </w:pBdr>
        <w:shd w:val="clear" w:color="auto" w:fill="D9D9D9" w:themeFill="background1" w:themeFillShade="D9"/>
        <w:spacing w:before="0" w:after="0"/>
        <w:ind w:left="1152" w:right="1152"/>
        <w:jc w:val="left"/>
      </w:pPr>
      <w:r w:rsidRPr="008A3F52">
        <w:t>It is fitting in a way that our debates over infrastructure have been so long and drawn out. The undertakings themselves are by definition large, expensive, and protracted. The latest effort to ensure an adequate water supply for New York City, for example, has already stretched through the administrations of six mayors. The project was conceived in 1954, but construction did not begin until 1970, and fiscal crises halted work several times. The city completed excavation for the $1.75 billion second phase in 2006, leaving two more stages still to be done. Work will go on until at least 2020. . . Like virtually all undertakings of this kind, New York’s tunnel is little remarked but essential.</w:t>
      </w:r>
    </w:p>
    <w:p w:rsidR="007D46DA" w:rsidRPr="00DE1C26" w:rsidRDefault="007D46DA" w:rsidP="000016D4">
      <w:pPr>
        <w:pStyle w:val="BodyText"/>
        <w:pBdr>
          <w:top w:val="single" w:sz="4" w:space="1" w:color="auto"/>
          <w:left w:val="single" w:sz="4" w:space="0" w:color="auto"/>
          <w:bottom w:val="single" w:sz="4" w:space="1" w:color="auto"/>
          <w:right w:val="single" w:sz="4" w:space="4" w:color="auto"/>
        </w:pBdr>
        <w:shd w:val="clear" w:color="auto" w:fill="D9D9D9" w:themeFill="background1" w:themeFillShade="D9"/>
        <w:spacing w:before="0" w:after="0"/>
        <w:ind w:left="1152" w:right="1152"/>
        <w:jc w:val="left"/>
        <w:rPr>
          <w:i/>
        </w:rPr>
      </w:pPr>
    </w:p>
    <w:p w:rsidR="007D46DA" w:rsidRPr="00E04D31" w:rsidRDefault="007D46DA" w:rsidP="000016D4">
      <w:pPr>
        <w:pStyle w:val="BodyText"/>
        <w:pBdr>
          <w:top w:val="single" w:sz="4" w:space="1" w:color="auto"/>
          <w:left w:val="single" w:sz="4" w:space="0" w:color="auto"/>
          <w:bottom w:val="single" w:sz="4" w:space="1" w:color="auto"/>
          <w:right w:val="single" w:sz="4" w:space="4" w:color="auto"/>
        </w:pBdr>
        <w:shd w:val="clear" w:color="auto" w:fill="D9D9D9" w:themeFill="background1" w:themeFillShade="D9"/>
        <w:spacing w:before="0" w:after="0"/>
        <w:ind w:left="1152" w:right="1152"/>
        <w:jc w:val="left"/>
      </w:pPr>
      <w:r>
        <w:t xml:space="preserve">Bruce Seely </w:t>
      </w:r>
      <w:r w:rsidRPr="00DE1C26">
        <w:t>“The Secret Is the System”</w:t>
      </w:r>
      <w:r>
        <w:t xml:space="preserve"> </w:t>
      </w:r>
      <w:r w:rsidRPr="00DE1C26">
        <w:rPr>
          <w:i/>
        </w:rPr>
        <w:t>Wilson Quarterly</w:t>
      </w:r>
      <w:r>
        <w:rPr>
          <w:i/>
        </w:rPr>
        <w:t xml:space="preserve"> </w:t>
      </w:r>
      <w:r w:rsidRPr="00DE1C26">
        <w:t>Spring 2008: 47-48</w:t>
      </w:r>
      <w:r>
        <w:t xml:space="preserve"> </w:t>
      </w:r>
      <w:r w:rsidR="00F7383F">
        <w:fldChar w:fldCharType="begin"/>
      </w:r>
      <w:r>
        <w:instrText xml:space="preserve"> ADDIN ZOTERO_ITEM {"citationID":"7ptFBEHv","properties":{"formattedCitation":"(Seely 2008)","plainCitation":"(Seely 2008)"},"citationItems":[{"id":7,"uris":["http://zotero.org/groups/4482/items/TPIJAPBF"],"uri":["http://zotero.org/groups/4482/items/TPIJAPBF"]}]} </w:instrText>
      </w:r>
      <w:r w:rsidR="00F7383F">
        <w:fldChar w:fldCharType="separate"/>
      </w:r>
      <w:r>
        <w:rPr>
          <w:noProof/>
        </w:rPr>
        <w:t>(Seely 2008)</w:t>
      </w:r>
      <w:r w:rsidR="00F7383F">
        <w:fldChar w:fldCharType="end"/>
      </w:r>
    </w:p>
    <w:p w:rsidR="007D46DA" w:rsidRDefault="007D46DA" w:rsidP="007D46DA">
      <w:pPr>
        <w:pStyle w:val="BodyText"/>
        <w:spacing w:before="0" w:after="0"/>
        <w:ind w:right="1152"/>
      </w:pPr>
    </w:p>
    <w:p w:rsidR="007D46DA" w:rsidRDefault="007D46DA" w:rsidP="007D46DA">
      <w:pPr>
        <w:pStyle w:val="BodyText"/>
        <w:spacing w:before="0" w:after="0"/>
        <w:jc w:val="left"/>
      </w:pPr>
      <w:r>
        <w:t>All too often, t</w:t>
      </w:r>
      <w:r w:rsidRPr="00E04D31">
        <w:t>he role of infrastructure in supporting and extending human development and well-being has been overlooked in past efforts whose specific purpose was to improve the human condition. There are undoubtedly many reasons for this. One is that many such efforts have focused on only one aspect of development (e.g., a literacy program or an immunization clinic operating in isolation from a broader development initiative). As important as such singular efforts may be, many improvements can be realized only if programs cut across multiple development sectors, such as concomitantly advancing education and developing job opportunities</w:t>
      </w:r>
      <w:r>
        <w:t>. I</w:t>
      </w:r>
      <w:r w:rsidRPr="00E04D31">
        <w:t xml:space="preserve">nfrastructure </w:t>
      </w:r>
      <w:r>
        <w:t>has a vital role to play in</w:t>
      </w:r>
      <w:r w:rsidRPr="00E04D31">
        <w:t xml:space="preserve"> such crosscutting efforts.</w:t>
      </w:r>
    </w:p>
    <w:p w:rsidR="007D46DA" w:rsidRDefault="007D46DA" w:rsidP="007D46DA">
      <w:pPr>
        <w:pStyle w:val="BodyText"/>
        <w:spacing w:before="0" w:after="0"/>
        <w:jc w:val="left"/>
      </w:pPr>
    </w:p>
    <w:p w:rsidR="007D46DA" w:rsidRDefault="007D46DA" w:rsidP="007D46DA">
      <w:pPr>
        <w:pStyle w:val="BodyText"/>
        <w:spacing w:before="0" w:after="0"/>
        <w:jc w:val="left"/>
      </w:pPr>
      <w:r>
        <w:t>E</w:t>
      </w:r>
      <w:r w:rsidRPr="00E04D31">
        <w:t xml:space="preserve">ven when the importance of crosscutting efforts is recognized, infrastructure is all too seldom represented at the table. Certainly the long time frame and capital requirements of many infrastructure projects are part of the reason for this. At a more fundamental level, however, infrastructure is often viewed as “boring” or negatively as “technical.” As Star </w:t>
      </w:r>
      <w:r w:rsidR="00F7383F">
        <w:fldChar w:fldCharType="begin"/>
      </w:r>
      <w:r>
        <w:instrText xml:space="preserve"> ADDIN ZOTERO_ITEM {"citationID":"173387g3d9","properties":{"formattedCitation":"{\\rtf (1999, 377\\uc0\\u8211{}378)}","plainCitation":"(1999, 377–378)"},"citationItems":[{"id":991,"uris":["http://zotero.org/groups/4482/items/SQGEC3MF"],"uri":["http://zotero.org/groups/4482/items/SQGEC3MF"],"locator":"377-378","label":"page","suppress-author":true}]} </w:instrText>
      </w:r>
      <w:r w:rsidR="00F7383F">
        <w:fldChar w:fldCharType="separate"/>
      </w:r>
      <w:r w:rsidRPr="003E4031">
        <w:t>(1999, 377–378)</w:t>
      </w:r>
      <w:r w:rsidR="00F7383F">
        <w:fldChar w:fldCharType="end"/>
      </w:r>
      <w:r w:rsidRPr="00E04D31">
        <w:t xml:space="preserve"> noted: </w:t>
      </w:r>
    </w:p>
    <w:p w:rsidR="007D46DA" w:rsidRPr="00E04D31" w:rsidRDefault="007D46DA" w:rsidP="007D46DA">
      <w:pPr>
        <w:pStyle w:val="BodyText"/>
        <w:spacing w:before="0" w:after="0"/>
        <w:jc w:val="left"/>
      </w:pPr>
    </w:p>
    <w:p w:rsidR="007D46DA" w:rsidRPr="00E04D31" w:rsidRDefault="007D46DA" w:rsidP="007D46DA">
      <w:pPr>
        <w:pStyle w:val="BodyText"/>
        <w:spacing w:before="0" w:after="0"/>
        <w:ind w:left="720" w:right="1008"/>
        <w:jc w:val="left"/>
      </w:pPr>
      <w:r w:rsidRPr="00E04D31">
        <w:t>Many aspects of infrastructure are singularly unexciting. They appear as lists of numbers and technical specifications, or as hidden mechanisms subtending those processes more familiar to social scientists. It takes some digging to unearth the dramas inherent in system design creating, to restore narrative to what appears to be dead lists.</w:t>
      </w:r>
    </w:p>
    <w:p w:rsidR="007D46DA" w:rsidRPr="00E04D31" w:rsidRDefault="007D46DA" w:rsidP="007D46DA">
      <w:pPr>
        <w:pStyle w:val="BodyText"/>
        <w:spacing w:before="0" w:after="0"/>
        <w:ind w:left="720" w:right="1008"/>
        <w:jc w:val="left"/>
      </w:pPr>
    </w:p>
    <w:p w:rsidR="007D46DA" w:rsidRDefault="007D46DA" w:rsidP="007D46DA">
      <w:r>
        <w:t xml:space="preserve">Still, there are </w:t>
      </w:r>
      <w:r w:rsidRPr="00BB680F">
        <w:t>bright spot</w:t>
      </w:r>
      <w:r>
        <w:t>s</w:t>
      </w:r>
      <w:r w:rsidRPr="00BB680F">
        <w:t xml:space="preserve"> amidst these many challenges</w:t>
      </w:r>
      <w:r>
        <w:t>, many related to the revolution we are seeing in</w:t>
      </w:r>
      <w:r w:rsidRPr="00BB680F">
        <w:t xml:space="preserve"> </w:t>
      </w:r>
      <w:r>
        <w:t>i</w:t>
      </w:r>
      <w:r w:rsidRPr="00BB680F">
        <w:t xml:space="preserve">nformation and communication technologies. ICTs are enabling developing countries and regions to “leapfrog” </w:t>
      </w:r>
      <w:r>
        <w:t xml:space="preserve">the development of expensive landlines and to accelerate greatly their development of and access to systems based on modern computing and telecommunications capabilities, including </w:t>
      </w:r>
      <w:r w:rsidRPr="00BB680F">
        <w:t>banking services, market information, and specialized health resources</w:t>
      </w:r>
      <w:r>
        <w:t>, even</w:t>
      </w:r>
      <w:r w:rsidRPr="00BB680F">
        <w:t xml:space="preserve"> in remote areas where roads and landlines are lacking. </w:t>
      </w:r>
      <w:r>
        <w:t>In developed and developing worlds alike, t</w:t>
      </w:r>
      <w:r w:rsidRPr="00BB680F">
        <w:t xml:space="preserve">he more efficient use of infrastructures through sophisticated monitoring and </w:t>
      </w:r>
      <w:r>
        <w:t>communication systems embedded in roads and other forms of infrastructure—smart infrastructure—</w:t>
      </w:r>
      <w:r w:rsidRPr="00BB680F">
        <w:t xml:space="preserve">has the potential for </w:t>
      </w:r>
      <w:r>
        <w:t xml:space="preserve">improving the efficiency and environmental friendliness of infrastructure </w:t>
      </w:r>
      <w:r w:rsidR="00F7383F">
        <w:fldChar w:fldCharType="begin"/>
      </w:r>
      <w:r>
        <w:instrText xml:space="preserve"> ADDIN ZOTERO_ITEM {"citationID":"1bb32o4aiv","properties":{"formattedCitation":"{\\rtf (F\\uc0\\u233{}lio 2011; The Economist 2010)}","plainCitation":"(Félio 2011; The Economist 2010)"},"citationItems":[{"id":1356,"uris":["http://zotero.org/groups/4482/items/W9KRS4JC"],"uri":["http://zotero.org/groups/4482/items/W9KRS4JC"],"label":"page"},{"id":1221,"uris":["http://zotero.org/groups/4482/items/MGRFBKAW"],"uri":["http://zotero.org/groups/4482/items/MGRFBKAW"],"label":"page"}]} </w:instrText>
      </w:r>
      <w:r w:rsidR="00F7383F">
        <w:fldChar w:fldCharType="separate"/>
      </w:r>
      <w:r w:rsidRPr="003E4031">
        <w:t>(Félio 2011; The Economist 2010)</w:t>
      </w:r>
      <w:r w:rsidR="00F7383F">
        <w:fldChar w:fldCharType="end"/>
      </w:r>
      <w:r w:rsidRPr="00BB680F">
        <w:t>.</w:t>
      </w:r>
    </w:p>
    <w:p w:rsidR="007D46DA" w:rsidRDefault="007D46DA" w:rsidP="007D46DA"/>
    <w:p w:rsidR="007D46DA" w:rsidRDefault="007D46DA" w:rsidP="007D46DA">
      <w:r w:rsidRPr="00BB680F">
        <w:t>Ultimately, however, the promise of information and communications technologies is realized through human agency—specifically, through the discovery, transfer, and use of innovations</w:t>
      </w:r>
      <w:r>
        <w:t xml:space="preserve"> (see Box 1.3)</w:t>
      </w:r>
      <w:r w:rsidRPr="00BB680F">
        <w:t>. These actions require, and are manifestations of, knowledge systems</w:t>
      </w:r>
      <w:r>
        <w:t xml:space="preserve">. </w:t>
      </w:r>
    </w:p>
    <w:p w:rsidR="007D46DA" w:rsidRPr="00BB680F" w:rsidRDefault="007D46DA" w:rsidP="007D46DA"/>
    <w:p w:rsidR="007D46DA" w:rsidRPr="00BB680F" w:rsidRDefault="007D46DA" w:rsidP="00877E30">
      <w:pPr>
        <w:pBdr>
          <w:top w:val="single" w:sz="4" w:space="1" w:color="auto"/>
          <w:left w:val="single" w:sz="4" w:space="4" w:color="auto"/>
          <w:bottom w:val="single" w:sz="4" w:space="1" w:color="auto"/>
          <w:right w:val="single" w:sz="4" w:space="4" w:color="auto"/>
        </w:pBdr>
        <w:shd w:val="clear" w:color="auto" w:fill="D9D9D9" w:themeFill="background1" w:themeFillShade="D9"/>
        <w:ind w:left="1152" w:right="1152"/>
        <w:rPr>
          <w:b/>
        </w:rPr>
      </w:pPr>
      <w:r w:rsidRPr="00BB680F">
        <w:rPr>
          <w:b/>
        </w:rPr>
        <w:t>Box 1.</w:t>
      </w:r>
      <w:r>
        <w:rPr>
          <w:b/>
        </w:rPr>
        <w:t>3</w:t>
      </w:r>
      <w:r w:rsidRPr="00BB680F">
        <w:rPr>
          <w:b/>
        </w:rPr>
        <w:t xml:space="preserve"> Realizing ICT’s promise requires soft infrastructures as well</w:t>
      </w:r>
    </w:p>
    <w:p w:rsidR="007D46DA" w:rsidRDefault="007D46DA" w:rsidP="00877E30">
      <w:pPr>
        <w:pBdr>
          <w:top w:val="single" w:sz="4" w:space="1" w:color="auto"/>
          <w:left w:val="single" w:sz="4" w:space="4" w:color="auto"/>
          <w:bottom w:val="single" w:sz="4" w:space="1" w:color="auto"/>
          <w:right w:val="single" w:sz="4" w:space="4" w:color="auto"/>
        </w:pBdr>
        <w:shd w:val="clear" w:color="auto" w:fill="D9D9D9" w:themeFill="background1" w:themeFillShade="D9"/>
        <w:ind w:left="1152" w:right="1152"/>
      </w:pPr>
      <w:r w:rsidRPr="00BB680F">
        <w:t>If I were to summarize everything I learned through research in ICT4D</w:t>
      </w:r>
      <w:r>
        <w:t>*</w:t>
      </w:r>
      <w:r w:rsidRPr="00BB680F">
        <w:t xml:space="preserve">, it would be this: technology—no matter how well designed—is only a </w:t>
      </w:r>
      <w:r w:rsidRPr="00BC3FE0">
        <w:rPr>
          <w:i/>
          <w:iCs/>
        </w:rPr>
        <w:t>magnifier of human intent and</w:t>
      </w:r>
      <w:r w:rsidRPr="00BC3FE0">
        <w:rPr>
          <w:i/>
        </w:rPr>
        <w:t xml:space="preserve"> </w:t>
      </w:r>
      <w:r w:rsidRPr="00BC3FE0">
        <w:rPr>
          <w:i/>
          <w:iCs/>
        </w:rPr>
        <w:t>capacity</w:t>
      </w:r>
      <w:r w:rsidRPr="00BB680F">
        <w:t xml:space="preserve">. It is not a substitute. If you have a foundation of competent, well-intentioned people, then the appropriate technology can amplify their capacity and lead to amazing achievements. But, in circumstances with negative human intent, as in the case of corrupt government bureaucrats, or minimal capacity, as in the case of people who have been denied a basic education, no amount of technology will turn things around. </w:t>
      </w:r>
    </w:p>
    <w:p w:rsidR="007D46DA" w:rsidRPr="00BB680F" w:rsidRDefault="007D46DA" w:rsidP="00877E30">
      <w:pPr>
        <w:pBdr>
          <w:top w:val="single" w:sz="4" w:space="1" w:color="auto"/>
          <w:left w:val="single" w:sz="4" w:space="4" w:color="auto"/>
          <w:bottom w:val="single" w:sz="4" w:space="1" w:color="auto"/>
          <w:right w:val="single" w:sz="4" w:space="4" w:color="auto"/>
        </w:pBdr>
        <w:shd w:val="clear" w:color="auto" w:fill="D9D9D9" w:themeFill="background1" w:themeFillShade="D9"/>
        <w:ind w:left="1152" w:right="1152"/>
      </w:pPr>
    </w:p>
    <w:p w:rsidR="007D46DA" w:rsidRDefault="007D46DA" w:rsidP="00877E30">
      <w:pPr>
        <w:pBdr>
          <w:top w:val="single" w:sz="4" w:space="1" w:color="auto"/>
          <w:left w:val="single" w:sz="4" w:space="4" w:color="auto"/>
          <w:bottom w:val="single" w:sz="4" w:space="1" w:color="auto"/>
          <w:right w:val="single" w:sz="4" w:space="4" w:color="auto"/>
        </w:pBdr>
        <w:shd w:val="clear" w:color="auto" w:fill="D9D9D9" w:themeFill="background1" w:themeFillShade="D9"/>
        <w:ind w:left="1152" w:right="1152"/>
      </w:pPr>
      <w:r w:rsidRPr="00316EAA">
        <w:t xml:space="preserve">Kentaro Toyama “Can Technology End Poverty?” </w:t>
      </w:r>
      <w:r w:rsidRPr="00F249CC">
        <w:rPr>
          <w:i/>
        </w:rPr>
        <w:t>Boston Review</w:t>
      </w:r>
      <w:r>
        <w:rPr>
          <w:b/>
        </w:rPr>
        <w:t xml:space="preserve"> </w:t>
      </w:r>
      <w:r w:rsidRPr="00F249CC">
        <w:t>N</w:t>
      </w:r>
      <w:r w:rsidRPr="00316EAA">
        <w:t xml:space="preserve">ovember/December 2010: 15 </w:t>
      </w:r>
      <w:r w:rsidR="00F7383F" w:rsidRPr="00316EAA">
        <w:fldChar w:fldCharType="begin"/>
      </w:r>
      <w:r w:rsidRPr="00316EAA">
        <w:instrText xml:space="preserve"> ADDIN ZOTERO_ITEM {"citationID":"JIaudBcu","properties":{"formattedCitation":"(Toyama 2010)","plainCitation":"(Toyama 2010)"},"citationItems":[{"id":1358,"uris":["http://zotero.org/groups/4482/items/TVASAP6E"],"uri":["http://zotero.org/groups/4482/items/TVASAP6E"]}]} </w:instrText>
      </w:r>
      <w:r w:rsidR="00F7383F" w:rsidRPr="00316EAA">
        <w:fldChar w:fldCharType="separate"/>
      </w:r>
      <w:r w:rsidRPr="00316EAA">
        <w:rPr>
          <w:noProof/>
        </w:rPr>
        <w:t>(Toyama 2010)</w:t>
      </w:r>
      <w:r w:rsidR="00F7383F" w:rsidRPr="00316EAA">
        <w:fldChar w:fldCharType="end"/>
      </w:r>
    </w:p>
    <w:p w:rsidR="007D46DA" w:rsidRDefault="007D46DA" w:rsidP="00877E30">
      <w:pPr>
        <w:pBdr>
          <w:top w:val="single" w:sz="4" w:space="1" w:color="auto"/>
          <w:left w:val="single" w:sz="4" w:space="4" w:color="auto"/>
          <w:bottom w:val="single" w:sz="4" w:space="1" w:color="auto"/>
          <w:right w:val="single" w:sz="4" w:space="4" w:color="auto"/>
        </w:pBdr>
        <w:shd w:val="clear" w:color="auto" w:fill="D9D9D9" w:themeFill="background1" w:themeFillShade="D9"/>
        <w:ind w:left="1152" w:right="1152"/>
        <w:jc w:val="right"/>
      </w:pPr>
    </w:p>
    <w:p w:rsidR="007D46DA" w:rsidRDefault="007D46DA" w:rsidP="00877E30">
      <w:pPr>
        <w:pBdr>
          <w:top w:val="single" w:sz="4" w:space="1" w:color="auto"/>
          <w:left w:val="single" w:sz="4" w:space="4" w:color="auto"/>
          <w:bottom w:val="single" w:sz="4" w:space="1" w:color="auto"/>
          <w:right w:val="single" w:sz="4" w:space="4" w:color="auto"/>
        </w:pBdr>
        <w:shd w:val="clear" w:color="auto" w:fill="D9D9D9" w:themeFill="background1" w:themeFillShade="D9"/>
        <w:ind w:left="1152" w:right="1152"/>
      </w:pPr>
      <w:r>
        <w:t>* Information and Communication Technologies for Development</w:t>
      </w:r>
    </w:p>
    <w:p w:rsidR="007D46DA" w:rsidRPr="00BB680F" w:rsidRDefault="007D46DA" w:rsidP="00877E30">
      <w:pPr>
        <w:pBdr>
          <w:top w:val="single" w:sz="4" w:space="1" w:color="auto"/>
          <w:left w:val="single" w:sz="4" w:space="4" w:color="auto"/>
          <w:bottom w:val="single" w:sz="4" w:space="1" w:color="auto"/>
          <w:right w:val="single" w:sz="4" w:space="4" w:color="auto"/>
        </w:pBdr>
        <w:shd w:val="clear" w:color="auto" w:fill="D9D9D9" w:themeFill="background1" w:themeFillShade="D9"/>
        <w:ind w:left="1152" w:right="1152"/>
      </w:pPr>
      <w:r>
        <w:t>Italics in original.</w:t>
      </w:r>
    </w:p>
    <w:p w:rsidR="007D46DA" w:rsidRDefault="007D46DA" w:rsidP="007D46DA">
      <w:pPr>
        <w:pStyle w:val="BodyText"/>
        <w:spacing w:before="0" w:after="0"/>
        <w:jc w:val="left"/>
      </w:pPr>
    </w:p>
    <w:p w:rsidR="007D46DA" w:rsidRDefault="007D46DA" w:rsidP="007D46DA">
      <w:pPr>
        <w:pStyle w:val="BodyText"/>
        <w:spacing w:before="0" w:after="0"/>
        <w:jc w:val="left"/>
      </w:pPr>
    </w:p>
    <w:p w:rsidR="007D46DA" w:rsidRDefault="00877E30" w:rsidP="00877E30">
      <w:pPr>
        <w:pStyle w:val="Heading2"/>
      </w:pPr>
      <w:bookmarkStart w:id="19" w:name="_Toc323232038"/>
      <w:r>
        <w:t xml:space="preserve"> </w:t>
      </w:r>
      <w:bookmarkStart w:id="20" w:name="_Toc200095258"/>
      <w:r w:rsidR="007D46DA">
        <w:t>Looking Toward</w:t>
      </w:r>
      <w:r w:rsidR="007D46DA" w:rsidRPr="00E04D31">
        <w:t xml:space="preserve"> the Future of Global Infrastructure</w:t>
      </w:r>
      <w:bookmarkEnd w:id="19"/>
      <w:bookmarkEnd w:id="20"/>
    </w:p>
    <w:p w:rsidR="007D46DA" w:rsidRDefault="007D46DA" w:rsidP="00877E30">
      <w:pPr>
        <w:pStyle w:val="Heading3"/>
      </w:pPr>
      <w:bookmarkStart w:id="21" w:name="_Toc323232039"/>
      <w:bookmarkStart w:id="22" w:name="_Toc200095259"/>
      <w:r>
        <w:t>Goals and targets</w:t>
      </w:r>
      <w:bookmarkEnd w:id="21"/>
      <w:bookmarkEnd w:id="22"/>
    </w:p>
    <w:p w:rsidR="007D46DA" w:rsidRDefault="007D46DA" w:rsidP="007D46DA">
      <w:pPr>
        <w:pStyle w:val="BodyText"/>
        <w:spacing w:before="0" w:after="0"/>
        <w:jc w:val="left"/>
      </w:pPr>
      <w:r>
        <w:t>Improving infrastructure has an important place in many discussions about</w:t>
      </w:r>
      <w:r w:rsidRPr="00670DA5">
        <w:t xml:space="preserve"> </w:t>
      </w:r>
      <w:r>
        <w:t xml:space="preserve">international development and this is increasingly reflected in a number of specific and general goal sets. For example, the </w:t>
      </w:r>
      <w:r w:rsidRPr="00E04D31">
        <w:t>Millennium Development Goals (MDGs)</w:t>
      </w:r>
      <w:r>
        <w:t xml:space="preserve">, </w:t>
      </w:r>
      <w:r w:rsidRPr="00E04D31">
        <w:t>adopted by the 189 member states of the United Nations in 2000</w:t>
      </w:r>
      <w:r w:rsidRPr="00557C45">
        <w:t xml:space="preserve"> </w:t>
      </w:r>
      <w:r>
        <w:t xml:space="preserve">encompass eight goals and 21 quantifiable targets measured by 60 indicators for reducing poverty and enhancing development. </w:t>
      </w:r>
      <w:r w:rsidRPr="00E04D31">
        <w:t xml:space="preserve">Fay et al. </w:t>
      </w:r>
      <w:r w:rsidR="00F7383F">
        <w:fldChar w:fldCharType="begin"/>
      </w:r>
      <w:r>
        <w:instrText xml:space="preserve"> ADDIN ZOTERO_ITEM {"citationID":"4ej7qop1h","properties":{"formattedCitation":"(2005, 1276)","plainCitation":"(2005, 1276)"},"citationItems":[{"id":648,"uris":["http://zotero.org/groups/4482/items/WB5KM3K2"],"uri":["http://zotero.org/groups/4482/items/WB5KM3K2"],"locator":"1276","label":"page","suppress-author":true}]} </w:instrText>
      </w:r>
      <w:r w:rsidR="00F7383F">
        <w:fldChar w:fldCharType="separate"/>
      </w:r>
      <w:r>
        <w:t>(2005, 1276)</w:t>
      </w:r>
      <w:r w:rsidR="00F7383F">
        <w:fldChar w:fldCharType="end"/>
      </w:r>
      <w:r>
        <w:t xml:space="preserve"> </w:t>
      </w:r>
      <w:r w:rsidRPr="00E04D31">
        <w:t>pointed out</w:t>
      </w:r>
      <w:r>
        <w:t xml:space="preserve"> that “</w:t>
      </w:r>
      <w:r w:rsidRPr="00E04D31">
        <w:t>achieving the health MDGs will require more than health and education interventions. In particular, infrastructure services have an important role to play, and a failure to recognize this in planning MDG strategies will risk undermining success.</w:t>
      </w:r>
      <w:r>
        <w:t>” Infrastructure appears explicitly, however, in only one of the MDG targets, which calls for countries to</w:t>
      </w:r>
      <w:r w:rsidRPr="00E04D31">
        <w:t xml:space="preserve"> “Reduce by half the proportion of people without sustainable access to safe drinking water and basic sanitation” between 1990 and 2015.</w:t>
      </w:r>
      <w:r w:rsidRPr="004C6126">
        <w:rPr>
          <w:rStyle w:val="FootnoteReference"/>
        </w:rPr>
        <w:footnoteReference w:id="9"/>
      </w:r>
      <w:r w:rsidRPr="00E04D31">
        <w:t xml:space="preserve"> </w:t>
      </w:r>
    </w:p>
    <w:p w:rsidR="007D46DA" w:rsidRDefault="007D46DA" w:rsidP="007D46DA">
      <w:pPr>
        <w:pStyle w:val="BodyText"/>
        <w:spacing w:before="0" w:after="0"/>
        <w:jc w:val="left"/>
      </w:pPr>
    </w:p>
    <w:p w:rsidR="007D46DA" w:rsidRDefault="007D46DA" w:rsidP="007D46DA">
      <w:pPr>
        <w:pStyle w:val="BodyText"/>
        <w:spacing w:before="0" w:after="0"/>
        <w:jc w:val="left"/>
      </w:pPr>
      <w:r>
        <w:t xml:space="preserve">Looking beyond the well-known MDGs, other goals for infrastructure exist across all of the major infrastructure categories: </w:t>
      </w:r>
    </w:p>
    <w:p w:rsidR="007D46DA" w:rsidRDefault="007D46DA" w:rsidP="007D46DA">
      <w:pPr>
        <w:pStyle w:val="BodyText"/>
        <w:spacing w:before="0" w:after="0"/>
        <w:jc w:val="left"/>
      </w:pPr>
    </w:p>
    <w:p w:rsidR="007D46DA" w:rsidRDefault="007D46DA" w:rsidP="007D46DA">
      <w:pPr>
        <w:pStyle w:val="BodyText"/>
        <w:numPr>
          <w:ilvl w:val="0"/>
          <w:numId w:val="10"/>
        </w:numPr>
        <w:spacing w:before="0" w:after="0"/>
        <w:jc w:val="left"/>
      </w:pPr>
      <w:r w:rsidRPr="0096537E">
        <w:rPr>
          <w:b/>
        </w:rPr>
        <w:t>Transportation.</w:t>
      </w:r>
      <w:r>
        <w:t xml:space="preserve"> Roberts, KC, and Rastogi (2006: A-25 to A-26) presented several transportation targets for Africa in a report prepared for a meeting of the Africa Transport Ministers in 2005. Most of these are fairly qualitative or rely on indicators that we do not have in IFs. One, however, is "halving the proportion of rural population living beyond 2 km of an all-season road." The report put no date on this target.</w:t>
      </w:r>
    </w:p>
    <w:p w:rsidR="007D46DA" w:rsidRDefault="007D46DA" w:rsidP="007D46DA">
      <w:pPr>
        <w:pStyle w:val="BodyText"/>
        <w:spacing w:before="0" w:after="0"/>
        <w:jc w:val="left"/>
      </w:pPr>
    </w:p>
    <w:p w:rsidR="007D46DA" w:rsidRDefault="007D46DA" w:rsidP="007D46DA">
      <w:pPr>
        <w:pStyle w:val="BodyText"/>
        <w:numPr>
          <w:ilvl w:val="0"/>
          <w:numId w:val="10"/>
        </w:numPr>
        <w:spacing w:before="0" w:after="0"/>
        <w:jc w:val="left"/>
      </w:pPr>
      <w:r w:rsidRPr="0096537E">
        <w:rPr>
          <w:b/>
        </w:rPr>
        <w:t>Water and Sanitation.</w:t>
      </w:r>
      <w:r>
        <w:t xml:space="preserve"> </w:t>
      </w:r>
      <w:r w:rsidRPr="00E04D31">
        <w:t>WHO and the United Nations Children’s Fund (UNICEF) ha</w:t>
      </w:r>
      <w:r>
        <w:t>ve</w:t>
      </w:r>
      <w:r w:rsidRPr="00E04D31">
        <w:t xml:space="preserve"> stated </w:t>
      </w:r>
      <w:r>
        <w:t xml:space="preserve">what is both </w:t>
      </w:r>
      <w:r w:rsidRPr="00E04D31">
        <w:t xml:space="preserve">a </w:t>
      </w:r>
      <w:r>
        <w:t xml:space="preserve">potentially </w:t>
      </w:r>
      <w:r w:rsidRPr="00E04D31">
        <w:t xml:space="preserve">more ambitious </w:t>
      </w:r>
      <w:r>
        <w:t xml:space="preserve">and a more ambiguous </w:t>
      </w:r>
      <w:r w:rsidRPr="00E04D31">
        <w:t>goal</w:t>
      </w:r>
      <w:r>
        <w:t xml:space="preserve"> than that of the MDGs, namely</w:t>
      </w:r>
      <w:r w:rsidRPr="00E04D31">
        <w:t>:</w:t>
      </w:r>
      <w:r>
        <w:t xml:space="preserve"> </w:t>
      </w:r>
      <w:r w:rsidRPr="00E04D31">
        <w:t xml:space="preserve">“to accelerate progress towards universal sustainable access to safe water and basic sanitation by 2025” </w:t>
      </w:r>
      <w:r w:rsidR="00F7383F">
        <w:fldChar w:fldCharType="begin"/>
      </w:r>
      <w:r>
        <w:instrText xml:space="preserve"> ADDIN ZOTERO_ITEM {"citationID":"jg634ai8m","properties":{"formattedCitation":"{\\rtf (World Health Organization (WHO) and United Nations Children\\uc0\\u8217{}s Fund (UNICEF) 2010, 2)}","plainCitation":"(World Health Organization (WHO) and United Nations Children’s Fund (UNICEF) 2010, 2)"},"citationItems":[{"id":506,"uris":["http://zotero.org/groups/4482/items/MXZSN3TJ"],"uri":["http://zotero.org/groups/4482/items/MXZSN3TJ"],"locator":"2","label":"page"}]} </w:instrText>
      </w:r>
      <w:r w:rsidR="00F7383F">
        <w:fldChar w:fldCharType="separate"/>
      </w:r>
      <w:r w:rsidRPr="003E4031">
        <w:t>(World Health Organization (WHO) and United Nations Children’s Fund (UNICEF) 2010, 2)</w:t>
      </w:r>
      <w:r w:rsidR="00F7383F">
        <w:fldChar w:fldCharType="end"/>
      </w:r>
      <w:r w:rsidRPr="00E04D31">
        <w:t>.</w:t>
      </w:r>
      <w:r>
        <w:t xml:space="preserve"> </w:t>
      </w:r>
      <w:r w:rsidRPr="00E04D31">
        <w:t xml:space="preserve">Individual countries and donors have also set their own targets for access to safe water and basic sanitation, some tied to the MDG target, some not </w:t>
      </w:r>
      <w:r w:rsidR="00F7383F">
        <w:fldChar w:fldCharType="begin"/>
      </w:r>
      <w:r>
        <w:instrText xml:space="preserve"> ADDIN ZOTERO_ITEM {"citationID":"1p8el64hlu","properties":{"formattedCitation":"{\\rtf (World Health Organization (WHO) and United Nations Children\\uc0\\u8217{}s Fund (UNICEF) 2010)}","plainCitation":"(World Health Organization (WHO) and United Nations Children’s Fund (UNICEF) 2010)"},"citationItems":[{"id":506,"uris":["http://zotero.org/groups/4482/items/MXZSN3TJ"],"uri":["http://zotero.org/groups/4482/items/MXZSN3TJ"]}]} </w:instrText>
      </w:r>
      <w:r w:rsidR="00F7383F">
        <w:fldChar w:fldCharType="separate"/>
      </w:r>
      <w:r w:rsidRPr="003E4031">
        <w:t>(World Health Organization (WHO) and United Nations Children’s Fund (UNICEF) 2010)</w:t>
      </w:r>
      <w:r w:rsidR="00F7383F">
        <w:fldChar w:fldCharType="end"/>
      </w:r>
      <w:r w:rsidRPr="00E04D31">
        <w:t>.</w:t>
      </w:r>
    </w:p>
    <w:p w:rsidR="007D46DA" w:rsidRPr="00E04D31" w:rsidRDefault="007D46DA" w:rsidP="007D46DA">
      <w:pPr>
        <w:pStyle w:val="BodyText"/>
        <w:spacing w:before="0" w:after="0"/>
        <w:jc w:val="left"/>
      </w:pPr>
    </w:p>
    <w:p w:rsidR="007D46DA" w:rsidRDefault="007D46DA" w:rsidP="007D46DA">
      <w:pPr>
        <w:pStyle w:val="BodyText"/>
        <w:numPr>
          <w:ilvl w:val="0"/>
          <w:numId w:val="10"/>
        </w:numPr>
        <w:spacing w:before="0" w:after="0"/>
        <w:jc w:val="left"/>
      </w:pPr>
      <w:r w:rsidRPr="0096537E">
        <w:rPr>
          <w:b/>
        </w:rPr>
        <w:t>Electricity and Energy.</w:t>
      </w:r>
      <w:r>
        <w:t xml:space="preserve"> Several institutions and many countries have defined targets in this area. T</w:t>
      </w:r>
      <w:r w:rsidRPr="00E04D31">
        <w:t>he UN Secretary-General’s Advisory Group on Energy and Climate Change (AGECC) has put forward the goal of ensuring universal access to modern</w:t>
      </w:r>
      <w:r w:rsidRPr="004C6126">
        <w:rPr>
          <w:rStyle w:val="FootnoteReference"/>
        </w:rPr>
        <w:footnoteReference w:id="10"/>
      </w:r>
      <w:r w:rsidRPr="00E04D31">
        <w:t xml:space="preserve"> energy services by 2030 </w:t>
      </w:r>
      <w:r w:rsidR="00F7383F">
        <w:fldChar w:fldCharType="begin"/>
      </w:r>
      <w:r>
        <w:instrText xml:space="preserve"> ADDIN ZOTERO_ITEM {"citationID":"1n7h72mkki","properties":{"formattedCitation":"{\\rtf (United Nations Secretary-General\\uc0\\u8217{}s Advisory Group on Energy and Climate Change (AGECC) 2010)}","plainCitation":"(United Nations Secretary-General’s Advisory Group on Energy and Climate Change (AGECC) 2010)"},"citationItems":[{"id":577,"uris":["http://zotero.org/groups/4482/items/T5IMN89B"],"uri":["http://zotero.org/groups/4482/items/T5IMN89B"]}]} </w:instrText>
      </w:r>
      <w:r w:rsidR="00F7383F">
        <w:fldChar w:fldCharType="separate"/>
      </w:r>
      <w:r w:rsidRPr="003E4031">
        <w:t>(</w:t>
      </w:r>
      <w:r>
        <w:t>UN AGECC</w:t>
      </w:r>
      <w:r w:rsidRPr="003E4031">
        <w:t xml:space="preserve"> 2010)</w:t>
      </w:r>
      <w:r w:rsidR="00F7383F">
        <w:fldChar w:fldCharType="end"/>
      </w:r>
      <w:r w:rsidRPr="00E04D31">
        <w:t xml:space="preserve">. </w:t>
      </w:r>
      <w:r>
        <w:t xml:space="preserve">In that document, they indicated a starting target of 100 kWh of electricity and 1200 kWh of modern fuels per person per year. In its 2010 edition of the </w:t>
      </w:r>
      <w:r w:rsidRPr="0096537E">
        <w:rPr>
          <w:i/>
        </w:rPr>
        <w:t>World Energy Outlook</w:t>
      </w:r>
      <w:r>
        <w:t xml:space="preserve">, the International Energy Agency defined the targets in their Universal Modern Energy Access Case as 100 percent access to electricity and 100 percent access to clean cooking fuels by 2030 </w:t>
      </w:r>
      <w:r w:rsidR="00F7383F">
        <w:fldChar w:fldCharType="begin"/>
      </w:r>
      <w:r>
        <w:instrText xml:space="preserve"> ADDIN ZOTERO_ITEM {"citationID":"1Tcq3PFM","properties":{"formattedCitation":"(International Energy Agency (IEA) 2010)","plainCitation":"(International Energy Agency (IEA) 2010)"},"citationItems":[{"id":733,"uris":["http://zotero.org/groups/4482/items/8AXMWFJ2"],"uri":["http://zotero.org/groups/4482/items/8AXMWFJ2"]}]} </w:instrText>
      </w:r>
      <w:r w:rsidR="00F7383F">
        <w:fldChar w:fldCharType="separate"/>
      </w:r>
      <w:r>
        <w:rPr>
          <w:noProof/>
        </w:rPr>
        <w:t>(International Energy Agency (IEA) 2010)</w:t>
      </w:r>
      <w:r w:rsidR="00F7383F">
        <w:fldChar w:fldCharType="end"/>
      </w:r>
      <w:r>
        <w:t xml:space="preserve">. </w:t>
      </w:r>
      <w:r w:rsidRPr="00E04D31">
        <w:t>Practical Action</w:t>
      </w:r>
      <w:r>
        <w:t xml:space="preserve">, </w:t>
      </w:r>
      <w:r w:rsidRPr="00E04D31">
        <w:t xml:space="preserve">a development charity working with support from the Sustainable Energy Programme of the United Nations Development Program (UNDP) and others, has gone further by specifying energy service targets related to: 1) lighting, 2) cooking and water heating, 3) space heating, 4) cooling, 5) information and communications, and 6) earning a living </w:t>
      </w:r>
      <w:fldSimple w:instr=" ADDIN ZOTERO_ITEM {&quot;citationID&quot;:&quot;168u58lmff&quot;,&quot;properties&quot;:{&quot;formattedCitation&quot;:&quot;(Practical Action 2010)&quot;,&quot;plainCitation&quot;:&quot;(Practical Action 2010)&quot;},&quot;citationItems&quot;:[{&quot;id&quot;:744,&quot;uris&quot;:[&quot;http://zotero.org/groups/4482/items/NRBBCEER&quot;],&quot;uri&quot;:[&quot;http://zotero.org/groups/4482/items/NRBBCEER&quot;]}]} ">
        <w:r>
          <w:t>(Practical Action 2010)</w:t>
        </w:r>
      </w:fldSimple>
      <w:r w:rsidRPr="00E04D31">
        <w:t xml:space="preserve">. And many countries have set country-level targets. Legros et al </w:t>
      </w:r>
      <w:fldSimple w:instr=" ADDIN ZOTERO_ITEM {&quot;citationID&quot;:&quot;21ibdc661r&quot;,&quot;properties&quot;:{&quot;formattedCitation&quot;:&quot;(2009)&quot;,&quot;plainCitation&quot;:&quot;(2009)&quot;},&quot;citationItems&quot;:[{&quot;id&quot;:476,&quot;uris&quot;:[&quot;http://zotero.org/groups/4482/items/KM4EHMDP&quot;],&quot;uri&quot;:[&quot;http://zotero.org/groups/4482/items/KM4EHMDP&quot;],&quot;suppress-author&quot;:true}]} ">
        <w:r>
          <w:t>(2009)</w:t>
        </w:r>
      </w:fldSimple>
      <w:r w:rsidRPr="00E04D31">
        <w:t>, in a joint UNDP/WHO study, compiled information on such country-level targets from a vast array of sources with a focus on energy access in sub-Saharan Africa and Least Developed Countries.</w:t>
      </w:r>
    </w:p>
    <w:p w:rsidR="007D46DA" w:rsidRDefault="007D46DA" w:rsidP="007D46DA">
      <w:pPr>
        <w:pStyle w:val="BodyText"/>
        <w:spacing w:before="0" w:after="0"/>
        <w:jc w:val="left"/>
      </w:pPr>
    </w:p>
    <w:p w:rsidR="007D46DA" w:rsidRDefault="007D46DA" w:rsidP="007D46DA">
      <w:pPr>
        <w:pStyle w:val="BodyText"/>
        <w:numPr>
          <w:ilvl w:val="0"/>
          <w:numId w:val="10"/>
        </w:numPr>
        <w:spacing w:before="0" w:after="0"/>
        <w:jc w:val="left"/>
      </w:pPr>
      <w:r w:rsidRPr="0096537E">
        <w:rPr>
          <w:b/>
        </w:rPr>
        <w:t>Information and Communication Technolog</w:t>
      </w:r>
      <w:r>
        <w:rPr>
          <w:b/>
        </w:rPr>
        <w:t>ies</w:t>
      </w:r>
      <w:r>
        <w:t>. Recommendation 21 of the United Nations Secretary-General's High-Level Panel on Global Sustainability (2012:45) was that governments should work with appropriate stakeholders to provide citizens, especially those in remote areas, with access to technologies, including universal telecommunications and broadband networks, by 2025.</w:t>
      </w:r>
    </w:p>
    <w:p w:rsidR="007D46DA" w:rsidRPr="00E04D31" w:rsidRDefault="007D46DA" w:rsidP="007D46DA">
      <w:pPr>
        <w:pStyle w:val="BodyText"/>
        <w:spacing w:before="0" w:after="0"/>
        <w:jc w:val="left"/>
      </w:pPr>
    </w:p>
    <w:p w:rsidR="000016D4" w:rsidRDefault="007D46DA" w:rsidP="007D46DA">
      <w:r>
        <w:t>We will return to goals and targets in later exploration of their feasibility, with attention also to the possibility of alternatives that are more sensitive to the current levels of development in countries around the world. One of the difficulties of universal targets is that many countries have already met them while many others may be so distant from the goals that their very statement assures failure.</w:t>
      </w:r>
    </w:p>
    <w:p w:rsidR="007D46DA" w:rsidRDefault="007D46DA" w:rsidP="007D46DA"/>
    <w:p w:rsidR="007D46DA" w:rsidRDefault="007D46DA" w:rsidP="00877E30">
      <w:pPr>
        <w:pStyle w:val="Heading3"/>
      </w:pPr>
      <w:bookmarkStart w:id="23" w:name="_Toc323232040"/>
      <w:bookmarkStart w:id="24" w:name="_Toc200095260"/>
      <w:r>
        <w:t xml:space="preserve">Existing international </w:t>
      </w:r>
      <w:r w:rsidRPr="00E04D31">
        <w:t xml:space="preserve">analyses of infrastructure </w:t>
      </w:r>
      <w:r>
        <w:t xml:space="preserve">and infrastructure </w:t>
      </w:r>
      <w:r w:rsidRPr="00E04D31">
        <w:t>futures</w:t>
      </w:r>
      <w:bookmarkEnd w:id="23"/>
      <w:bookmarkEnd w:id="24"/>
    </w:p>
    <w:p w:rsidR="007D46DA" w:rsidRPr="00E04D31" w:rsidRDefault="007D46DA" w:rsidP="007D46DA">
      <w:r w:rsidRPr="00E04D31">
        <w:t xml:space="preserve">A number of important policy-oriented studies have highlighted the role of infrastructure for future global and regional development and human well-being. </w:t>
      </w:r>
      <w:r>
        <w:t xml:space="preserve">The 1994 </w:t>
      </w:r>
      <w:r w:rsidRPr="00763232">
        <w:rPr>
          <w:i/>
        </w:rPr>
        <w:t>World Development Report</w:t>
      </w:r>
      <w:r w:rsidRPr="00E04D31">
        <w:t xml:space="preserve"> </w:t>
      </w:r>
      <w:fldSimple w:instr=" ADDIN ZOTERO_ITEM {&quot;citationID&quot;:&quot;qndpbdiiu&quot;,&quot;properties&quot;:{&quot;formattedCitation&quot;:&quot;(World Bank 1994)&quot;,&quot;plainCitation&quot;:&quot;(World Bank 1994)&quot;},&quot;citationItems&quot;:[{&quot;id&quot;:570,&quot;uris&quot;:[&quot;http://zotero.org/groups/4482/items/SVRTWC5X&quot;],&quot;uri&quot;:[&quot;http://zotero.org/groups/4482/items/SVRTWC5X&quot;]}]} ">
        <w:r>
          <w:t>(World Bank 1994)</w:t>
        </w:r>
      </w:fldSimple>
      <w:r>
        <w:t xml:space="preserve"> was one of the first international studies to focus on infrastructure</w:t>
      </w:r>
      <w:r w:rsidRPr="00E04D31">
        <w:t xml:space="preserve">. </w:t>
      </w:r>
      <w:r>
        <w:t>Since that time, t</w:t>
      </w:r>
      <w:r w:rsidRPr="00E04D31">
        <w:t xml:space="preserve">he World Bank </w:t>
      </w:r>
      <w:r>
        <w:t>and regional development banks have</w:t>
      </w:r>
      <w:r w:rsidRPr="00E04D31">
        <w:t xml:space="preserve"> </w:t>
      </w:r>
      <w:r>
        <w:t>spearheaded</w:t>
      </w:r>
      <w:r w:rsidRPr="00E04D31">
        <w:t xml:space="preserve"> </w:t>
      </w:r>
      <w:r>
        <w:t>further</w:t>
      </w:r>
      <w:r w:rsidRPr="00E04D31">
        <w:t xml:space="preserve"> effort to identify current circumstances, issues, and policy directions across</w:t>
      </w:r>
      <w:r>
        <w:t xml:space="preserve"> a number of</w:t>
      </w:r>
      <w:r w:rsidRPr="00E04D31">
        <w:t xml:space="preserve"> developing regions.</w:t>
      </w:r>
      <w:r>
        <w:t xml:space="preserve"> These include studies focused on Latin America </w:t>
      </w:r>
      <w:r w:rsidR="00F7383F">
        <w:fldChar w:fldCharType="begin"/>
      </w:r>
      <w:r>
        <w:instrText xml:space="preserve"> ADDIN ZOTERO_ITEM {"citationID":"56467jmvk","properties":{"formattedCitation":"{\\rtf (Fay and Morrison 2007; Corporaci\\uc0\\u243{}n Andina de Fomento 2009)}","plainCitation":"(Fay and Morrison 2007; Corporación Andina de Fomento 2009)"},"citationItems":[{"id":347,"uris":["http://zotero.org/groups/4482/items/BF954KCA"],"uri":["http://zotero.org/groups/4482/items/BF954KCA"],"label":"page"},{"id":1190,"uris":["http://zotero.org/groups/4482/items/VZ5X7QNN"],"uri":["http://zotero.org/groups/4482/items/VZ5X7QNN"],"label":"page"}]} </w:instrText>
      </w:r>
      <w:r w:rsidR="00F7383F">
        <w:fldChar w:fldCharType="separate"/>
      </w:r>
      <w:r w:rsidRPr="003E4031">
        <w:t>(Fay and Morrison 2007; Corporación Andina de Fomento 2009)</w:t>
      </w:r>
      <w:r w:rsidR="00F7383F">
        <w:fldChar w:fldCharType="end"/>
      </w:r>
      <w:r>
        <w:t xml:space="preserve">, Asia </w:t>
      </w:r>
      <w:r w:rsidR="00F7383F">
        <w:fldChar w:fldCharType="begin"/>
      </w:r>
      <w:r>
        <w:instrText xml:space="preserve"> ADDIN ZOTERO_ITEM {"citationID":"5haqot6eo","properties":{"formattedCitation":"(Asian Development Bank Institute 2009; Asian Development Bank (ADB), Japan Bank for International Cooperation (JBIC), and World Bank 2005)","plainCitation":"(Asian Development Bank Institute 2009; Asian Development Bank (ADB), Japan Bank for International Cooperation (JBIC), and World Bank 2005)"},"citationItems":[{"id":1153,"uris":["http://zotero.org/groups/4482/items/3ND5HTK3"],"uri":["http://zotero.org/groups/4482/items/3ND5HTK3"],"label":"page"},{"id":921,"uris":["http://zotero.org/groups/4482/items/T6QH93WA"],"uri":["http://zotero.org/groups/4482/items/T6QH93WA"],"label":"page"}]} </w:instrText>
      </w:r>
      <w:r w:rsidR="00F7383F">
        <w:fldChar w:fldCharType="separate"/>
      </w:r>
      <w:r>
        <w:t>(Asian Development Bank Institute 2009; Asian Development Bank (ADB), Japan Bank for International Cooperation (JBIC), and World Bank 2005)</w:t>
      </w:r>
      <w:r w:rsidR="00F7383F">
        <w:fldChar w:fldCharType="end"/>
      </w:r>
      <w:r>
        <w:t xml:space="preserve">, and Africa </w:t>
      </w:r>
      <w:r w:rsidR="00F7383F">
        <w:fldChar w:fldCharType="begin"/>
      </w:r>
      <w:r>
        <w:instrText xml:space="preserve"> ADDIN ZOTERO_ITEM {"citationID":"2l23cdh35","properties":{"formattedCitation":"{\\rtf (Foster and Brice\\uc0\\u241{}o-Garmendia 2010)}","plainCitation":"(Foster and Briceño-Garmendia 2010)"},"citationItems":[{"id":301,"uris":["http://zotero.org/groups/4482/items/8R277WSI"],"uri":["http://zotero.org/groups/4482/items/8R277WSI"]}]} </w:instrText>
      </w:r>
      <w:r w:rsidR="00F7383F">
        <w:fldChar w:fldCharType="separate"/>
      </w:r>
      <w:r w:rsidRPr="003E4031">
        <w:t>(Foster and Briceño-Garmendia 2010)</w:t>
      </w:r>
      <w:r w:rsidR="00F7383F">
        <w:fldChar w:fldCharType="end"/>
      </w:r>
      <w:r>
        <w:t xml:space="preserve">. This has built upon and further spawned a significant amount of reflection and research on the role of infrastructure in development (see for example World Bank </w:t>
      </w:r>
      <w:fldSimple w:instr=" ADDIN ZOTERO_ITEM {&quot;citationID&quot;:&quot;1kekng3eb4&quot;,&quot;properties&quot;:{&quot;formattedCitation&quot;:&quot;(2006)&quot;,&quot;plainCitation&quot;:&quot;(2006)&quot;},&quot;citationItems&quot;:[{&quot;id&quot;:1324,&quot;uris&quot;:[&quot;http://zotero.org/groups/4482/items/67SVA4I6&quot;],&quot;uri&quot;:[&quot;http://zotero.org/groups/4482/items/67SVA4I6&quot;],&quot;suppress-author&quot;:true}]} ">
        <w:r>
          <w:t>(2006)</w:t>
        </w:r>
      </w:fldSimple>
      <w:r>
        <w:t xml:space="preserve"> and Estache and Fay </w:t>
      </w:r>
      <w:fldSimple w:instr=" ADDIN ZOTERO_ITEM {&quot;citationID&quot;:&quot;fie5sa686&quot;,&quot;properties&quot;:{&quot;formattedCitation&quot;:&quot;(2010)&quot;,&quot;plainCitation&quot;:&quot;(2010)&quot;},&quot;citationItems&quot;:[{&quot;id&quot;:1119,&quot;uris&quot;:[&quot;http://zotero.org/groups/4482/items/VG54KBK3&quot;],&quot;uri&quot;:[&quot;http://zotero.org/groups/4482/items/VG54KBK3&quot;],&quot;suppress-author&quot;:true}]} ">
        <w:r>
          <w:t>(2010)</w:t>
        </w:r>
      </w:fldSimple>
      <w:r>
        <w:t>).</w:t>
      </w:r>
    </w:p>
    <w:p w:rsidR="007D46DA" w:rsidRPr="00E04D31" w:rsidRDefault="007D46DA" w:rsidP="007D46DA"/>
    <w:p w:rsidR="007D46DA" w:rsidRDefault="007D46DA" w:rsidP="007D46DA">
      <w:r>
        <w:t>Meanwhile</w:t>
      </w:r>
      <w:r w:rsidRPr="00E04D31">
        <w:t xml:space="preserve">, the </w:t>
      </w:r>
      <w:r>
        <w:t xml:space="preserve">International Futures Programme of the </w:t>
      </w:r>
      <w:r w:rsidRPr="00E04D31">
        <w:t xml:space="preserve">Organisation for Economic Co-operation and Development </w:t>
      </w:r>
      <w:r>
        <w:t xml:space="preserve">(OECD) </w:t>
      </w:r>
      <w:r w:rsidRPr="00E04D31">
        <w:t xml:space="preserve">has </w:t>
      </w:r>
      <w:r>
        <w:t>undertaken a series</w:t>
      </w:r>
      <w:r w:rsidRPr="00E04D31">
        <w:t xml:space="preserve"> </w:t>
      </w:r>
      <w:r>
        <w:t xml:space="preserve">of </w:t>
      </w:r>
      <w:r w:rsidRPr="00E04D31">
        <w:t>large-scale studies focusing on the primarily high-income countries that constitute its membership. The</w:t>
      </w:r>
      <w:r>
        <w:t>se</w:t>
      </w:r>
      <w:r w:rsidRPr="00E04D31">
        <w:t xml:space="preserve"> </w:t>
      </w:r>
      <w:r>
        <w:t>resulted in the publication of</w:t>
      </w:r>
      <w:r w:rsidRPr="00E04D31">
        <w:t xml:space="preserve"> </w:t>
      </w:r>
      <w:r w:rsidRPr="00E04D31">
        <w:rPr>
          <w:i/>
        </w:rPr>
        <w:t>Infrastructure to 2030: Telecom, Land Transport, Water, and Electricity</w:t>
      </w:r>
      <w:r w:rsidRPr="00E04D31">
        <w:t xml:space="preserve"> </w:t>
      </w:r>
      <w:r w:rsidR="00F7383F">
        <w:fldChar w:fldCharType="begin"/>
      </w:r>
      <w:r>
        <w:instrText xml:space="preserve"> ADDIN ZOTERO_ITEM {"citationID":"z4WTNHaE","properties":{"formattedCitation":"(Organisation for Economic Cooperation and Development (OECD) 2006)","plainCitation":"(Organisation for Economic Cooperation and Development (OECD) 2006)"},"citationItems":[{"id":1462,"uris":["http://zotero.org/groups/4482/items/NHI2AW4I","http://zotero.org/groups/4482/items/5MCXH4FW"],"uri":["http://zotero.org/groups/4482/items/NHI2AW4I","http://zotero.org/groups/4482/items/5MCXH4FW"]}]} </w:instrText>
      </w:r>
      <w:r w:rsidR="00F7383F">
        <w:fldChar w:fldCharType="separate"/>
      </w:r>
      <w:r>
        <w:rPr>
          <w:noProof/>
        </w:rPr>
        <w:t>(Organisation for Economic Cooperation and Development (OECD) 2006)</w:t>
      </w:r>
      <w:r w:rsidR="00F7383F">
        <w:fldChar w:fldCharType="end"/>
      </w:r>
      <w:r w:rsidRPr="00E04D31">
        <w:t xml:space="preserve">, followed by </w:t>
      </w:r>
      <w:r w:rsidRPr="00E04D31">
        <w:rPr>
          <w:i/>
        </w:rPr>
        <w:t xml:space="preserve">Infrastructure to 2030: Mapping Policy for Electricity, Water and Transport </w:t>
      </w:r>
      <w:r w:rsidR="00F7383F">
        <w:fldChar w:fldCharType="begin"/>
      </w:r>
      <w:r>
        <w:instrText xml:space="preserve"> ADDIN ZOTERO_ITEM {"citationID":"Z0R0JC5H","properties":{"formattedCitation":"(Organisation for Economic Cooperation and Development (OECD) 2007)","plainCitation":"(Organisation for Economic Cooperation and Development (OECD) 2007)"},"citationItems":[{"id":264,"uris":["http://zotero.org/groups/4482/items/6RBEAAE4"],"uri":["http://zotero.org/groups/4482/items/6RBEAAE4"]}]} </w:instrText>
      </w:r>
      <w:r w:rsidR="00F7383F">
        <w:fldChar w:fldCharType="separate"/>
      </w:r>
      <w:r>
        <w:rPr>
          <w:noProof/>
        </w:rPr>
        <w:t>(Organisation for Economic Cooperation and Development (OECD) 2007)</w:t>
      </w:r>
      <w:r w:rsidR="00F7383F">
        <w:fldChar w:fldCharType="end"/>
      </w:r>
      <w:r w:rsidRPr="00E04D31">
        <w:t xml:space="preserve">. A third report, </w:t>
      </w:r>
      <w:r w:rsidRPr="00E04D31">
        <w:rPr>
          <w:i/>
        </w:rPr>
        <w:t>Transcontinental Infrastructure Needs to 2030/2050,</w:t>
      </w:r>
      <w:r w:rsidRPr="00E04D31">
        <w:t xml:space="preserve"> is expected in </w:t>
      </w:r>
      <w:r>
        <w:t>2012</w:t>
      </w:r>
      <w:r w:rsidRPr="00E04D31">
        <w:t>.</w:t>
      </w:r>
    </w:p>
    <w:p w:rsidR="007D46DA" w:rsidRDefault="007D46DA" w:rsidP="007D46DA"/>
    <w:p w:rsidR="007D46DA" w:rsidRPr="00E04D31" w:rsidRDefault="007D46DA" w:rsidP="007D46DA">
      <w:r>
        <w:t xml:space="preserve">A number of other </w:t>
      </w:r>
      <w:r w:rsidRPr="00E04D31">
        <w:t>studies highlight infrastructure’s status and needed policy reforms for specific countries.</w:t>
      </w:r>
      <w:r w:rsidRPr="00E04D31">
        <w:rPr>
          <w:i/>
        </w:rPr>
        <w:t xml:space="preserve"> </w:t>
      </w:r>
      <w:r>
        <w:t xml:space="preserve">The Africa Infrastructure Knowledge Program of the African Development Bank Group, which grew out of the study that produced </w:t>
      </w:r>
      <w:r w:rsidRPr="00E04D31">
        <w:rPr>
          <w:i/>
        </w:rPr>
        <w:t>Africa’s Infrastructure: A Time for Transformation</w:t>
      </w:r>
      <w:r w:rsidRPr="00E04D31">
        <w:t xml:space="preserve"> </w:t>
      </w:r>
      <w:r w:rsidR="00F7383F">
        <w:fldChar w:fldCharType="begin"/>
      </w:r>
      <w:r>
        <w:instrText xml:space="preserve"> ADDIN ZOTERO_ITEM {"citationID":"1mi9ng5ej7","properties":{"formattedCitation":"{\\rtf (Foster and Brice\\uc0\\u241{}o-Garmendia 2010)}","plainCitation":"(Foster and Briceño-Garmendia 2010)"},"citationItems":[{"id":301,"uris":["http://zotero.org/groups/4482/items/8R277WSI"],"uri":["http://zotero.org/groups/4482/items/8R277WSI"]}]} </w:instrText>
      </w:r>
      <w:r w:rsidR="00F7383F">
        <w:fldChar w:fldCharType="separate"/>
      </w:r>
      <w:r w:rsidRPr="003E4031">
        <w:t>(Foster and Briceño-Garmendia 2010)</w:t>
      </w:r>
      <w:r w:rsidR="00F7383F">
        <w:fldChar w:fldCharType="end"/>
      </w:r>
      <w:r>
        <w:t>, has, to date,</w:t>
      </w:r>
      <w:r w:rsidRPr="004C6126">
        <w:rPr>
          <w:rStyle w:val="FootnoteReference"/>
        </w:rPr>
        <w:footnoteReference w:id="11"/>
      </w:r>
      <w:r>
        <w:t xml:space="preserve"> published eighteen individual country reports. Earlier we mentioned the periodic infrastructure report cards published for Australia </w:t>
      </w:r>
      <w:r w:rsidR="00F7383F">
        <w:fldChar w:fldCharType="begin"/>
      </w:r>
      <w:r>
        <w:instrText xml:space="preserve"> ADDIN ZOTERO_ITEM {"citationID":"9x4W5Dzz","properties":{"formattedCitation":"(Institution of Engineers, Australia 2010)","plainCitation":"(Institution of Engineers, Australia 2010)"},"citationItems":[{"id":1354,"uris":["http://zotero.org/groups/4482/items/9VVCUKI8"],"uri":["http://zotero.org/groups/4482/items/9VVCUKI8"]}]} </w:instrText>
      </w:r>
      <w:r w:rsidR="00F7383F">
        <w:fldChar w:fldCharType="separate"/>
      </w:r>
      <w:r>
        <w:t>(Institution of Engineers, Australia 2010)</w:t>
      </w:r>
      <w:r w:rsidR="00F7383F">
        <w:fldChar w:fldCharType="end"/>
      </w:r>
      <w:r>
        <w:t xml:space="preserve">, the United Kingdom </w:t>
      </w:r>
      <w:r w:rsidR="00F7383F">
        <w:fldChar w:fldCharType="begin"/>
      </w:r>
      <w:r>
        <w:instrText xml:space="preserve"> ADDIN ZOTERO_ITEM {"citationID":"6MlinO7A","properties":{"formattedCitation":"(Institution of Civil Engineers 2010)","plainCitation":"(Institution of Civil Engineers 2010)"},"citationItems":[{"id":1360,"uris":["http://zotero.org/groups/4482/items/8TJSTTRJ"],"uri":["http://zotero.org/groups/4482/items/8TJSTTRJ"]}]} </w:instrText>
      </w:r>
      <w:r w:rsidR="00F7383F">
        <w:fldChar w:fldCharType="separate"/>
      </w:r>
      <w:r>
        <w:t>(Institution of Civil Engineers 2010)</w:t>
      </w:r>
      <w:r w:rsidR="00F7383F">
        <w:fldChar w:fldCharType="end"/>
      </w:r>
      <w:r>
        <w:t xml:space="preserve">, and the United States </w:t>
      </w:r>
      <w:r w:rsidR="00F7383F">
        <w:fldChar w:fldCharType="begin"/>
      </w:r>
      <w:r>
        <w:instrText xml:space="preserve"> ADDIN ZOTERO_ITEM {"citationID":"1RweNnq4","properties":{"formattedCitation":"(American Society of Civil Engineers 2009)","plainCitation":"(American Society of Civil Engineers 2009)"},"citationItems":[{"id":1355,"uris":["http://zotero.org/groups/4482/items/UAEFSK82"],"uri":["http://zotero.org/groups/4482/items/UAEFSK82"]}]} </w:instrText>
      </w:r>
      <w:r w:rsidR="00F7383F">
        <w:fldChar w:fldCharType="separate"/>
      </w:r>
      <w:r>
        <w:t>(American Society of Civil Engineers 2009)</w:t>
      </w:r>
      <w:r w:rsidR="00F7383F">
        <w:fldChar w:fldCharType="end"/>
      </w:r>
      <w:r>
        <w:t xml:space="preserve">. There is also one being developed for Canada </w:t>
      </w:r>
      <w:fldSimple w:instr=" ADDIN ZOTERO_ITEM {&quot;citationID&quot;:&quot;2kukgaj1mj&quot;,&quot;properties&quot;:{&quot;formattedCitation&quot;:&quot;{\\rtf (F\\uc0\\u233{}lio 2011)}&quot;,&quot;plainCitation&quot;:&quot;(Félio 2011)&quot;},&quot;citationItems&quot;:[{&quot;id&quot;:1356,&quot;uris&quot;:[&quot;http://zotero.org/groups/4482/items/W9KRS4JC&quot;],&quot;uri&quot;:[&quot;http://zotero.org/groups/4482/items/W9KRS4JC&quot;]}]} ">
        <w:r w:rsidRPr="003E4031">
          <w:t>(Félio 2011)</w:t>
        </w:r>
      </w:fldSimple>
      <w:r>
        <w:t>. S</w:t>
      </w:r>
      <w:r w:rsidRPr="00E04D31">
        <w:t>ince 2007</w:t>
      </w:r>
      <w:r>
        <w:t>, t</w:t>
      </w:r>
      <w:r w:rsidRPr="00E04D31">
        <w:t>he Urban Land Institute</w:t>
      </w:r>
      <w:r>
        <w:t>,</w:t>
      </w:r>
      <w:r w:rsidRPr="00E04D31">
        <w:t xml:space="preserve"> in partnership with Ernst &amp; Young</w:t>
      </w:r>
      <w:r>
        <w:t xml:space="preserve">, have </w:t>
      </w:r>
      <w:r w:rsidRPr="00E04D31">
        <w:t>published annual reports focused on the US</w:t>
      </w:r>
      <w:r>
        <w:t xml:space="preserve">, </w:t>
      </w:r>
      <w:r w:rsidRPr="00E04D31">
        <w:t>with some global overview</w:t>
      </w:r>
      <w:r>
        <w:t xml:space="preserve"> </w:t>
      </w:r>
      <w:r w:rsidR="00F7383F">
        <w:fldChar w:fldCharType="begin"/>
      </w:r>
      <w:r>
        <w:instrText xml:space="preserve"> ADDIN ZOTERO_ITEM {"citationID":"22aabjanft","properties":{"formattedCitation":"(Urban Land Institute and Ernst &amp; Young 2011)","plainCitation":"(Urban Land Institute and Ernst &amp; Young 2011)"},"citationItems":[{"id":1359,"uris":["http://zotero.org/groups/4482/items/2SRDICME"],"uri":["http://zotero.org/groups/4482/items/2SRDICME"]}]} </w:instrText>
      </w:r>
      <w:r w:rsidR="00F7383F">
        <w:fldChar w:fldCharType="separate"/>
      </w:r>
      <w:r>
        <w:t>(Urban Land Institute and Ernst &amp; Young 2011)</w:t>
      </w:r>
      <w:r w:rsidR="00F7383F">
        <w:fldChar w:fldCharType="end"/>
      </w:r>
      <w:r>
        <w:t>.</w:t>
      </w:r>
    </w:p>
    <w:p w:rsidR="007D46DA" w:rsidRDefault="007D46DA" w:rsidP="007D46DA"/>
    <w:p w:rsidR="007D46DA" w:rsidRPr="00E04D31" w:rsidRDefault="007D46DA" w:rsidP="007D46DA">
      <w:r w:rsidRPr="00E04D31">
        <w:t>All of the reports mentioned above provide in-depth analyses across multiple infrastructure sectors (e.g., transportation, energy, water and sanitation, and information and communications). A great many other studies focus on single infrastructure sectors at global, regional, or individual country levels</w:t>
      </w:r>
      <w:r>
        <w:t>;</w:t>
      </w:r>
      <w:r w:rsidRPr="00E04D31">
        <w:t xml:space="preserve"> an important example for our purposes is the </w:t>
      </w:r>
      <w:r w:rsidRPr="00E04D31">
        <w:rPr>
          <w:i/>
        </w:rPr>
        <w:t>World Energy Outlook</w:t>
      </w:r>
      <w:r>
        <w:rPr>
          <w:i/>
        </w:rPr>
        <w:t>s</w:t>
      </w:r>
      <w:r w:rsidRPr="00E04D31">
        <w:t xml:space="preserve"> produced by the International Energy Agency </w:t>
      </w:r>
      <w:fldSimple w:instr=" ADDIN ZOTERO_ITEM {&quot;citationID&quot;:&quot;41rpf8n8u&quot;,&quot;properties&quot;:{&quot;formattedCitation&quot;:&quot;(2010)&quot;,&quot;plainCitation&quot;:&quot;(2010)&quot;},&quot;citationItems&quot;:[{&quot;id&quot;:733,&quot;uris&quot;:[&quot;http://zotero.org/groups/4482/items/8AXMWFJ2&quot;],&quot;uri&quot;:[&quot;http://zotero.org/groups/4482/items/8AXMWFJ2&quot;],&quot;suppress-author&quot;:true}]} ">
        <w:r>
          <w:t>(2010)</w:t>
        </w:r>
      </w:fldSimple>
      <w:r w:rsidRPr="00E04D31">
        <w:t xml:space="preserve"> which extends its time frame to 203</w:t>
      </w:r>
      <w:r>
        <w:t>5</w:t>
      </w:r>
      <w:r w:rsidRPr="00E04D31">
        <w:t>.</w:t>
      </w:r>
    </w:p>
    <w:p w:rsidR="007D46DA" w:rsidRPr="00E04D31" w:rsidRDefault="007D46DA" w:rsidP="007D46DA"/>
    <w:p w:rsidR="007D46DA" w:rsidRPr="00E04D31" w:rsidRDefault="007D46DA" w:rsidP="007D46DA">
      <w:r w:rsidRPr="00E04D31">
        <w:t>Understandably, the studies focusing on richer countries place</w:t>
      </w:r>
      <w:r>
        <w:t>d</w:t>
      </w:r>
      <w:r w:rsidRPr="00E04D31">
        <w:t xml:space="preserve"> relatively more emphasis on replacing deteriorating infrastructure than the studies of developing areas, where emphasis is on building out basic infrastructure.</w:t>
      </w:r>
      <w:r>
        <w:t xml:space="preserve"> </w:t>
      </w:r>
      <w:r w:rsidRPr="00E04D31">
        <w:t>In fact, one developing country issue is just what constitutes “basic” infrastructure.</w:t>
      </w:r>
      <w:r>
        <w:t xml:space="preserve"> </w:t>
      </w:r>
      <w:r w:rsidRPr="00E04D31">
        <w:t xml:space="preserve">For example, </w:t>
      </w:r>
      <w:r w:rsidRPr="009436D5">
        <w:t>Foster and Briceño-Garmendia</w:t>
      </w:r>
      <w:r>
        <w:t xml:space="preserve"> </w:t>
      </w:r>
      <w:r w:rsidR="00F7383F">
        <w:fldChar w:fldCharType="begin"/>
      </w:r>
      <w:r>
        <w:instrText xml:space="preserve"> ADDIN ZOTERO_ITEM {"citationID":"20a5njle2v","properties":{"formattedCitation":"(2010, 12, 15)","plainCitation":"(2010, 12, 15)"},"citationItems":[{"id":301,"uris":["http://zotero.org/groups/4482/items/8R277WSI"],"uri":["http://zotero.org/groups/4482/items/8R277WSI"],"locator":"12, 15","label":"page","suppress-author":true}]} </w:instrText>
      </w:r>
      <w:r w:rsidR="00F7383F">
        <w:fldChar w:fldCharType="separate"/>
      </w:r>
      <w:r>
        <w:t>(2010: 12, 15)</w:t>
      </w:r>
      <w:r w:rsidR="00F7383F">
        <w:fldChar w:fldCharType="end"/>
      </w:r>
      <w:r w:rsidRPr="00E04D31">
        <w:t xml:space="preserve"> suggested that achieving universal access to basic infrastructure in Africa will require “practical and attractive second-best solutions” such as standposts and improved latrines in place of household water and sanitation connections. It is hard to imagine a high-income country that would find it necessary to consider similar solutions for basic infrastructure. </w:t>
      </w:r>
    </w:p>
    <w:p w:rsidR="007D46DA" w:rsidRPr="00E04D31" w:rsidRDefault="007D46DA" w:rsidP="007D46DA"/>
    <w:p w:rsidR="007D46DA" w:rsidRPr="00E04D31" w:rsidRDefault="007D46DA" w:rsidP="007D46DA">
      <w:r w:rsidRPr="00E04D31">
        <w:t xml:space="preserve">Despite those significant differences in emphasis and opportunity, most policy concerns are similar across developing and developed countries. High on all lists are funding sources and mechanisms, efficiency (and resultant pricing), the role and efficacy of public-private (and other nontraditional) partnerships, the quality of governance and the regulatory environment, and assuring access to basic infrastructure for the poor. In fact, the following statement from the first </w:t>
      </w:r>
      <w:r w:rsidRPr="002C11AA">
        <w:t xml:space="preserve">OECD </w:t>
      </w:r>
      <w:r w:rsidRPr="002C11AA">
        <w:rPr>
          <w:i/>
        </w:rPr>
        <w:t>Infrastructure to 2030</w:t>
      </w:r>
      <w:r w:rsidRPr="002C11AA">
        <w:t xml:space="preserve"> report </w:t>
      </w:r>
      <w:r w:rsidR="00F7383F" w:rsidRPr="002C11AA">
        <w:fldChar w:fldCharType="begin"/>
      </w:r>
      <w:r w:rsidRPr="002C11AA">
        <w:instrText xml:space="preserve"> ADDIN ZOTERO_ITEM {"citationID":"1bb5lun19i","properties":{"formattedCitation":"(2006, 20)","plainCitation":"(2006, 20)"},"citationItems":[{"id":1462,"uris":["http://zotero.org/groups/4482/items/NHI2AW4I","http://zotero.org/groups/4482/items/5MCXH4FW"],"uri":["http://zotero.org/groups/4482/items/NHI2AW4I","http://zotero.org/groups/4482/items/5MCXH4FW"],"locator":"20","label":"page","suppress-author":true}]} </w:instrText>
      </w:r>
      <w:r w:rsidR="00F7383F" w:rsidRPr="002C11AA">
        <w:fldChar w:fldCharType="separate"/>
      </w:r>
      <w:r w:rsidRPr="002C11AA">
        <w:t>(2006, 20)</w:t>
      </w:r>
      <w:r w:rsidR="00F7383F" w:rsidRPr="002C11AA">
        <w:fldChar w:fldCharType="end"/>
      </w:r>
      <w:r w:rsidRPr="00E04D31">
        <w:t xml:space="preserve"> could as easily have appeared in one of the studies focused on developing regions:</w:t>
      </w:r>
    </w:p>
    <w:p w:rsidR="007D46DA" w:rsidRPr="00E04D31" w:rsidRDefault="007D46DA" w:rsidP="007D46DA"/>
    <w:p w:rsidR="007D46DA" w:rsidRPr="00E04D31" w:rsidRDefault="007D46DA" w:rsidP="007D46DA">
      <w:pPr>
        <w:ind w:left="1152" w:right="1152"/>
      </w:pPr>
      <w:r w:rsidRPr="00E04D31">
        <w:t xml:space="preserve">The central message . . . is that a gap is opening up . . . between the infrastructure investments required for the future, and the capacity of the public sector to meet those requirements from traditional sources. Bridging the gap will demand innovative approaches, both to finding additional finance, and to using infrastructures more efficiently and more intelligently through new technologies, demand management strategies, regulatory changes, and improved planning </w:t>
      </w:r>
      <w:r w:rsidR="00F7383F">
        <w:fldChar w:fldCharType="begin"/>
      </w:r>
      <w:r>
        <w:instrText xml:space="preserve"> ADDIN ZOTERO_ITEM {"citationID":"q8VuofSV","properties":{"formattedCitation":"(Organisation for Economic Cooperation and Development (OECD) 2006, 20)","plainCitation":"(Organisation for Economic Cooperation and Development (OECD) 2006, 20)"},"citationItems":[{"id":1462,"uris":["http://zotero.org/groups/4482/items/NHI2AW4I","http://zotero.org/groups/4482/items/5MCXH4FW"],"uri":["http://zotero.org/groups/4482/items/NHI2AW4I","http://zotero.org/groups/4482/items/5MCXH4FW"],"locator":"20","label":"page"}]} </w:instrText>
      </w:r>
      <w:r w:rsidR="00F7383F">
        <w:fldChar w:fldCharType="separate"/>
      </w:r>
      <w:r>
        <w:t>(Organisation for Economic Cooperation and Development (OECD) 2006, 20)</w:t>
      </w:r>
      <w:r w:rsidR="00F7383F">
        <w:fldChar w:fldCharType="end"/>
      </w:r>
      <w:r w:rsidRPr="00E04D31">
        <w:t>.</w:t>
      </w:r>
    </w:p>
    <w:p w:rsidR="007D46DA" w:rsidRPr="00E04D31" w:rsidRDefault="007D46DA" w:rsidP="007D46DA"/>
    <w:p w:rsidR="007D46DA" w:rsidRPr="00E04D31" w:rsidRDefault="007D46DA" w:rsidP="007D46DA">
      <w:r w:rsidRPr="00E04D31">
        <w:t xml:space="preserve">Estache and Fay </w:t>
      </w:r>
      <w:fldSimple w:instr=" ADDIN ZOTERO_ITEM {&quot;citationID&quot;:&quot;ZkISyfZg&quot;,&quot;properties&quot;:{&quot;formattedCitation&quot;:&quot;(2010)&quot;,&quot;plainCitation&quot;:&quot;(2010)&quot;},&quot;citationItems&quot;:[{&quot;id&quot;:1119,&quot;uris&quot;:[&quot;http://zotero.org/groups/4482/items/VG54KBK3&quot;],&quot;uri&quot;:[&quot;http://zotero.org/groups/4482/items/VG54KBK3&quot;],&quot;suppress-author&quot;:true}]} ">
        <w:r>
          <w:t>(2010)</w:t>
        </w:r>
      </w:fldSimple>
      <w:r w:rsidRPr="00E04D31">
        <w:t xml:space="preserve"> present two more policy issues to add to this list, and while the focus of their paper is developing countries and regions, the issues are also germane to developed countries.</w:t>
      </w:r>
      <w:r>
        <w:t xml:space="preserve"> </w:t>
      </w:r>
      <w:r w:rsidRPr="00E04D31">
        <w:t xml:space="preserve">The first issue is how to allocate funds between infrastructure and competing sectors (e.g., education and health) in order to get the maximum “boost” in a budget-constrained environment. The second issue involves a similar question in terms of the “where” of infrastructure projects themselves. For example, Estache and Fay </w:t>
      </w:r>
      <w:r w:rsidR="00F7383F">
        <w:fldChar w:fldCharType="begin"/>
      </w:r>
      <w:r>
        <w:instrText xml:space="preserve"> ADDIN ZOTERO_ITEM {"citationID":"brozVT16","properties":{"formattedCitation":"(2010, 169)","plainCitation":"(2010, 169)"},"citationItems":[{"id":1119,"uris":["http://zotero.org/groups/4482/items/VG54KBK3"],"uri":["http://zotero.org/groups/4482/items/VG54KBK3"],"locator":"169","label":"page","suppress-author":true}]} </w:instrText>
      </w:r>
      <w:r w:rsidR="00F7383F">
        <w:fldChar w:fldCharType="separate"/>
      </w:r>
      <w:r>
        <w:t>(2010, 169)</w:t>
      </w:r>
      <w:r w:rsidR="00F7383F">
        <w:fldChar w:fldCharType="end"/>
      </w:r>
      <w:r w:rsidRPr="00E04D31">
        <w:t xml:space="preserve"> note that investing in poorer regions within a county may be “welfare-maximizing” but not growth-maximizing for the country as a whole, and thus equity-efficiency trade-offs </w:t>
      </w:r>
      <w:r>
        <w:t>enter</w:t>
      </w:r>
      <w:r w:rsidRPr="00E04D31">
        <w:t xml:space="preserve"> the debate.</w:t>
      </w:r>
    </w:p>
    <w:p w:rsidR="007D46DA" w:rsidRPr="00E04D31" w:rsidRDefault="007D46DA" w:rsidP="007D46DA">
      <w:pPr>
        <w:ind w:right="1152"/>
      </w:pPr>
    </w:p>
    <w:p w:rsidR="007D46DA" w:rsidRPr="00670DA5" w:rsidRDefault="007D46DA" w:rsidP="00877E30">
      <w:pPr>
        <w:pStyle w:val="Heading3"/>
      </w:pPr>
      <w:bookmarkStart w:id="25" w:name="_Toc323232041"/>
      <w:bookmarkStart w:id="26" w:name="_Toc200095261"/>
      <w:r w:rsidRPr="00670DA5">
        <w:t>Forecasts of infrastructure futures</w:t>
      </w:r>
      <w:bookmarkEnd w:id="25"/>
      <w:bookmarkEnd w:id="26"/>
    </w:p>
    <w:p w:rsidR="007D46DA" w:rsidRDefault="007D46DA" w:rsidP="007D46DA">
      <w:r>
        <w:t xml:space="preserve">Despite these efforts, there are relatively few quantitative forecasts of the future of infrastructure. Recently, in an effort originating in the World Bank, a small number of studies have begun to provide quantitative forecasts of global or regional infrastructure across multiple sectors. Fay </w:t>
      </w:r>
      <w:fldSimple w:instr=" ADDIN ZOTERO_ITEM {&quot;citationID&quot;:&quot;285282qguf&quot;,&quot;properties&quot;:{&quot;formattedCitation&quot;:&quot;(2001)&quot;,&quot;plainCitation&quot;:&quot;(2001)&quot;},&quot;citationItems&quot;:[{&quot;id&quot;:480,&quot;uris&quot;:[&quot;http://zotero.org/groups/4482/items/KQS277CN&quot;],&quot;uri&quot;:[&quot;http://zotero.org/groups/4482/items/KQS277CN&quot;],&quot;suppress-author&quot;:true}]} ">
        <w:r>
          <w:t>(2001)</w:t>
        </w:r>
      </w:fldSimple>
      <w:r>
        <w:t xml:space="preserve"> and Fay and Yepes </w:t>
      </w:r>
      <w:fldSimple w:instr=" ADDIN ZOTERO_ITEM {&quot;citationID&quot;:&quot;20npnr3bk4&quot;,&quot;properties&quot;:{&quot;formattedCitation&quot;:&quot;(2003)&quot;,&quot;plainCitation&quot;:&quot;(2003)&quot;},&quot;citationItems&quot;:[{&quot;id&quot;:1138,&quot;uris&quot;:[&quot;http://zotero.org/groups/4482/items/4BPWRAEZ&quot;],&quot;uri&quot;:[&quot;http://zotero.org/groups/4482/items/4BPWRAEZ&quot;],&quot;suppress-author&quot;:true}]} ">
        <w:r>
          <w:t>(2003)</w:t>
        </w:r>
      </w:fldSimple>
      <w:r>
        <w:t xml:space="preserve"> first developed and introduced a methodology to estimate future levels of transportation, power, water and sanitation, and telecommunications infrastructure and investment needs that has been used by, or served as the foundation for, most studies since. Briefly, historical data are used to estimate relationships between levels of infrastructure and explanatory variables, such as total GDP. These relationships are then used with assumptions or other forecasts of the future levels of the explanatory variables in order to estimate the future levels of infrastructure. Other data are used to provide estimates of the average unit cost of each type of infrastructure.</w:t>
      </w:r>
      <w:r w:rsidRPr="00165324">
        <w:t xml:space="preserve"> </w:t>
      </w:r>
      <w:r>
        <w:t>The amount of spending required for new construction is then calculated by multiplying these unit costs by the changes in the levels of infrastructure. Annual maintenance requirements are estimated as a share of the value of the infrastructure stock, such shares are a function of the expected lifetimes of each type of infrastructure. The value of the stock is then calculated for each type of infrastructure by multiplying its level by its unit cost.</w:t>
      </w:r>
    </w:p>
    <w:p w:rsidR="007D46DA" w:rsidRDefault="007D46DA" w:rsidP="007D46DA"/>
    <w:p w:rsidR="007D46DA" w:rsidRDefault="007D46DA" w:rsidP="007D46DA">
      <w:r>
        <w:t>These original studies—</w:t>
      </w:r>
      <w:r w:rsidRPr="003414EE">
        <w:t xml:space="preserve"> </w:t>
      </w:r>
      <w:r>
        <w:t xml:space="preserve">Fay </w:t>
      </w:r>
      <w:fldSimple w:instr=" ADDIN ZOTERO_ITEM {&quot;citationID&quot;:&quot;xRN49HLU&quot;,&quot;properties&quot;:{&quot;formattedCitation&quot;:&quot;(2001)&quot;,&quot;plainCitation&quot;:&quot;(2001)&quot;},&quot;citationItems&quot;:[{&quot;id&quot;:480,&quot;uris&quot;:[&quot;http://zotero.org/groups/4482/items/KQS277CN&quot;],&quot;uri&quot;:[&quot;http://zotero.org/groups/4482/items/KQS277CN&quot;],&quot;suppress-author&quot;:true}]} ">
        <w:r>
          <w:t>(2001)</w:t>
        </w:r>
      </w:fldSimple>
      <w:r>
        <w:t xml:space="preserve"> and Fay and Yepes </w:t>
      </w:r>
      <w:fldSimple w:instr=" ADDIN ZOTERO_ITEM {&quot;citationID&quot;:&quot;H87ycsga&quot;,&quot;properties&quot;:{&quot;formattedCitation&quot;:&quot;(2003)&quot;,&quot;plainCitation&quot;:&quot;(2003)&quot;},&quot;citationItems&quot;:[{&quot;id&quot;:1138,&quot;uris&quot;:[&quot;http://zotero.org/groups/4482/items/4BPWRAEZ&quot;],&quot;uri&quot;:[&quot;http://zotero.org/groups/4482/items/4BPWRAEZ&quot;],&quot;suppress-author&quot;:true}]} ">
        <w:r>
          <w:t>(2003)</w:t>
        </w:r>
      </w:fldSimple>
      <w:r>
        <w:t xml:space="preserve">—only looked a few years out, five and ten years, respectively. Chatterton and Puerto </w:t>
      </w:r>
      <w:fldSimple w:instr=" ADDIN ZOTERO_ITEM {&quot;citationID&quot;:&quot;48jpru42l&quot;,&quot;properties&quot;:{&quot;formattedCitation&quot;:&quot;(2006)&quot;,&quot;plainCitation&quot;:&quot;(2006)&quot;},&quot;citationItems&quot;:[{&quot;id&quot;:903,&quot;uris&quot;:[&quot;http://zotero.org/groups/4482/items/8BCTKHKI&quot;],&quot;uri&quot;:[&quot;http://zotero.org/groups/4482/items/8BCTKHKI&quot;],&quot;suppress-author&quot;:true}]} ">
        <w:r>
          <w:t>(2006)</w:t>
        </w:r>
      </w:fldSimple>
      <w:r>
        <w:t xml:space="preserve">, Yepes </w:t>
      </w:r>
      <w:fldSimple w:instr=" ADDIN ZOTERO_ITEM {&quot;citationID&quot;:&quot;8qhkf4m39&quot;,&quot;properties&quot;:{&quot;formattedCitation&quot;:&quot;(2005)&quot;,&quot;plainCitation&quot;:&quot;(2005)&quot;},&quot;citationItems&quot;:[{&quot;id&quot;:904,&quot;uris&quot;:[&quot;http://zotero.org/groups/4482/items/TXS9JSZB&quot;],&quot;uri&quot;:[&quot;http://zotero.org/groups/4482/items/TXS9JSZB&quot;],&quot;label&quot;:&quot;page&quot;,&quot;suppress-author&quot;:true}]} ">
        <w:r>
          <w:t>(2005)</w:t>
        </w:r>
      </w:fldSimple>
      <w:r>
        <w:t xml:space="preserve"> and Bhattacharyay </w:t>
      </w:r>
      <w:fldSimple w:instr=" ADDIN ZOTERO_ITEM {&quot;citationID&quot;:&quot;1spr8asnhs&quot;,&quot;properties&quot;:{&quot;formattedCitation&quot;:&quot;(2010)&quot;,&quot;plainCitation&quot;:&quot;(2010)&quot;},&quot;citationItems&quot;:[{&quot;id&quot;:1156,&quot;uris&quot;:[&quot;http://zotero.org/groups/4482/items/MQ3EDFBR&quot;],&quot;uri&quot;:[&quot;http://zotero.org/groups/4482/items/MQ3EDFBR&quot;],&quot;suppress-author&quot;:true}]} ">
        <w:r>
          <w:t>(2010)</w:t>
        </w:r>
      </w:fldSimple>
      <w:r>
        <w:t xml:space="preserve"> also maintained similarly short time horizons. More recently, Stevens et al </w:t>
      </w:r>
      <w:r w:rsidR="00F7383F">
        <w:fldChar w:fldCharType="begin"/>
      </w:r>
      <w:r>
        <w:instrText xml:space="preserve"> ADDIN ZOTERO_ITEM {"citationID":"bpl6egr94","properties":{"formattedCitation":"(2006)","plainCitation":"(2006)"},"citationItems":[{"id":1462,"uris":["http://zotero.org/groups/4482/items/NHI2AW4I","http://zotero.org/groups/4482/items/5MCXH4FW"],"uri":["http://zotero.org/groups/4482/items/NHI2AW4I","http://zotero.org/groups/4482/items/5MCXH4FW"],"suppress-author":true}]} </w:instrText>
      </w:r>
      <w:r w:rsidR="00F7383F">
        <w:fldChar w:fldCharType="separate"/>
      </w:r>
      <w:r>
        <w:t>(2006)</w:t>
      </w:r>
      <w:r w:rsidR="00F7383F">
        <w:fldChar w:fldCharType="end"/>
      </w:r>
      <w:r>
        <w:t xml:space="preserve">, Hughes, Chinowsky, and Strzepek </w:t>
      </w:r>
      <w:r w:rsidR="00F7383F">
        <w:fldChar w:fldCharType="begin"/>
      </w:r>
      <w:r>
        <w:instrText xml:space="preserve"> ADDIN ZOTERO_ITEM {"citationID":"u3f8n3gm1","properties":{"formattedCitation":"(2009; 2010)","plainCitation":"(2009; 2010)"},"citationItems":[{"id":975,"uris":["http://zotero.org/groups/4482/items/ZNDAXGEG"],"uri":["http://zotero.org/groups/4482/items/ZNDAXGEG"],"label":"page","suppress-author":true},{"id":1064,"uris":["http://zotero.org/groups/4482/items/VXX9PDDM"],"uri":["http://zotero.org/groups/4482/items/VXX9PDDM"],"label":"page","suppress-author":true}]} </w:instrText>
      </w:r>
      <w:r w:rsidR="00F7383F">
        <w:fldChar w:fldCharType="separate"/>
      </w:r>
      <w:r>
        <w:t>(2009; 2010)</w:t>
      </w:r>
      <w:r w:rsidR="00F7383F">
        <w:fldChar w:fldCharType="end"/>
      </w:r>
      <w:r>
        <w:t xml:space="preserve">, Kohli and Basil </w:t>
      </w:r>
      <w:fldSimple w:instr=" ADDIN ZOTERO_ITEM {&quot;citationID&quot;:&quot;1jeph3r7aj&quot;,&quot;properties&quot;:{&quot;formattedCitation&quot;:&quot;(2011)&quot;,&quot;plainCitation&quot;:&quot;(2011)&quot;},&quot;citationItems&quot;:[{&quot;id&quot;:1157,&quot;uris&quot;:[&quot;http://zotero.org/groups/4482/items/PNQFGAHH&quot;],&quot;uri&quot;:[&quot;http://zotero.org/groups/4482/items/PNQFGAHH&quot;],&quot;suppress-author&quot;:true}]} ">
        <w:r>
          <w:t>(2011)</w:t>
        </w:r>
      </w:fldSimple>
      <w:r>
        <w:t xml:space="preserve">, and Kohli and Mukherjee </w:t>
      </w:r>
      <w:fldSimple w:instr=" ADDIN ZOTERO_ITEM {&quot;citationID&quot;:&quot;26sl9ih0mg&quot;,&quot;properties&quot;:{&quot;formattedCitation&quot;:&quot;(2011)&quot;,&quot;plainCitation&quot;:&quot;(2011)&quot;},&quot;citationItems&quot;:[{&quot;id&quot;:1181,&quot;uris&quot;:[&quot;http://zotero.org/groups/4482/items/R2HU5E9R&quot;],&quot;uri&quot;:[&quot;http://zotero.org/groups/4482/items/R2HU5E9R&quot;],&quot;suppress-author&quot;:true}]} ">
        <w:r>
          <w:t>(2011)</w:t>
        </w:r>
      </w:fldSimple>
      <w:r>
        <w:t xml:space="preserve"> extended the time horizon of these types of studies, looking out as far as mid-century. Each of these studies followed the same basic approach, but either re-estimated or updated: (1) the relationships between the explanatory variables and infrastructure; (2) forecasts of the explanatory variables; and (3) unit costs. Also, each of these studies included some aspect or aspects of transportation, power, water and sanitation, and telecommunications, but with some differences in specific forms or levels of detail, particularly with respect to transportation (e.g., some included only paved roads while others included all roads, and some included rails, airports, and/or ports while others did not). Regrettably, only one </w:t>
      </w:r>
      <w:fldSimple w:instr=" ADDIN ZOTERO_ITEM {&quot;citationID&quot;:&quot;10htitck6u&quot;,&quot;properties&quot;:{&quot;formattedCitation&quot;:&quot;(Kohli and Basil 2011)&quot;,&quot;plainCitation&quot;:&quot;(Kohli and Basil 2011)&quot;},&quot;citationItems&quot;:[{&quot;id&quot;:1157,&quot;uris&quot;:[&quot;http://zotero.org/groups/4482/items/PNQFGAHH&quot;],&quot;uri&quot;:[&quot;http://zotero.org/groups/4482/items/PNQFGAHH&quot;]}]} ">
        <w:r>
          <w:t>(Kohli and Basil 2011)</w:t>
        </w:r>
      </w:fldSimple>
      <w:r>
        <w:t xml:space="preserve"> included broadband (and even then only fixed broadband), despite its explosive growth throughout the world and its promise for transforming infrastructure and infrastructure services in so many ways. </w:t>
      </w:r>
    </w:p>
    <w:p w:rsidR="007D46DA" w:rsidRDefault="007D46DA" w:rsidP="007D46DA"/>
    <w:p w:rsidR="007D46DA" w:rsidRDefault="007D46DA" w:rsidP="007D46DA">
      <w:r>
        <w:t xml:space="preserve">Estache and Fay </w:t>
      </w:r>
      <w:fldSimple w:instr=" ADDIN ZOTERO_ITEM {&quot;citationID&quot;:&quot;16vf85vkli&quot;,&quot;properties&quot;:{&quot;formattedCitation&quot;:&quot;(2010)&quot;,&quot;plainCitation&quot;:&quot;(2010)&quot;},&quot;citationItems&quot;:[{&quot;id&quot;:1119,&quot;uris&quot;:[&quot;http://zotero.org/groups/4482/items/VG54KBK3&quot;],&quot;uri&quot;:[&quot;http://zotero.org/groups/4482/items/VG54KBK3&quot;],&quot;suppress-author&quot;:true}]} ">
        <w:r>
          <w:t>(2010)</w:t>
        </w:r>
      </w:fldSimple>
      <w:r>
        <w:t xml:space="preserve">, among others, have been careful to note the limitations of the prevailing approach. First, most, but not all of the studies use relationships, unit costs, and infrastructure lifetimes that do not differ across countries or over time. Second, because it uses historical data to estimate the relationships between the explanatory variables and infrastructure stocks, this approach “identifies potential demand given expected growth, not the level of infrastructure that would maximize growth or some other social goal” </w:t>
      </w:r>
      <w:r w:rsidR="00F7383F">
        <w:fldChar w:fldCharType="begin"/>
      </w:r>
      <w:r>
        <w:instrText xml:space="preserve"> ADDIN ZOTERO_ITEM {"citationID":"lL92vnt8","properties":{"formattedCitation":"(Estache and Fay 2010, 163)","plainCitation":"(Estache and Fay 2010, 163)"},"citationItems":[{"id":1119,"uris":["http://zotero.org/groups/4482/items/VG54KBK3"],"uri":["http://zotero.org/groups/4482/items/VG54KBK3"],"locator":"163","label":"page"}]} </w:instrText>
      </w:r>
      <w:r w:rsidR="00F7383F">
        <w:fldChar w:fldCharType="separate"/>
      </w:r>
      <w:r>
        <w:t>(Estache and Fay 2010: 163)</w:t>
      </w:r>
      <w:r w:rsidR="00F7383F">
        <w:fldChar w:fldCharType="end"/>
      </w:r>
      <w:r>
        <w:t>.</w:t>
      </w:r>
      <w:r>
        <w:rPr>
          <w:rStyle w:val="FootnoteReference"/>
        </w:rPr>
        <w:t xml:space="preserve"> </w:t>
      </w:r>
      <w:r>
        <w:t>Third, the projections do not balance the demand for infrastructure against the supply of funds for the construction and maintenance of this infrastructure. Finally, there is no feedback from the levels of infrastructure back to the drivers of infrastructure demand. For instance, such analyses consider no changes in population levels and resulting increased demand for infrastructure services from decreases in child mortality as a consequence of improved water and sanitation; similarly, studies typically do not explore changes in GDP resulting from investments in information and communications technology that may generate still more demand for infrastructure as well as funds to pay for it).</w:t>
      </w:r>
    </w:p>
    <w:p w:rsidR="007D46DA" w:rsidRDefault="007D46DA" w:rsidP="007D46DA"/>
    <w:p w:rsidR="007D46DA" w:rsidRDefault="007D46DA" w:rsidP="007D46DA">
      <w:r>
        <w:t>To be fair, a number of the limitations noted above are beyond the main purpose of these studies, which did not extend beyond estimating the levels of infrastructure demand and funding requirements under assumed growth trajectories. And even with this main purpose, a number of the studies began to venture into other areas. Fay and Morrison</w:t>
      </w:r>
      <w:r w:rsidRPr="00AD6442">
        <w:t xml:space="preserve"> </w:t>
      </w:r>
      <w:r w:rsidR="00F7383F" w:rsidRPr="00AD6442">
        <w:fldChar w:fldCharType="begin"/>
      </w:r>
      <w:r>
        <w:instrText xml:space="preserve"> ADDIN ZOTERO_ITEM {"citationID":"4RgZ8mWz","properties":{"formattedCitation":"(2007)","plainCitation":"(2007)"},"citationItems":[{"id":347,"uris":["http://zotero.org/groups/4482/items/BF954KCA"],"uri":["http://zotero.org/groups/4482/items/BF954KCA"],"suppress-author":true}]} </w:instrText>
      </w:r>
      <w:r w:rsidR="00F7383F" w:rsidRPr="00AD6442">
        <w:fldChar w:fldCharType="separate"/>
      </w:r>
      <w:r>
        <w:t>(2007)</w:t>
      </w:r>
      <w:r w:rsidR="00F7383F" w:rsidRPr="00AD6442">
        <w:fldChar w:fldCharType="end"/>
      </w:r>
      <w:r>
        <w:t xml:space="preserve"> and </w:t>
      </w:r>
      <w:r w:rsidRPr="00E04D31">
        <w:t>Foster and Brice</w:t>
      </w:r>
      <w:r>
        <w:t>ñ</w:t>
      </w:r>
      <w:r w:rsidRPr="00E04D31">
        <w:t>o-Garmendia</w:t>
      </w:r>
      <w:r w:rsidRPr="00AD6442">
        <w:t xml:space="preserve"> </w:t>
      </w:r>
      <w:fldSimple w:instr=" ADDIN ZOTERO_ITEM {&quot;citationID&quot;:&quot;2gfndvvodk&quot;,&quot;properties&quot;:{&quot;formattedCitation&quot;:&quot;(2010)&quot;,&quot;plainCitation&quot;:&quot;(2010)&quot;},&quot;citationItems&quot;:[{&quot;id&quot;:301,&quot;uris&quot;:[&quot;http://zotero.org/groups/4482/items/8R277WSI&quot;],&quot;uri&quot;:[&quot;http://zotero.org/groups/4482/items/8R277WSI&quot;],&quot;suppress-author&quot;:true}]} ">
        <w:r>
          <w:t>(2010)</w:t>
        </w:r>
      </w:fldSimple>
      <w:r>
        <w:t xml:space="preserve"> used the costing part of the methodology to estimate the costs of meeting specific social targets for infrastructure stocks, and Yepes </w:t>
      </w:r>
      <w:fldSimple w:instr=" ADDIN ZOTERO_ITEM {&quot;citationID&quot;:&quot;2crn27vtca&quot;,&quot;properties&quot;:{&quot;formattedCitation&quot;:&quot;(2008)&quot;,&quot;plainCitation&quot;:&quot;(2008)&quot;},&quot;citationItems&quot;:[{&quot;id&quot;:716,&quot;uris&quot;:[&quot;http://zotero.org/groups/4482/items/6FIFS46X&quot;],&quot;uri&quot;:[&quot;http://zotero.org/groups/4482/items/6FIFS46X&quot;],&quot;suppress-author&quot;:true}]} ">
        <w:r>
          <w:t>(2008)</w:t>
        </w:r>
      </w:fldSimple>
      <w:r>
        <w:t xml:space="preserve"> analyzed and compared varied trajectories (e.g., “business as usual” vs. “catching up with MDGs”) for access to safe water and improved sanitation. Yepes </w:t>
      </w:r>
      <w:fldSimple w:instr=" ADDIN ZOTERO_ITEM {&quot;citationID&quot;:&quot;DoT451S6&quot;,&quot;properties&quot;:{&quot;formattedCitation&quot;:&quot;(2008)&quot;,&quot;plainCitation&quot;:&quot;(2008)&quot;},&quot;citationItems&quot;:[{&quot;id&quot;:716,&quot;uris&quot;:[&quot;http://zotero.org/groups/4482/items/6FIFS46X&quot;],&quot;uri&quot;:[&quot;http://zotero.org/groups/4482/items/6FIFS46X&quot;],&quot;suppress-author&quot;:true}]} ">
        <w:r>
          <w:t>(2008)</w:t>
        </w:r>
      </w:fldSimple>
      <w:r>
        <w:t xml:space="preserve"> further estimated current expenditures and compared them with calculated demand, although he did not explore whether and how such gaps might be met. And a number of the studies have included sensitivity analyses centered on alternative growth assumptions or, in the case of Hughes, Chinowsky, and Strzepek </w:t>
      </w:r>
      <w:r w:rsidR="00F7383F">
        <w:fldChar w:fldCharType="begin"/>
      </w:r>
      <w:r>
        <w:instrText xml:space="preserve"> ADDIN ZOTERO_ITEM {"citationID":"bEZwNk4A","properties":{"formattedCitation":"(2009; 2010)","plainCitation":"(2009; 2010)"},"citationItems":[{"id":975,"uris":["http://zotero.org/groups/4482/items/ZNDAXGEG"],"uri":["http://zotero.org/groups/4482/items/ZNDAXGEG"],"label":"page","suppress-author":true},{"id":1064,"uris":["http://zotero.org/groups/4482/items/VXX9PDDM"],"uri":["http://zotero.org/groups/4482/items/VXX9PDDM"],"label":"page","suppress-author":true}]} </w:instrText>
      </w:r>
      <w:r w:rsidR="00F7383F">
        <w:fldChar w:fldCharType="separate"/>
      </w:r>
      <w:r>
        <w:t>(2009; 2010)</w:t>
      </w:r>
      <w:r w:rsidR="00F7383F">
        <w:fldChar w:fldCharType="end"/>
      </w:r>
      <w:r>
        <w:t>, scenarios that compare infrastructure requirements and costs with and without climate change. In summary, t</w:t>
      </w:r>
      <w:r w:rsidRPr="00E04D31">
        <w:t>hese studies</w:t>
      </w:r>
      <w:r>
        <w:t xml:space="preserve">, and others cited earlier in this chapter related to the </w:t>
      </w:r>
      <w:r w:rsidRPr="00E04D31">
        <w:t>quantif</w:t>
      </w:r>
      <w:r>
        <w:t>ication of</w:t>
      </w:r>
      <w:r w:rsidRPr="00E04D31">
        <w:t xml:space="preserve"> the relationship between infrastructure and various components of human development</w:t>
      </w:r>
      <w:r>
        <w:t>,</w:t>
      </w:r>
      <w:r w:rsidRPr="00E04D31">
        <w:t xml:space="preserve"> have </w:t>
      </w:r>
      <w:r>
        <w:t xml:space="preserve">provided a valuable foundation for our work and </w:t>
      </w:r>
      <w:r w:rsidRPr="00E04D31">
        <w:t xml:space="preserve">informed our </w:t>
      </w:r>
      <w:r>
        <w:t xml:space="preserve">modeling </w:t>
      </w:r>
      <w:r w:rsidRPr="00E04D31">
        <w:t>approach</w:t>
      </w:r>
      <w:r>
        <w:t xml:space="preserve">, which is described in detail in Chapter 4. They also </w:t>
      </w:r>
      <w:r w:rsidRPr="00E04D31">
        <w:t>provide projections against which we can compare our results</w:t>
      </w:r>
      <w:r>
        <w:t xml:space="preserve"> starting in Chapter 5</w:t>
      </w:r>
      <w:r w:rsidRPr="00E04D31">
        <w:t>.</w:t>
      </w:r>
    </w:p>
    <w:p w:rsidR="007D46DA" w:rsidRPr="00E04D31" w:rsidRDefault="007D46DA" w:rsidP="007D46DA"/>
    <w:p w:rsidR="007D46DA" w:rsidRPr="00E04D31" w:rsidRDefault="00877E30" w:rsidP="00877E30">
      <w:pPr>
        <w:pStyle w:val="Heading2"/>
      </w:pPr>
      <w:bookmarkStart w:id="27" w:name="_Toc323232042"/>
      <w:r>
        <w:t xml:space="preserve"> </w:t>
      </w:r>
      <w:bookmarkStart w:id="28" w:name="_Toc200095262"/>
      <w:r w:rsidR="007D46DA" w:rsidRPr="00E04D31">
        <w:t xml:space="preserve">Why this </w:t>
      </w:r>
      <w:r w:rsidR="007D46DA">
        <w:t>V</w:t>
      </w:r>
      <w:r w:rsidR="007D46DA" w:rsidRPr="00E04D31">
        <w:t>olume</w:t>
      </w:r>
      <w:bookmarkEnd w:id="27"/>
      <w:bookmarkEnd w:id="28"/>
    </w:p>
    <w:p w:rsidR="007D46DA" w:rsidRDefault="007D46DA" w:rsidP="007D46DA">
      <w:r>
        <w:t>W</w:t>
      </w:r>
      <w:r w:rsidRPr="00E04D31">
        <w:t>ith this volume</w:t>
      </w:r>
      <w:r>
        <w:t>, we</w:t>
      </w:r>
      <w:r w:rsidRPr="00E04D31">
        <w:t xml:space="preserve"> extend and complement the existing work on the future of infrastructure and the relationship of infrastructure to human well-being. </w:t>
      </w:r>
      <w:r>
        <w:t>The key questions we explore are:</w:t>
      </w:r>
    </w:p>
    <w:p w:rsidR="007D46DA" w:rsidRDefault="007D46DA" w:rsidP="007D46DA"/>
    <w:p w:rsidR="007D46DA" w:rsidRDefault="007D46DA" w:rsidP="007D46DA">
      <w:pPr>
        <w:pStyle w:val="ListParagraph"/>
        <w:numPr>
          <w:ilvl w:val="0"/>
          <w:numId w:val="7"/>
        </w:numPr>
      </w:pPr>
      <w:r w:rsidRPr="004C362E">
        <w:t xml:space="preserve">What </w:t>
      </w:r>
      <w:r>
        <w:t xml:space="preserve">is the expected future of </w:t>
      </w:r>
      <w:r w:rsidRPr="004C362E">
        <w:t>infrastructure</w:t>
      </w:r>
      <w:r>
        <w:t>, considering current patterns of both demand and supply</w:t>
      </w:r>
      <w:r w:rsidRPr="004C362E">
        <w:t>?</w:t>
      </w:r>
    </w:p>
    <w:p w:rsidR="007D46DA" w:rsidRPr="004C362E" w:rsidRDefault="007D46DA" w:rsidP="007D46DA">
      <w:pPr>
        <w:pStyle w:val="ListParagraph"/>
        <w:numPr>
          <w:ilvl w:val="0"/>
          <w:numId w:val="7"/>
        </w:numPr>
      </w:pPr>
      <w:r>
        <w:t>How realistic are the infrastructure targets that have been specified in policy discussions, and what are the implications of pursuing these for broader economic, social, and political prospects of countries, regions, and the world?</w:t>
      </w:r>
    </w:p>
    <w:p w:rsidR="007D46DA" w:rsidRPr="004C362E" w:rsidRDefault="007D46DA" w:rsidP="007D46DA">
      <w:pPr>
        <w:pStyle w:val="ListParagraph"/>
        <w:numPr>
          <w:ilvl w:val="0"/>
          <w:numId w:val="7"/>
        </w:numPr>
      </w:pPr>
      <w:r>
        <w:t xml:space="preserve">What might be a more realistic, inclusive, and favorable set of targets? </w:t>
      </w:r>
    </w:p>
    <w:p w:rsidR="007D46DA" w:rsidRDefault="007D46DA" w:rsidP="007D46DA"/>
    <w:p w:rsidR="007D46DA" w:rsidRPr="00E04D31" w:rsidRDefault="007D46DA" w:rsidP="007D46DA">
      <w:r>
        <w:t xml:space="preserve">In order to do so, </w:t>
      </w:r>
      <w:r w:rsidRPr="00E04D31">
        <w:t>we</w:t>
      </w:r>
      <w:r>
        <w:t>:</w:t>
      </w:r>
    </w:p>
    <w:p w:rsidR="007D46DA" w:rsidRPr="00E04D31" w:rsidRDefault="007D46DA" w:rsidP="007D46DA"/>
    <w:p w:rsidR="007D46DA" w:rsidRPr="00E04D31" w:rsidRDefault="007D46DA" w:rsidP="007D46DA">
      <w:pPr>
        <w:pStyle w:val="BodyText"/>
        <w:numPr>
          <w:ilvl w:val="0"/>
          <w:numId w:val="7"/>
        </w:numPr>
        <w:spacing w:before="0" w:after="0"/>
        <w:jc w:val="left"/>
      </w:pPr>
      <w:r w:rsidRPr="00E04D31">
        <w:t>Provide forecasts of levels of key infrastructure</w:t>
      </w:r>
      <w:r>
        <w:t xml:space="preserve"> stocks, access, and spending</w:t>
      </w:r>
      <w:r w:rsidRPr="00E04D31">
        <w:t xml:space="preserve"> for individual countries and for global and regional groupings</w:t>
      </w:r>
      <w:r>
        <w:t xml:space="preserve"> out to the year 2060</w:t>
      </w:r>
    </w:p>
    <w:p w:rsidR="007D46DA" w:rsidRDefault="007D46DA" w:rsidP="007D46DA">
      <w:pPr>
        <w:pStyle w:val="BodyText"/>
        <w:numPr>
          <w:ilvl w:val="0"/>
          <w:numId w:val="7"/>
        </w:numPr>
        <w:spacing w:before="0" w:after="0"/>
        <w:jc w:val="left"/>
      </w:pPr>
      <w:r>
        <w:t>Explore the broader social and environmental implications associated with these forecasts</w:t>
      </w:r>
    </w:p>
    <w:p w:rsidR="007D46DA" w:rsidRPr="00E04D31" w:rsidRDefault="007D46DA" w:rsidP="007D46DA">
      <w:pPr>
        <w:pStyle w:val="BodyText"/>
        <w:spacing w:before="0" w:after="0"/>
        <w:jc w:val="left"/>
      </w:pPr>
    </w:p>
    <w:p w:rsidR="007D46DA" w:rsidRPr="00E04D31" w:rsidRDefault="007D46DA" w:rsidP="007D46DA">
      <w:pPr>
        <w:pStyle w:val="BodyText"/>
        <w:spacing w:before="0" w:after="0"/>
        <w:jc w:val="left"/>
      </w:pPr>
      <w:r>
        <w:t xml:space="preserve">Importantly, we </w:t>
      </w:r>
      <w:r w:rsidRPr="00E04D31">
        <w:t xml:space="preserve">enter </w:t>
      </w:r>
      <w:r>
        <w:t xml:space="preserve">new forecasting </w:t>
      </w:r>
      <w:r w:rsidRPr="00E04D31">
        <w:t>territory by</w:t>
      </w:r>
      <w:r>
        <w:t>:</w:t>
      </w:r>
    </w:p>
    <w:p w:rsidR="007D46DA" w:rsidRDefault="007D46DA" w:rsidP="007D46DA">
      <w:pPr>
        <w:pStyle w:val="BodyText"/>
        <w:numPr>
          <w:ilvl w:val="0"/>
          <w:numId w:val="9"/>
        </w:numPr>
        <w:spacing w:before="0" w:after="0"/>
        <w:jc w:val="left"/>
      </w:pPr>
      <w:r w:rsidRPr="00E04D31">
        <w:t>Separately considering, and then reconciling, the factors that drive the demand for infrastructure and the supply of infrastructure through a “demand-driven, supply-constrained” approach</w:t>
      </w:r>
    </w:p>
    <w:p w:rsidR="007D46DA" w:rsidRPr="00E04D31" w:rsidRDefault="007D46DA" w:rsidP="007D46DA">
      <w:pPr>
        <w:pStyle w:val="BodyText"/>
        <w:numPr>
          <w:ilvl w:val="0"/>
          <w:numId w:val="9"/>
        </w:numPr>
        <w:spacing w:before="0" w:after="0"/>
        <w:jc w:val="left"/>
      </w:pPr>
      <w:r>
        <w:t>Including mobile as well as fixed broadband in our forecasts</w:t>
      </w:r>
    </w:p>
    <w:p w:rsidR="007D46DA" w:rsidRPr="00E04D31" w:rsidRDefault="007D46DA" w:rsidP="007D46DA">
      <w:pPr>
        <w:pStyle w:val="BodyText"/>
        <w:numPr>
          <w:ilvl w:val="0"/>
          <w:numId w:val="9"/>
        </w:numPr>
        <w:spacing w:before="0" w:after="0"/>
        <w:jc w:val="left"/>
      </w:pPr>
      <w:r w:rsidRPr="00E04D31">
        <w:t xml:space="preserve">Exploring selected impacts of different infrastructure futures on future development and human well-being and, in turn, the role </w:t>
      </w:r>
      <w:r>
        <w:t xml:space="preserve">that </w:t>
      </w:r>
      <w:r w:rsidRPr="00E04D31">
        <w:t xml:space="preserve">human development plays in the further </w:t>
      </w:r>
      <w:r>
        <w:t xml:space="preserve">demand for and </w:t>
      </w:r>
      <w:r w:rsidRPr="00E04D31">
        <w:t>development of infrastructure</w:t>
      </w:r>
    </w:p>
    <w:p w:rsidR="007D46DA" w:rsidRPr="00E04D31" w:rsidRDefault="007D46DA" w:rsidP="007D46DA">
      <w:pPr>
        <w:pStyle w:val="BodyText"/>
        <w:spacing w:before="0" w:after="0"/>
        <w:jc w:val="left"/>
      </w:pPr>
    </w:p>
    <w:p w:rsidR="007D46DA" w:rsidRPr="00E04D31" w:rsidRDefault="007D46DA" w:rsidP="007D46DA">
      <w:pPr>
        <w:pStyle w:val="BodyText"/>
        <w:spacing w:before="0" w:after="0"/>
        <w:jc w:val="left"/>
      </w:pPr>
      <w:r w:rsidRPr="00E04D31">
        <w:t>Figure 1.</w:t>
      </w:r>
      <w:r>
        <w:t>4</w:t>
      </w:r>
      <w:r w:rsidRPr="00E04D31">
        <w:t xml:space="preserve"> is a simplified representation of our approach.</w:t>
      </w:r>
    </w:p>
    <w:p w:rsidR="007D46DA" w:rsidRDefault="007D46DA" w:rsidP="007D46DA">
      <w:bookmarkStart w:id="29" w:name="_Toc296429961"/>
      <w:bookmarkEnd w:id="29"/>
    </w:p>
    <w:p w:rsidR="007D46DA" w:rsidRDefault="007D46DA" w:rsidP="007D46DA"/>
    <w:p w:rsidR="007D46DA" w:rsidRDefault="007D46DA" w:rsidP="007D46DA"/>
    <w:p w:rsidR="007D46DA" w:rsidRPr="00E04D31" w:rsidRDefault="007D46DA" w:rsidP="007D46DA"/>
    <w:p w:rsidR="007D46DA" w:rsidRDefault="000016D4" w:rsidP="007D46DA">
      <w:pPr>
        <w:pStyle w:val="ListParagraph"/>
        <w:ind w:left="0"/>
        <w:rPr>
          <w:b/>
        </w:rPr>
      </w:pPr>
      <w:r w:rsidRPr="000016D4">
        <w:rPr>
          <w:b/>
          <w:noProof/>
        </w:rPr>
        <w:drawing>
          <wp:inline distT="0" distB="0" distL="0" distR="0">
            <wp:extent cx="5486400" cy="2794000"/>
            <wp:effectExtent l="25400" t="0" r="0" b="0"/>
            <wp:docPr id="29" name="O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05800" cy="2667000"/>
                      <a:chOff x="0" y="0"/>
                      <a:chExt cx="8305800" cy="2667000"/>
                    </a:xfrm>
                  </a:grpSpPr>
                  <a:sp>
                    <a:nvSpPr>
                      <a:cNvPr id="12" name="Oval 11"/>
                      <a:cNvSpPr/>
                    </a:nvSpPr>
                    <a:spPr>
                      <a:xfrm>
                        <a:off x="6096000" y="533400"/>
                        <a:ext cx="2209800" cy="1600200"/>
                      </a:xfrm>
                      <a:prstGeom prst="ellipse">
                        <a:avLst/>
                      </a:prstGeom>
                      <a:solidFill>
                        <a:schemeClr val="tx2">
                          <a:lumMod val="40000"/>
                          <a:lumOff val="60000"/>
                          <a:alpha val="73000"/>
                        </a:schemeClr>
                      </a:solidFill>
                      <a:ln>
                        <a:solidFill>
                          <a:schemeClr val="accent1"/>
                        </a:solidFill>
                      </a:ln>
                    </a:spPr>
                    <a:txSp>
                      <a:txBody>
                        <a:bodyPr wrap="square"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400" b="1">
                              <a:solidFill>
                                <a:srgbClr val="000000"/>
                              </a:solidFill>
                              <a:effectLst/>
                              <a:latin typeface="Times New Roman"/>
                              <a:cs typeface="Times New Roman"/>
                            </a:rPr>
                            <a:t>Development and human well-being</a:t>
                          </a:r>
                        </a:p>
                      </a:txBody>
                      <a:useSpRect/>
                    </a:txSp>
                    <a:style>
                      <a:lnRef idx="1">
                        <a:schemeClr val="accent1"/>
                      </a:lnRef>
                      <a:fillRef idx="3">
                        <a:schemeClr val="accent1"/>
                      </a:fillRef>
                      <a:effectRef idx="2">
                        <a:schemeClr val="accent1"/>
                      </a:effectRef>
                      <a:fontRef idx="minor">
                        <a:schemeClr val="lt1"/>
                      </a:fontRef>
                    </a:style>
                  </a:sp>
                  <a:sp>
                    <a:nvSpPr>
                      <a:cNvPr id="13" name="Rectangle 12"/>
                      <a:cNvSpPr/>
                    </a:nvSpPr>
                    <a:spPr>
                      <a:xfrm>
                        <a:off x="0" y="76200"/>
                        <a:ext cx="1981200" cy="914400"/>
                      </a:xfrm>
                      <a:prstGeom prst="rect">
                        <a:avLst/>
                      </a:prstGeom>
                      <a:solidFill>
                        <a:schemeClr val="tx2">
                          <a:lumMod val="40000"/>
                          <a:lumOff val="60000"/>
                          <a:alpha val="73000"/>
                        </a:schemeClr>
                      </a:solidFill>
                      <a:ln>
                        <a:solidFill>
                          <a:schemeClr val="accent1"/>
                        </a:solidFill>
                      </a:ln>
                    </a:spPr>
                    <a:txSp>
                      <a:txBody>
                        <a:bodyPr wrap="square"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effectLst/>
                              <a:latin typeface="Times New Roman"/>
                              <a:cs typeface="Times New Roman"/>
                            </a:rPr>
                            <a:t>Drivers of demand</a:t>
                          </a:r>
                        </a:p>
                      </a:txBody>
                      <a:useSpRect/>
                    </a:txSp>
                    <a:style>
                      <a:lnRef idx="1">
                        <a:schemeClr val="accent1"/>
                      </a:lnRef>
                      <a:fillRef idx="3">
                        <a:schemeClr val="accent1"/>
                      </a:fillRef>
                      <a:effectRef idx="2">
                        <a:schemeClr val="accent1"/>
                      </a:effectRef>
                      <a:fontRef idx="minor">
                        <a:schemeClr val="lt1"/>
                      </a:fontRef>
                    </a:style>
                  </a:sp>
                  <a:sp>
                    <a:nvSpPr>
                      <a:cNvPr id="14" name="Rectangle 13"/>
                      <a:cNvSpPr/>
                    </a:nvSpPr>
                    <a:spPr>
                      <a:xfrm>
                        <a:off x="0" y="1676400"/>
                        <a:ext cx="1981200" cy="914400"/>
                      </a:xfrm>
                      <a:prstGeom prst="rect">
                        <a:avLst/>
                      </a:prstGeom>
                      <a:solidFill>
                        <a:schemeClr val="tx2">
                          <a:lumMod val="40000"/>
                          <a:lumOff val="60000"/>
                          <a:alpha val="73000"/>
                        </a:schemeClr>
                      </a:solidFill>
                      <a:ln>
                        <a:solidFill>
                          <a:schemeClr val="accent1"/>
                        </a:solidFill>
                      </a:ln>
                    </a:spPr>
                    <a:txSp>
                      <a:txBody>
                        <a:bodyPr wrap="square"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200">
                              <a:solidFill>
                                <a:srgbClr val="000000"/>
                              </a:solidFill>
                              <a:effectLst/>
                              <a:latin typeface="Times New Roman"/>
                              <a:cs typeface="Times New Roman"/>
                            </a:rPr>
                            <a:t>Drivers of and constraints on supply</a:t>
                          </a:r>
                        </a:p>
                      </a:txBody>
                      <a:useSpRect/>
                    </a:txSp>
                    <a:style>
                      <a:lnRef idx="1">
                        <a:schemeClr val="accent1"/>
                      </a:lnRef>
                      <a:fillRef idx="3">
                        <a:schemeClr val="accent1"/>
                      </a:fillRef>
                      <a:effectRef idx="2">
                        <a:schemeClr val="accent1"/>
                      </a:effectRef>
                      <a:fontRef idx="minor">
                        <a:schemeClr val="lt1"/>
                      </a:fontRef>
                    </a:style>
                  </a:sp>
                  <a:sp>
                    <a:nvSpPr>
                      <a:cNvPr id="15" name="Hexagon 14"/>
                      <a:cNvSpPr/>
                    </a:nvSpPr>
                    <a:spPr>
                      <a:xfrm>
                        <a:off x="2895600" y="304800"/>
                        <a:ext cx="2435352" cy="2154536"/>
                      </a:xfrm>
                      <a:prstGeom prst="hexagon">
                        <a:avLst/>
                      </a:prstGeom>
                      <a:solidFill>
                        <a:schemeClr val="tx2">
                          <a:lumMod val="40000"/>
                          <a:lumOff val="60000"/>
                          <a:alpha val="73000"/>
                        </a:schemeClr>
                      </a:solidFill>
                      <a:ln>
                        <a:solidFill>
                          <a:schemeClr val="accent1"/>
                        </a:solidFill>
                      </a:ln>
                    </a:spPr>
                    <a:txSp>
                      <a:txBody>
                        <a:bodyPr wrap="square"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r>
                            <a:rPr lang="en-US" sz="1400" b="1">
                              <a:solidFill>
                                <a:srgbClr val="000000"/>
                              </a:solidFill>
                              <a:effectLst/>
                              <a:latin typeface="Times New Roman"/>
                              <a:cs typeface="Times New Roman"/>
                            </a:rPr>
                            <a:t>Infrastructure</a:t>
                          </a:r>
                        </a:p>
                        <a:p>
                          <a:pPr algn="ctr"/>
                          <a:endParaRPr lang="en-US" sz="1400">
                            <a:solidFill>
                              <a:srgbClr val="000000"/>
                            </a:solidFill>
                            <a:effectLst/>
                            <a:latin typeface="Times New Roman"/>
                            <a:cs typeface="Times New Roman"/>
                          </a:endParaRPr>
                        </a:p>
                        <a:p>
                          <a:pPr algn="ctr"/>
                          <a:r>
                            <a:rPr lang="en-US" sz="1200">
                              <a:solidFill>
                                <a:srgbClr val="000000"/>
                              </a:solidFill>
                              <a:effectLst/>
                              <a:latin typeface="Times New Roman"/>
                              <a:cs typeface="Times New Roman"/>
                            </a:rPr>
                            <a:t>-Overall levels by country</a:t>
                          </a:r>
                        </a:p>
                        <a:p>
                          <a:pPr algn="ctr"/>
                          <a:r>
                            <a:rPr lang="en-US" sz="1200">
                              <a:solidFill>
                                <a:srgbClr val="000000"/>
                              </a:solidFill>
                              <a:effectLst/>
                              <a:latin typeface="Times New Roman"/>
                              <a:cs typeface="Times New Roman"/>
                            </a:rPr>
                            <a:t>-Distribution of access within countries</a:t>
                          </a:r>
                        </a:p>
                      </a:txBody>
                      <a:useSpRect/>
                    </a:txSp>
                    <a:style>
                      <a:lnRef idx="1">
                        <a:schemeClr val="accent1"/>
                      </a:lnRef>
                      <a:fillRef idx="3">
                        <a:schemeClr val="accent1"/>
                      </a:fillRef>
                      <a:effectRef idx="2">
                        <a:schemeClr val="accent1"/>
                      </a:effectRef>
                      <a:fontRef idx="minor">
                        <a:schemeClr val="lt1"/>
                      </a:fontRef>
                    </a:style>
                  </a:sp>
                  <a:cxnSp>
                    <a:nvCxnSpPr>
                      <a:cNvPr id="16" name="Curved Connector 15"/>
                      <a:cNvCxnSpPr/>
                    </a:nvCxnSpPr>
                    <a:spPr>
                      <a:xfrm rot="16200000" flipV="1">
                        <a:off x="3867150" y="-2876550"/>
                        <a:ext cx="457200" cy="6210300"/>
                      </a:xfrm>
                      <a:prstGeom prst="curvedConnector3">
                        <a:avLst>
                          <a:gd name="adj1" fmla="val 281033"/>
                        </a:avLst>
                      </a:prstGeom>
                      <a:ln w="25400" cmpd="sng">
                        <a:solidFill>
                          <a:schemeClr val="tx2"/>
                        </a:solidFill>
                        <a:tailEnd type="arrow" w="lg" len="med"/>
                      </a:ln>
                    </a:spPr>
                    <a:style>
                      <a:lnRef idx="2">
                        <a:schemeClr val="accent1"/>
                      </a:lnRef>
                      <a:fillRef idx="0">
                        <a:schemeClr val="accent1"/>
                      </a:fillRef>
                      <a:effectRef idx="1">
                        <a:schemeClr val="accent1"/>
                      </a:effectRef>
                      <a:fontRef idx="minor">
                        <a:schemeClr val="tx1"/>
                      </a:fontRef>
                    </a:style>
                  </a:cxnSp>
                  <a:cxnSp>
                    <a:nvCxnSpPr>
                      <a:cNvPr id="17" name="Curved Connector 16"/>
                      <a:cNvCxnSpPr/>
                    </a:nvCxnSpPr>
                    <a:spPr>
                      <a:xfrm rot="5400000" flipH="1" flipV="1">
                        <a:off x="3867150" y="-666750"/>
                        <a:ext cx="457200" cy="6210300"/>
                      </a:xfrm>
                      <a:prstGeom prst="curvedConnector3">
                        <a:avLst>
                          <a:gd name="adj1" fmla="val -170550"/>
                        </a:avLst>
                      </a:prstGeom>
                      <a:ln w="25400" cmpd="sng">
                        <a:solidFill>
                          <a:schemeClr val="tx2"/>
                        </a:solidFill>
                        <a:tailEnd type="arrow" w="lg" len="med"/>
                      </a:ln>
                    </a:spPr>
                    <a:style>
                      <a:lnRef idx="2">
                        <a:schemeClr val="accent1"/>
                      </a:lnRef>
                      <a:fillRef idx="0">
                        <a:schemeClr val="accent1"/>
                      </a:fillRef>
                      <a:effectRef idx="1">
                        <a:schemeClr val="accent1"/>
                      </a:effectRef>
                      <a:fontRef idx="minor">
                        <a:schemeClr val="tx1"/>
                      </a:fontRef>
                    </a:style>
                  </a:cxnSp>
                  <a:cxnSp>
                    <a:nvCxnSpPr>
                      <a:cNvPr id="18" name="Straight Arrow Connector 17"/>
                      <a:cNvCxnSpPr/>
                    </a:nvCxnSpPr>
                    <a:spPr>
                      <a:xfrm>
                        <a:off x="2057400" y="533400"/>
                        <a:ext cx="990600" cy="304800"/>
                      </a:xfrm>
                      <a:prstGeom prst="straightConnector1">
                        <a:avLst/>
                      </a:prstGeom>
                      <a:ln w="25400">
                        <a:solidFill>
                          <a:schemeClr val="tx2"/>
                        </a:solidFill>
                        <a:headEnd type="arrow" w="lg" len="med"/>
                        <a:tailEnd type="arrow" w="lg" len="med"/>
                      </a:ln>
                    </a:spPr>
                    <a:style>
                      <a:lnRef idx="2">
                        <a:schemeClr val="accent1"/>
                      </a:lnRef>
                      <a:fillRef idx="0">
                        <a:schemeClr val="accent1"/>
                      </a:fillRef>
                      <a:effectRef idx="1">
                        <a:schemeClr val="accent1"/>
                      </a:effectRef>
                      <a:fontRef idx="minor">
                        <a:schemeClr val="tx1"/>
                      </a:fontRef>
                    </a:style>
                  </a:cxnSp>
                  <a:cxnSp>
                    <a:nvCxnSpPr>
                      <a:cNvPr id="19" name="Straight Arrow Connector 18"/>
                      <a:cNvCxnSpPr/>
                    </a:nvCxnSpPr>
                    <a:spPr>
                      <a:xfrm flipV="1">
                        <a:off x="2057400" y="1905000"/>
                        <a:ext cx="990600" cy="304800"/>
                      </a:xfrm>
                      <a:prstGeom prst="straightConnector1">
                        <a:avLst/>
                      </a:prstGeom>
                      <a:ln w="25400">
                        <a:solidFill>
                          <a:schemeClr val="tx2"/>
                        </a:solidFill>
                        <a:headEnd type="arrow" w="lg" len="med"/>
                        <a:tailEnd type="arrow" w="lg" len="med"/>
                      </a:ln>
                    </a:spPr>
                    <a:style>
                      <a:lnRef idx="2">
                        <a:schemeClr val="accent1"/>
                      </a:lnRef>
                      <a:fillRef idx="0">
                        <a:schemeClr val="accent1"/>
                      </a:fillRef>
                      <a:effectRef idx="1">
                        <a:schemeClr val="accent1"/>
                      </a:effectRef>
                      <a:fontRef idx="minor">
                        <a:schemeClr val="tx1"/>
                      </a:fontRef>
                    </a:style>
                  </a:cxnSp>
                  <a:cxnSp>
                    <a:nvCxnSpPr>
                      <a:cNvPr id="20" name="Straight Arrow Connector 19"/>
                      <a:cNvCxnSpPr/>
                    </a:nvCxnSpPr>
                    <a:spPr>
                      <a:xfrm flipV="1">
                        <a:off x="5410200" y="1371600"/>
                        <a:ext cx="609600" cy="10468"/>
                      </a:xfrm>
                      <a:prstGeom prst="straightConnector1">
                        <a:avLst/>
                      </a:prstGeom>
                      <a:ln w="25400">
                        <a:solidFill>
                          <a:schemeClr val="tx2"/>
                        </a:solidFill>
                        <a:tailEnd type="arrow" w="lg" len="med"/>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7D46DA" w:rsidRPr="00E04D31" w:rsidRDefault="007D46DA" w:rsidP="007D46DA">
      <w:pPr>
        <w:pStyle w:val="ListParagraph"/>
        <w:ind w:left="0"/>
        <w:rPr>
          <w:b/>
        </w:rPr>
      </w:pPr>
      <w:r w:rsidRPr="00E04D31">
        <w:rPr>
          <w:b/>
        </w:rPr>
        <w:t>Figure 1.</w:t>
      </w:r>
      <w:r>
        <w:rPr>
          <w:b/>
        </w:rPr>
        <w:t>4</w:t>
      </w:r>
      <w:r w:rsidRPr="00E04D31">
        <w:rPr>
          <w:b/>
        </w:rPr>
        <w:t xml:space="preserve"> Infrastructure as a central element in human progress</w:t>
      </w:r>
    </w:p>
    <w:p w:rsidR="007D46DA" w:rsidRPr="00E04D31" w:rsidRDefault="007D46DA" w:rsidP="007D46DA">
      <w:pPr>
        <w:pStyle w:val="BodyText"/>
        <w:spacing w:before="0" w:after="0"/>
      </w:pPr>
    </w:p>
    <w:p w:rsidR="007D46DA" w:rsidRPr="00E04D31" w:rsidRDefault="007D46DA" w:rsidP="007D46DA">
      <w:pPr>
        <w:pStyle w:val="BodyText"/>
        <w:spacing w:before="0" w:after="0"/>
        <w:jc w:val="left"/>
      </w:pPr>
      <w:r w:rsidRPr="00E04D31">
        <w:t>The International Futures global modeling system (IFs) is the primary tool used for the quantitative analysis and forecasting in this volume. IFs is a dynamic computer simulation tool developed over the last 30 years; its purpose is to facilitate exploration of possible global futures through the creation and analysis of alternative scenarios. The system’s dynamic forecasting capabilities are rooted in its integration of demographic, economic, agricultural, sociopolitical, educational, environmental, energy, and health models. This book builds upon the recent development and addition of an infrastructure model that forecasts future levels of infrastructure, access to that infrastructure, and consequences of that infrastructure in interaction with the other components of the modeling system.</w:t>
      </w:r>
    </w:p>
    <w:p w:rsidR="007D46DA" w:rsidRPr="00E04D31" w:rsidRDefault="007D46DA" w:rsidP="007D46DA">
      <w:pPr>
        <w:pStyle w:val="BodyText"/>
        <w:spacing w:before="0" w:after="0"/>
        <w:jc w:val="left"/>
      </w:pPr>
    </w:p>
    <w:p w:rsidR="007D46DA" w:rsidRPr="00E04D31" w:rsidRDefault="007D46DA" w:rsidP="007D46DA">
      <w:pPr>
        <w:pStyle w:val="BodyText"/>
        <w:spacing w:before="0" w:after="0"/>
        <w:jc w:val="left"/>
      </w:pPr>
      <w:r w:rsidRPr="00E04D31">
        <w:t>An extensive database underlying IFs covers the time period from 1960 to the present for 183 countries. The model itself is a recursive system that can run without intervention from its initial year (currently 2010) to 2100, while the model interface facilitates interventions flexibly across time, issue, and geography. Most importantly, the forecasts IFs produces, though grounded in historical data, are not extrapolations, but rather represent the results of the dynamic interplay among variables in multiple domains of human development systems.</w:t>
      </w:r>
    </w:p>
    <w:p w:rsidR="007D46DA" w:rsidRPr="00E04D31" w:rsidRDefault="007D46DA" w:rsidP="007D46DA">
      <w:pPr>
        <w:pStyle w:val="BodyText"/>
        <w:spacing w:before="0" w:after="0"/>
        <w:jc w:val="left"/>
      </w:pPr>
    </w:p>
    <w:p w:rsidR="007D46DA" w:rsidRPr="00E04D31" w:rsidRDefault="007D46DA" w:rsidP="007D46DA">
      <w:pPr>
        <w:pStyle w:val="BodyText"/>
        <w:spacing w:before="0" w:after="0"/>
        <w:jc w:val="left"/>
      </w:pPr>
      <w:r w:rsidRPr="00E04D31">
        <w:t>IFs includes</w:t>
      </w:r>
      <w:r>
        <w:t xml:space="preserve"> a unique package of strengths: a</w:t>
      </w:r>
      <w:r w:rsidRPr="00E04D31">
        <w:t xml:space="preserve"> long forecasting horizon</w:t>
      </w:r>
      <w:r>
        <w:t>;</w:t>
      </w:r>
      <w:r w:rsidRPr="00E04D31">
        <w:t xml:space="preserve"> </w:t>
      </w:r>
      <w:r>
        <w:t xml:space="preserve">the </w:t>
      </w:r>
      <w:r w:rsidRPr="00E04D31">
        <w:t>representation of complex dynamic relationships</w:t>
      </w:r>
      <w:r>
        <w:t>;</w:t>
      </w:r>
      <w:r w:rsidRPr="00E04D31">
        <w:t xml:space="preserve"> extensive geographic coverage</w:t>
      </w:r>
      <w:r>
        <w:t xml:space="preserve">; a very large </w:t>
      </w:r>
      <w:r w:rsidRPr="00E04D31">
        <w:t>underlying database</w:t>
      </w:r>
      <w:r>
        <w:t>;</w:t>
      </w:r>
      <w:r w:rsidRPr="00E04D31">
        <w:t xml:space="preserve"> availability for users to explore alternative assumptions</w:t>
      </w:r>
      <w:r>
        <w:t>;</w:t>
      </w:r>
      <w:r w:rsidRPr="00E04D31">
        <w:t xml:space="preserve"> and flexible display formats</w:t>
      </w:r>
      <w:r>
        <w:t xml:space="preserve">. Despite these strengths, </w:t>
      </w:r>
      <w:r w:rsidRPr="00E04D31">
        <w:t>there are of course caveats about its use and limitations to its capabilities. Some of the caveats are common to all modeling tools—especially the importance of not confusing a simulated representation with the “real world.” Others are specific to the topic of infrastructure and our treatment of it in IFs.</w:t>
      </w:r>
      <w:r>
        <w:t xml:space="preserve"> </w:t>
      </w:r>
      <w:r w:rsidRPr="00E04D31">
        <w:t>One such problem is that infrastructure historical data series are frequently spotty or even non-existent.</w:t>
      </w:r>
      <w:r>
        <w:t xml:space="preserve"> </w:t>
      </w:r>
      <w:r w:rsidRPr="00E04D31">
        <w:t>Another is that the technological transformations that will make future infrastructures more sustainable are not something we can represent in IFs and forecast with any specificity at this time. We discuss in Chapter 4 how we deal with these and other issues. However, because of these caveats and limitations, we stress that we consider IFs to be a thinking tool, not a predicting tool. As we said in an earlier volume in this series:</w:t>
      </w:r>
      <w:r>
        <w:t xml:space="preserve"> </w:t>
      </w:r>
    </w:p>
    <w:p w:rsidR="007D46DA" w:rsidRPr="00E04D31" w:rsidRDefault="007D46DA" w:rsidP="007D46DA">
      <w:pPr>
        <w:pStyle w:val="BodyText"/>
        <w:spacing w:before="0" w:after="0"/>
        <w:ind w:left="864" w:right="864"/>
        <w:jc w:val="left"/>
      </w:pPr>
    </w:p>
    <w:p w:rsidR="007D46DA" w:rsidRPr="00E04D31" w:rsidRDefault="007D46DA" w:rsidP="007D46DA">
      <w:pPr>
        <w:pStyle w:val="BodyText"/>
        <w:spacing w:before="0" w:after="0"/>
        <w:ind w:left="864" w:right="1152"/>
        <w:jc w:val="left"/>
      </w:pPr>
      <w:r w:rsidRPr="00E04D31">
        <w:t xml:space="preserve">We present our results with the request that readers view them as descriptions of what might plausibly occur under alternative specifications of circumstances or policy interventions. Our hope is that by providing a structure and context for analysis and debate about possible futures, IFs will contribute to enhanced understanding and to the quality of choices made in policy arenas </w:t>
      </w:r>
      <w:r w:rsidR="00F7383F">
        <w:fldChar w:fldCharType="begin"/>
      </w:r>
      <w:r>
        <w:instrText xml:space="preserve"> ADDIN ZOTERO_ITEM {"citationID":"1ks4annrfn","properties":{"formattedCitation":"(Dickson, Barry B. Hughes, and Irfan 2010)","plainCitation":"(Dickson, Barry B. Hughes, and Irfan 2010)"},"citationItems":[{"id":354,"uris":["http://zotero.org/groups/4482/items/C7KBUANA"],"uri":["http://zotero.org/groups/4482/items/C7KBUANA"]}]} </w:instrText>
      </w:r>
      <w:r w:rsidR="00F7383F">
        <w:fldChar w:fldCharType="separate"/>
      </w:r>
      <w:r>
        <w:t>(Dickson, Barry B. Hughes, and Irfan 2010)</w:t>
      </w:r>
      <w:r w:rsidR="00F7383F">
        <w:fldChar w:fldCharType="end"/>
      </w:r>
      <w:r w:rsidRPr="00E04D31">
        <w:t>.</w:t>
      </w:r>
    </w:p>
    <w:p w:rsidR="007D46DA" w:rsidRPr="00E04D31" w:rsidRDefault="007D46DA" w:rsidP="007D46DA">
      <w:pPr>
        <w:pStyle w:val="BodyText"/>
        <w:spacing w:before="0" w:after="0"/>
        <w:ind w:left="864" w:right="1152"/>
        <w:jc w:val="left"/>
      </w:pPr>
    </w:p>
    <w:p w:rsidR="007D46DA" w:rsidRPr="00E04D31" w:rsidRDefault="007D46DA" w:rsidP="00877E30">
      <w:pPr>
        <w:pStyle w:val="Heading2"/>
      </w:pPr>
      <w:r w:rsidRPr="00E04D31">
        <w:t xml:space="preserve"> </w:t>
      </w:r>
      <w:bookmarkStart w:id="30" w:name="_Toc323232043"/>
      <w:bookmarkStart w:id="31" w:name="_Toc200095263"/>
      <w:r w:rsidRPr="00E04D31">
        <w:t>Conclusion</w:t>
      </w:r>
      <w:r>
        <w:t xml:space="preserve"> and Road Map for this Volume</w:t>
      </w:r>
      <w:bookmarkEnd w:id="30"/>
      <w:bookmarkEnd w:id="31"/>
    </w:p>
    <w:p w:rsidR="007D46DA" w:rsidRDefault="007D46DA" w:rsidP="007D46DA">
      <w:r>
        <w:t>Infrastructure both drives and reflects broader socio-economic development. Its presence is at the same time quite obvious, yet often taken for granted. What is clear is that the future of infrastructure and the future of human development and well-being cannot be separated. In this volume, we explore this interdependence as we consider possible developments over the next half-century. We make no special claim to be able to predict the future. Rather our goal is both more modest and more daring. By thinking carefully about what could be, we hope to contribute to the conversations and actions that will shape what will be.</w:t>
      </w:r>
    </w:p>
    <w:p w:rsidR="007D46DA" w:rsidRDefault="007D46DA" w:rsidP="007D46DA"/>
    <w:p w:rsidR="007D46DA" w:rsidRDefault="007D46DA" w:rsidP="007D46DA">
      <w:r>
        <w:t>Chapters 2 and 3 establish a foundation for exploring the future of infrastructure. Chapter 2 provides a more detailed picture of the development of infrastructure over the past few decades. It also highlights the need for improved data on both the quantity of infrastructure and infrastructure spending. Chapter 3 explores a number of the key conceptual and theoretical questions surrounding infrastructure, particularly its relationship to broader socio-economic development.</w:t>
      </w:r>
    </w:p>
    <w:p w:rsidR="007D46DA" w:rsidRPr="00E34DE2" w:rsidRDefault="007D46DA" w:rsidP="007D46DA"/>
    <w:p w:rsidR="007D46DA" w:rsidRDefault="007D46DA" w:rsidP="007D46DA">
      <w:r>
        <w:t>Chapter 4 turns our attention to the future. It explores the various ways in which people have modeled and forecasted issues surrounding infrastructure. Building upon this work, we describe the ways in which we have adapted IFs to forecast infrastructure stocks, access, and spending, as well as how these feed forward to other parts of the model.</w:t>
      </w:r>
    </w:p>
    <w:p w:rsidR="007D46DA" w:rsidRDefault="007D46DA" w:rsidP="007D46DA"/>
    <w:p w:rsidR="007D46DA" w:rsidRDefault="007D46DA" w:rsidP="007D46DA">
      <w:r>
        <w:t>Chapter 5 paints a picture of the future of infrastructure as presented in the base case of IFs. This is not a simple extrapolation of individual elements, but rather a detailed exploration of the integrated evolution of infrastructure development and spending in the context of other social-economic and environmental changes over the next half century. It provides us with a rich picture of where we seem to be headed and provides a basis against which to compare our forecasts with those made by others and with goals and targets that have been laid out for infrastructure in policy circles.</w:t>
      </w:r>
    </w:p>
    <w:p w:rsidR="007D46DA" w:rsidRDefault="007D46DA" w:rsidP="007D46DA"/>
    <w:p w:rsidR="007D46DA" w:rsidRDefault="007D46DA" w:rsidP="007D46DA">
      <w:r>
        <w:t>Chapter 6 turns more specifically to these currently existing and generally universal goals and targets. Given the traditionally long time frames associated with planning for and constructing infrastructure, are these realistic? What are the net implications for development and human well-being, recognizing that funding for infrastructure maintenance and construction competes with that for other sectors such as health and education? Based upon these results, we also ask if there might not be a still aggressive, but more realistic set of targets for infrastructure development over the next half century.</w:t>
      </w:r>
    </w:p>
    <w:p w:rsidR="007D46DA" w:rsidRDefault="007D46DA" w:rsidP="007D46DA"/>
    <w:p w:rsidR="007D46DA" w:rsidRPr="00691604" w:rsidRDefault="007D46DA" w:rsidP="007D46DA">
      <w:r>
        <w:t>Finally, we conclude in Chapter 7. There we present key messages for the future of global infrastructure, our reflections on</w:t>
      </w:r>
      <w:r w:rsidRPr="00B506C5">
        <w:t xml:space="preserve"> </w:t>
      </w:r>
      <w:r>
        <w:t>the study, and recommendations for future work.</w:t>
      </w:r>
    </w:p>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rsidP="007D46DA">
      <w:pPr>
        <w:pStyle w:val="Heading1"/>
        <w:numPr>
          <w:ilvl w:val="0"/>
          <w:numId w:val="17"/>
        </w:numPr>
        <w:rPr>
          <w:szCs w:val="32"/>
        </w:rPr>
      </w:pPr>
      <w:bookmarkStart w:id="32" w:name="_Toc199580838"/>
      <w:bookmarkStart w:id="33" w:name="_Toc200095264"/>
      <w:r w:rsidRPr="00CA4EF3">
        <w:t xml:space="preserve">Infrastructure </w:t>
      </w:r>
      <w:r>
        <w:t>State and Trends</w:t>
      </w:r>
      <w:bookmarkEnd w:id="32"/>
      <w:bookmarkEnd w:id="33"/>
    </w:p>
    <w:p w:rsidR="007D46DA" w:rsidRDefault="007D46DA" w:rsidP="007D46DA">
      <w:r>
        <w:t xml:space="preserve">Infrastructure networks have grown markedly over the past few decades, with more and more people able to access the often vital services they provide. As we saw in Chapter 1, many of these networks are the outcome of a development process as old as humanity itself. But we also saw that there remain significant disparities in access, with millions of people in developing countries still living without access to the most basic infrastructure. </w:t>
      </w:r>
    </w:p>
    <w:p w:rsidR="007D46DA" w:rsidRDefault="007D46DA" w:rsidP="007D46DA"/>
    <w:p w:rsidR="007D46DA" w:rsidRDefault="007D46DA" w:rsidP="007D46DA">
      <w:r>
        <w:t>In this chapter, we delve more deeply into the current state of and recent trends in infrastructure, looking at physical stocks, access rates, and spending levels. In the process, we ask the following questions:</w:t>
      </w:r>
    </w:p>
    <w:p w:rsidR="007D46DA" w:rsidRDefault="007D46DA" w:rsidP="007D46DA"/>
    <w:p w:rsidR="007D46DA" w:rsidRDefault="007D46DA" w:rsidP="007D46DA">
      <w:pPr>
        <w:pStyle w:val="ListParagraph"/>
        <w:numPr>
          <w:ilvl w:val="0"/>
          <w:numId w:val="13"/>
        </w:numPr>
      </w:pPr>
      <w:r>
        <w:t>How much infrastructure currently exists?</w:t>
      </w:r>
    </w:p>
    <w:p w:rsidR="007D46DA" w:rsidRDefault="007D46DA" w:rsidP="007D46DA">
      <w:pPr>
        <w:pStyle w:val="ListParagraph"/>
        <w:numPr>
          <w:ilvl w:val="0"/>
          <w:numId w:val="13"/>
        </w:numPr>
      </w:pPr>
      <w:r>
        <w:t>How widespread is the access to this infrastructure?</w:t>
      </w:r>
    </w:p>
    <w:p w:rsidR="007D46DA" w:rsidRDefault="007D46DA" w:rsidP="007D46DA">
      <w:pPr>
        <w:pStyle w:val="ListParagraph"/>
        <w:numPr>
          <w:ilvl w:val="0"/>
          <w:numId w:val="13"/>
        </w:numPr>
      </w:pPr>
      <w:r>
        <w:t>How much is spent to build and maintain this infrastructure?</w:t>
      </w:r>
    </w:p>
    <w:p w:rsidR="007D46DA" w:rsidRDefault="007D46DA" w:rsidP="007D46DA">
      <w:pPr>
        <w:pStyle w:val="ListParagraph"/>
        <w:numPr>
          <w:ilvl w:val="0"/>
          <w:numId w:val="13"/>
        </w:numPr>
      </w:pPr>
      <w:r>
        <w:t>How have these changed over time?</w:t>
      </w:r>
    </w:p>
    <w:p w:rsidR="007D46DA" w:rsidRDefault="007D46DA" w:rsidP="007D46DA"/>
    <w:p w:rsidR="007D46DA" w:rsidRDefault="007D46DA" w:rsidP="007D46DA">
      <w:r>
        <w:t>The answers to these questions set the stage for our exploration of the future of infrastructure later in this volume. They allow us to more clearly identify those countries that have made the greatest progress in closing the gaps in infrastructure coverage and those that have the largest remaining gaps. Finally, they provide us with a sense of the scale of past infrastructure spending and what this means for efforts to close these gaps.</w:t>
      </w:r>
    </w:p>
    <w:p w:rsidR="007D46DA" w:rsidRDefault="007D46DA" w:rsidP="007D46DA"/>
    <w:p w:rsidR="007D46DA" w:rsidRDefault="007D46DA" w:rsidP="007D46DA">
      <w:r>
        <w:t>To make our task somewhat more manageable, we select a subset of all the possible forms of infrastructure. We discuss these choices in the next section, comparing these to those made in other studies. This still leaves us with the task of finding consistent and comprehensive data on stocks, access, and spending for these infrastructures. Given the somewhat surprising extent of this challenge, we devote section 2.3 to summarizing this issue, as well the primary sources of our historical data. Only then are we able to address the questions set out above.</w:t>
      </w:r>
    </w:p>
    <w:p w:rsidR="007D46DA" w:rsidRPr="00CA4EF3" w:rsidRDefault="007D46DA" w:rsidP="007D46DA"/>
    <w:p w:rsidR="007D46DA" w:rsidRPr="00CA4EF3" w:rsidRDefault="00A84F12" w:rsidP="00A84F12">
      <w:pPr>
        <w:pStyle w:val="Heading2"/>
        <w:numPr>
          <w:ilvl w:val="0"/>
          <w:numId w:val="0"/>
        </w:numPr>
      </w:pPr>
      <w:bookmarkStart w:id="34" w:name="_Toc199580839"/>
      <w:bookmarkStart w:id="35" w:name="_Toc200095265"/>
      <w:r>
        <w:t>2.1</w:t>
      </w:r>
      <w:r w:rsidR="00877E30">
        <w:t xml:space="preserve"> </w:t>
      </w:r>
      <w:r w:rsidR="007D46DA" w:rsidRPr="00CA4EF3">
        <w:t xml:space="preserve">What </w:t>
      </w:r>
      <w:r w:rsidR="007D46DA">
        <w:t>C</w:t>
      </w:r>
      <w:r w:rsidR="007D46DA" w:rsidRPr="00CA4EF3">
        <w:t xml:space="preserve">omprises </w:t>
      </w:r>
      <w:r w:rsidR="007D46DA">
        <w:t>I</w:t>
      </w:r>
      <w:r w:rsidR="007D46DA" w:rsidRPr="00CA4EF3">
        <w:t>nfrastructure?</w:t>
      </w:r>
      <w:bookmarkEnd w:id="34"/>
      <w:bookmarkEnd w:id="35"/>
    </w:p>
    <w:p w:rsidR="007D46DA" w:rsidRDefault="007D46DA" w:rsidP="007D46DA">
      <w:r>
        <w:t>Physical infrastructure, as broadly defined, is comprised of four main categories: transportation, energy, water and waste, and information and communication technologies (ICT). On this, there is general agreement.</w:t>
      </w:r>
      <w:r w:rsidRPr="000E4C4E">
        <w:rPr>
          <w:rStyle w:val="FootnoteReference"/>
        </w:rPr>
        <w:footnoteReference w:id="12"/>
      </w:r>
      <w:r>
        <w:t xml:space="preserve"> What could be included within each of these categories is quite extensive, however. Water and waste, for example, could include, </w:t>
      </w:r>
      <w:r>
        <w:rPr>
          <w:i/>
        </w:rPr>
        <w:t>inter alia</w:t>
      </w:r>
      <w:r>
        <w:t>, wells, viaducts, irrigation canals, dams, reservoirs, standpipes, household delivery systems, sewers, storm drains, and wastewater treatment facilities.</w:t>
      </w:r>
    </w:p>
    <w:p w:rsidR="007D46DA" w:rsidRDefault="007D46DA" w:rsidP="007D46DA"/>
    <w:p w:rsidR="007D46DA" w:rsidRDefault="007D46DA" w:rsidP="007D46DA">
      <w:r>
        <w:t xml:space="preserve">We are aware of no international study that is fully comprehensive in its coverage of infrastructure. Rather they focus on a limited set of key types of infrastructure within each category (see Table 2.1). The reasons for these specific choices tend not to be stated explicitly, although it is a good bet that, along with perceived relative importance, data availability is one key factor. This is an issue, upon which we elaborate in the next section. </w:t>
      </w:r>
    </w:p>
    <w:p w:rsidR="007D46DA" w:rsidRDefault="007D46DA" w:rsidP="007D46DA"/>
    <w:tbl>
      <w:tblPr>
        <w:tblW w:w="0" w:type="auto"/>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8"/>
        <w:gridCol w:w="1918"/>
        <w:gridCol w:w="1919"/>
        <w:gridCol w:w="1918"/>
        <w:gridCol w:w="1919"/>
      </w:tblGrid>
      <w:tr w:rsidR="007D46DA" w:rsidRPr="003614D5">
        <w:trPr>
          <w:trHeight w:val="260"/>
          <w:jc w:val="center"/>
        </w:trPr>
        <w:tc>
          <w:tcPr>
            <w:tcW w:w="9482" w:type="dxa"/>
            <w:gridSpan w:val="5"/>
            <w:shd w:val="clear" w:color="auto" w:fill="auto"/>
            <w:noWrap/>
            <w:vAlign w:val="bottom"/>
          </w:tcPr>
          <w:p w:rsidR="007D46DA" w:rsidRPr="003614D5" w:rsidRDefault="007D46DA" w:rsidP="006B1499">
            <w:pPr>
              <w:rPr>
                <w:rFonts w:ascii="Verdana" w:hAnsi="Verdana"/>
                <w:b/>
                <w:sz w:val="20"/>
              </w:rPr>
            </w:pPr>
            <w:r w:rsidRPr="008142AA">
              <w:rPr>
                <w:b/>
                <w:sz w:val="22"/>
              </w:rPr>
              <w:t xml:space="preserve">Table </w:t>
            </w:r>
            <w:r>
              <w:rPr>
                <w:b/>
                <w:sz w:val="22"/>
              </w:rPr>
              <w:t>2.1 Specific infrastructure components included in various studies</w:t>
            </w:r>
          </w:p>
        </w:tc>
      </w:tr>
      <w:tr w:rsidR="007D46DA" w:rsidRPr="00190297">
        <w:trPr>
          <w:trHeight w:val="260"/>
          <w:jc w:val="center"/>
        </w:trPr>
        <w:tc>
          <w:tcPr>
            <w:tcW w:w="1808" w:type="dxa"/>
            <w:shd w:val="clear" w:color="auto" w:fill="auto"/>
            <w:noWrap/>
            <w:vAlign w:val="center"/>
          </w:tcPr>
          <w:p w:rsidR="007D46DA" w:rsidRPr="00190297" w:rsidRDefault="007D46DA" w:rsidP="006B1499">
            <w:pPr>
              <w:jc w:val="center"/>
              <w:rPr>
                <w:sz w:val="20"/>
              </w:rPr>
            </w:pPr>
            <w:r w:rsidRPr="00190297">
              <w:rPr>
                <w:sz w:val="20"/>
              </w:rPr>
              <w:t>Study</w:t>
            </w:r>
          </w:p>
        </w:tc>
        <w:tc>
          <w:tcPr>
            <w:tcW w:w="1918" w:type="dxa"/>
            <w:shd w:val="clear" w:color="auto" w:fill="auto"/>
            <w:noWrap/>
            <w:vAlign w:val="center"/>
          </w:tcPr>
          <w:p w:rsidR="007D46DA" w:rsidRPr="00190297" w:rsidRDefault="007D46DA" w:rsidP="006B1499">
            <w:pPr>
              <w:jc w:val="center"/>
              <w:rPr>
                <w:sz w:val="20"/>
              </w:rPr>
            </w:pPr>
            <w:r w:rsidRPr="00190297">
              <w:rPr>
                <w:sz w:val="20"/>
              </w:rPr>
              <w:t>Transportation</w:t>
            </w:r>
          </w:p>
        </w:tc>
        <w:tc>
          <w:tcPr>
            <w:tcW w:w="1919" w:type="dxa"/>
            <w:shd w:val="clear" w:color="auto" w:fill="auto"/>
            <w:noWrap/>
            <w:vAlign w:val="center"/>
          </w:tcPr>
          <w:p w:rsidR="007D46DA" w:rsidRPr="00190297" w:rsidRDefault="007D46DA" w:rsidP="006B1499">
            <w:pPr>
              <w:jc w:val="center"/>
              <w:rPr>
                <w:sz w:val="20"/>
              </w:rPr>
            </w:pPr>
            <w:r w:rsidRPr="00190297">
              <w:rPr>
                <w:sz w:val="20"/>
              </w:rPr>
              <w:t>Energy</w:t>
            </w:r>
          </w:p>
        </w:tc>
        <w:tc>
          <w:tcPr>
            <w:tcW w:w="1918" w:type="dxa"/>
            <w:shd w:val="clear" w:color="auto" w:fill="auto"/>
            <w:noWrap/>
            <w:vAlign w:val="center"/>
          </w:tcPr>
          <w:p w:rsidR="007D46DA" w:rsidRPr="00190297" w:rsidRDefault="007D46DA" w:rsidP="006B1499">
            <w:pPr>
              <w:jc w:val="center"/>
              <w:rPr>
                <w:sz w:val="20"/>
              </w:rPr>
            </w:pPr>
            <w:r w:rsidRPr="00190297">
              <w:rPr>
                <w:sz w:val="20"/>
              </w:rPr>
              <w:t xml:space="preserve">Water and </w:t>
            </w:r>
            <w:r>
              <w:rPr>
                <w:sz w:val="20"/>
              </w:rPr>
              <w:t>w</w:t>
            </w:r>
            <w:r w:rsidRPr="00190297">
              <w:rPr>
                <w:sz w:val="20"/>
              </w:rPr>
              <w:t>aste</w:t>
            </w:r>
          </w:p>
        </w:tc>
        <w:tc>
          <w:tcPr>
            <w:tcW w:w="1919" w:type="dxa"/>
            <w:shd w:val="clear" w:color="auto" w:fill="auto"/>
            <w:noWrap/>
            <w:vAlign w:val="center"/>
          </w:tcPr>
          <w:p w:rsidR="007D46DA" w:rsidRPr="00190297" w:rsidRDefault="007D46DA" w:rsidP="006B1499">
            <w:pPr>
              <w:jc w:val="center"/>
              <w:rPr>
                <w:sz w:val="20"/>
              </w:rPr>
            </w:pPr>
            <w:r w:rsidRPr="00190297">
              <w:rPr>
                <w:sz w:val="20"/>
              </w:rPr>
              <w:t>ICT</w:t>
            </w:r>
          </w:p>
        </w:tc>
      </w:tr>
      <w:tr w:rsidR="007D46DA" w:rsidRPr="00190297">
        <w:trPr>
          <w:trHeight w:val="260"/>
          <w:jc w:val="center"/>
        </w:trPr>
        <w:tc>
          <w:tcPr>
            <w:tcW w:w="1808" w:type="dxa"/>
            <w:shd w:val="clear" w:color="auto" w:fill="auto"/>
            <w:noWrap/>
            <w:vAlign w:val="center"/>
          </w:tcPr>
          <w:p w:rsidR="007D46DA" w:rsidRPr="00190297" w:rsidRDefault="007D46DA" w:rsidP="006B1499">
            <w:pPr>
              <w:jc w:val="center"/>
              <w:rPr>
                <w:i/>
                <w:iCs/>
                <w:sz w:val="20"/>
              </w:rPr>
            </w:pPr>
            <w:r w:rsidRPr="00190297">
              <w:rPr>
                <w:i/>
                <w:iCs/>
                <w:sz w:val="20"/>
              </w:rPr>
              <w:t>World Economic Forum Infrastructure Pillar</w:t>
            </w:r>
            <w:r>
              <w:rPr>
                <w:i/>
                <w:iCs/>
                <w:sz w:val="20"/>
              </w:rPr>
              <w:t xml:space="preserve"> </w:t>
            </w:r>
            <w:r w:rsidR="00F7383F">
              <w:rPr>
                <w:i/>
                <w:iCs/>
                <w:sz w:val="20"/>
              </w:rPr>
              <w:fldChar w:fldCharType="begin"/>
            </w:r>
            <w:r>
              <w:rPr>
                <w:i/>
                <w:iCs/>
                <w:sz w:val="20"/>
              </w:rPr>
              <w:instrText xml:space="preserve"> ADDIN ZOTERO_ITEM {"citationID":"RGlGUdNR","properties":{"formattedCitation":"(Schwab 2010)","plainCitation":"(Schwab 2010)"},"citationItems":[{"id":1145,"uris":["http://zotero.org/groups/4482/items/8NVQJX87"],"uri":["http://zotero.org/groups/4482/items/8NVQJX87"]}]} </w:instrText>
            </w:r>
            <w:r w:rsidR="00F7383F">
              <w:rPr>
                <w:i/>
                <w:iCs/>
                <w:sz w:val="20"/>
              </w:rPr>
              <w:fldChar w:fldCharType="separate"/>
            </w:r>
            <w:r>
              <w:rPr>
                <w:i/>
                <w:iCs/>
                <w:noProof/>
                <w:sz w:val="20"/>
              </w:rPr>
              <w:t>(Schwab 2010)</w:t>
            </w:r>
            <w:r w:rsidR="00F7383F">
              <w:rPr>
                <w:i/>
                <w:iCs/>
                <w:sz w:val="20"/>
              </w:rPr>
              <w:fldChar w:fldCharType="end"/>
            </w:r>
          </w:p>
        </w:tc>
        <w:tc>
          <w:tcPr>
            <w:tcW w:w="1918" w:type="dxa"/>
            <w:shd w:val="clear" w:color="auto" w:fill="auto"/>
            <w:noWrap/>
            <w:vAlign w:val="center"/>
          </w:tcPr>
          <w:p w:rsidR="007D46DA" w:rsidRPr="00190297" w:rsidRDefault="007D46DA" w:rsidP="006B1499">
            <w:pPr>
              <w:jc w:val="center"/>
              <w:rPr>
                <w:sz w:val="20"/>
              </w:rPr>
            </w:pPr>
            <w:r>
              <w:rPr>
                <w:sz w:val="20"/>
              </w:rPr>
              <w:t>Roads, railways, ports, air transport (quality)</w:t>
            </w:r>
          </w:p>
        </w:tc>
        <w:tc>
          <w:tcPr>
            <w:tcW w:w="1919" w:type="dxa"/>
            <w:shd w:val="clear" w:color="auto" w:fill="auto"/>
            <w:noWrap/>
            <w:vAlign w:val="center"/>
          </w:tcPr>
          <w:p w:rsidR="007D46DA" w:rsidRPr="00190297" w:rsidRDefault="007D46DA" w:rsidP="006B1499">
            <w:pPr>
              <w:jc w:val="center"/>
              <w:rPr>
                <w:sz w:val="20"/>
              </w:rPr>
            </w:pPr>
            <w:r>
              <w:rPr>
                <w:sz w:val="20"/>
              </w:rPr>
              <w:t>Electrical generating capacity (quality)</w:t>
            </w:r>
          </w:p>
        </w:tc>
        <w:tc>
          <w:tcPr>
            <w:tcW w:w="1918" w:type="dxa"/>
            <w:shd w:val="clear" w:color="auto" w:fill="auto"/>
            <w:noWrap/>
            <w:vAlign w:val="center"/>
          </w:tcPr>
          <w:p w:rsidR="007D46DA" w:rsidRPr="00190297" w:rsidRDefault="007D46DA" w:rsidP="006B1499">
            <w:pPr>
              <w:jc w:val="center"/>
              <w:rPr>
                <w:sz w:val="20"/>
              </w:rPr>
            </w:pPr>
            <w:r>
              <w:rPr>
                <w:sz w:val="20"/>
              </w:rPr>
              <w:t>Not included</w:t>
            </w:r>
          </w:p>
        </w:tc>
        <w:tc>
          <w:tcPr>
            <w:tcW w:w="1919" w:type="dxa"/>
            <w:shd w:val="clear" w:color="auto" w:fill="auto"/>
            <w:noWrap/>
            <w:vAlign w:val="center"/>
          </w:tcPr>
          <w:p w:rsidR="007D46DA" w:rsidRPr="00190297" w:rsidRDefault="007D46DA" w:rsidP="006B1499">
            <w:pPr>
              <w:jc w:val="center"/>
              <w:rPr>
                <w:sz w:val="20"/>
              </w:rPr>
            </w:pPr>
            <w:r w:rsidRPr="00190297">
              <w:rPr>
                <w:sz w:val="20"/>
              </w:rPr>
              <w:t xml:space="preserve">Fixed </w:t>
            </w:r>
            <w:r>
              <w:rPr>
                <w:sz w:val="20"/>
              </w:rPr>
              <w:t>line telephones,</w:t>
            </w:r>
            <w:r w:rsidRPr="00190297">
              <w:rPr>
                <w:sz w:val="20"/>
              </w:rPr>
              <w:t xml:space="preserve"> </w:t>
            </w:r>
            <w:r>
              <w:rPr>
                <w:sz w:val="20"/>
              </w:rPr>
              <w:t xml:space="preserve">and </w:t>
            </w:r>
            <w:r w:rsidRPr="00190297">
              <w:rPr>
                <w:sz w:val="20"/>
              </w:rPr>
              <w:t xml:space="preserve">mobile </w:t>
            </w:r>
            <w:r>
              <w:rPr>
                <w:sz w:val="20"/>
              </w:rPr>
              <w:t>phones</w:t>
            </w:r>
          </w:p>
        </w:tc>
      </w:tr>
      <w:tr w:rsidR="007D46DA" w:rsidRPr="00190297">
        <w:trPr>
          <w:trHeight w:val="260"/>
          <w:jc w:val="center"/>
        </w:trPr>
        <w:tc>
          <w:tcPr>
            <w:tcW w:w="1808" w:type="dxa"/>
            <w:shd w:val="clear" w:color="auto" w:fill="auto"/>
            <w:noWrap/>
            <w:vAlign w:val="center"/>
          </w:tcPr>
          <w:p w:rsidR="007D46DA" w:rsidRPr="00190297" w:rsidRDefault="007D46DA" w:rsidP="006B1499">
            <w:pPr>
              <w:jc w:val="center"/>
              <w:rPr>
                <w:i/>
                <w:iCs/>
                <w:sz w:val="20"/>
              </w:rPr>
            </w:pPr>
            <w:r w:rsidRPr="00190297">
              <w:rPr>
                <w:i/>
                <w:iCs/>
                <w:sz w:val="20"/>
              </w:rPr>
              <w:t>World Development Report 1994</w:t>
            </w:r>
            <w:r>
              <w:rPr>
                <w:i/>
                <w:iCs/>
                <w:sz w:val="20"/>
              </w:rPr>
              <w:t xml:space="preserve"> </w:t>
            </w:r>
            <w:r w:rsidR="00F7383F">
              <w:rPr>
                <w:i/>
                <w:iCs/>
                <w:sz w:val="20"/>
              </w:rPr>
              <w:fldChar w:fldCharType="begin"/>
            </w:r>
            <w:r>
              <w:rPr>
                <w:i/>
                <w:iCs/>
                <w:sz w:val="20"/>
              </w:rPr>
              <w:instrText xml:space="preserve"> ADDIN ZOTERO_ITEM {"citationID":"RHvGgkCo","properties":{"formattedCitation":"(World Bank 1994)","plainCitation":"(World Bank 1994)"},"citationItems":[{"id":570,"uris":["http://zotero.org/groups/4482/items/SVRTWC5X"],"uri":["http://zotero.org/groups/4482/items/SVRTWC5X"]}]} </w:instrText>
            </w:r>
            <w:r w:rsidR="00F7383F">
              <w:rPr>
                <w:i/>
                <w:iCs/>
                <w:sz w:val="20"/>
              </w:rPr>
              <w:fldChar w:fldCharType="separate"/>
            </w:r>
            <w:r>
              <w:rPr>
                <w:i/>
                <w:iCs/>
                <w:noProof/>
                <w:sz w:val="20"/>
              </w:rPr>
              <w:t>(World Bank 1994)</w:t>
            </w:r>
            <w:r w:rsidR="00F7383F">
              <w:rPr>
                <w:i/>
                <w:iCs/>
                <w:sz w:val="20"/>
              </w:rPr>
              <w:fldChar w:fldCharType="end"/>
            </w:r>
          </w:p>
        </w:tc>
        <w:tc>
          <w:tcPr>
            <w:tcW w:w="1918" w:type="dxa"/>
            <w:shd w:val="clear" w:color="auto" w:fill="auto"/>
            <w:noWrap/>
            <w:vAlign w:val="center"/>
          </w:tcPr>
          <w:p w:rsidR="007D46DA" w:rsidRPr="00190297" w:rsidRDefault="007D46DA" w:rsidP="006B1499">
            <w:pPr>
              <w:jc w:val="center"/>
              <w:rPr>
                <w:sz w:val="20"/>
              </w:rPr>
            </w:pPr>
            <w:r w:rsidRPr="00190297">
              <w:rPr>
                <w:sz w:val="20"/>
              </w:rPr>
              <w:t>Roads, railways, ports, airports</w:t>
            </w:r>
          </w:p>
        </w:tc>
        <w:tc>
          <w:tcPr>
            <w:tcW w:w="1919" w:type="dxa"/>
            <w:shd w:val="clear" w:color="auto" w:fill="auto"/>
            <w:noWrap/>
            <w:vAlign w:val="center"/>
          </w:tcPr>
          <w:p w:rsidR="007D46DA" w:rsidRPr="00190297" w:rsidRDefault="007D46DA" w:rsidP="006B1499">
            <w:pPr>
              <w:jc w:val="center"/>
              <w:rPr>
                <w:sz w:val="20"/>
              </w:rPr>
            </w:pPr>
            <w:r>
              <w:rPr>
                <w:sz w:val="20"/>
              </w:rPr>
              <w:t>Electrical generating capacity</w:t>
            </w:r>
            <w:r w:rsidRPr="00190297">
              <w:rPr>
                <w:sz w:val="20"/>
              </w:rPr>
              <w:t>, piped gas</w:t>
            </w:r>
          </w:p>
        </w:tc>
        <w:tc>
          <w:tcPr>
            <w:tcW w:w="1918" w:type="dxa"/>
            <w:shd w:val="clear" w:color="auto" w:fill="auto"/>
            <w:noWrap/>
            <w:vAlign w:val="center"/>
          </w:tcPr>
          <w:p w:rsidR="007D46DA" w:rsidRPr="00190297" w:rsidRDefault="007D46DA" w:rsidP="006B1499">
            <w:pPr>
              <w:jc w:val="center"/>
              <w:rPr>
                <w:sz w:val="20"/>
              </w:rPr>
            </w:pPr>
            <w:r w:rsidRPr="00190297">
              <w:rPr>
                <w:sz w:val="20"/>
              </w:rPr>
              <w:t>Dams, canal works, piped water supply, sanitation</w:t>
            </w:r>
          </w:p>
        </w:tc>
        <w:tc>
          <w:tcPr>
            <w:tcW w:w="1919" w:type="dxa"/>
            <w:shd w:val="clear" w:color="auto" w:fill="auto"/>
            <w:noWrap/>
            <w:vAlign w:val="center"/>
          </w:tcPr>
          <w:p w:rsidR="007D46DA" w:rsidRPr="00190297" w:rsidRDefault="007D46DA" w:rsidP="006B1499">
            <w:pPr>
              <w:jc w:val="center"/>
              <w:rPr>
                <w:sz w:val="20"/>
              </w:rPr>
            </w:pPr>
            <w:r>
              <w:rPr>
                <w:sz w:val="20"/>
              </w:rPr>
              <w:t xml:space="preserve">Fixed line telephones </w:t>
            </w:r>
          </w:p>
        </w:tc>
      </w:tr>
      <w:tr w:rsidR="007D46DA" w:rsidRPr="00190297">
        <w:trPr>
          <w:trHeight w:val="300"/>
          <w:jc w:val="center"/>
        </w:trPr>
        <w:tc>
          <w:tcPr>
            <w:tcW w:w="1808" w:type="dxa"/>
            <w:shd w:val="clear" w:color="auto" w:fill="auto"/>
            <w:noWrap/>
            <w:vAlign w:val="center"/>
          </w:tcPr>
          <w:p w:rsidR="007D46DA" w:rsidRDefault="007D46DA" w:rsidP="006B1499">
            <w:pPr>
              <w:jc w:val="center"/>
              <w:rPr>
                <w:i/>
                <w:iCs/>
                <w:sz w:val="20"/>
              </w:rPr>
            </w:pPr>
            <w:r w:rsidRPr="00190297">
              <w:rPr>
                <w:i/>
                <w:iCs/>
                <w:sz w:val="20"/>
              </w:rPr>
              <w:t xml:space="preserve">OECD International Futures Programme’s </w:t>
            </w:r>
            <w:r>
              <w:rPr>
                <w:i/>
                <w:iCs/>
                <w:sz w:val="20"/>
              </w:rPr>
              <w:t>Infrastructure to 2030</w:t>
            </w:r>
          </w:p>
          <w:p w:rsidR="007D46DA" w:rsidRPr="00190297" w:rsidRDefault="00F7383F" w:rsidP="006B1499">
            <w:pPr>
              <w:jc w:val="center"/>
              <w:rPr>
                <w:i/>
                <w:iCs/>
                <w:sz w:val="20"/>
              </w:rPr>
            </w:pPr>
            <w:r>
              <w:rPr>
                <w:i/>
                <w:iCs/>
                <w:sz w:val="20"/>
              </w:rPr>
              <w:fldChar w:fldCharType="begin"/>
            </w:r>
            <w:r w:rsidR="007D46DA">
              <w:rPr>
                <w:i/>
                <w:iCs/>
                <w:sz w:val="20"/>
              </w:rPr>
              <w:instrText xml:space="preserve"> ADDIN ZOTERO_ITEM {"citationID":"lAN5ms8T","properties":{"formattedCitation":"(Organisation for Economic Cooperation and Development (OECD) 2006)","plainCitation":"(Organisation for Economic Cooperation and Development (OECD) 2006)"},"citationItems":[{"id":1462,"uris":["http://zotero.org/groups/4482/items/5MCXH4FW"],"uri":["http://zotero.org/groups/4482/items/5MCXH4FW"]}]} </w:instrText>
            </w:r>
            <w:r>
              <w:rPr>
                <w:i/>
                <w:iCs/>
                <w:sz w:val="20"/>
              </w:rPr>
              <w:fldChar w:fldCharType="separate"/>
            </w:r>
            <w:r w:rsidR="007D46DA">
              <w:rPr>
                <w:i/>
                <w:iCs/>
                <w:noProof/>
                <w:sz w:val="20"/>
              </w:rPr>
              <w:t>(OECD 2006)</w:t>
            </w:r>
            <w:r>
              <w:rPr>
                <w:i/>
                <w:iCs/>
                <w:sz w:val="20"/>
              </w:rPr>
              <w:fldChar w:fldCharType="end"/>
            </w:r>
          </w:p>
        </w:tc>
        <w:tc>
          <w:tcPr>
            <w:tcW w:w="1918" w:type="dxa"/>
            <w:shd w:val="clear" w:color="auto" w:fill="auto"/>
            <w:noWrap/>
            <w:vAlign w:val="center"/>
          </w:tcPr>
          <w:p w:rsidR="007D46DA" w:rsidRPr="00190297" w:rsidRDefault="007D46DA" w:rsidP="006B1499">
            <w:pPr>
              <w:jc w:val="center"/>
              <w:rPr>
                <w:sz w:val="20"/>
              </w:rPr>
            </w:pPr>
            <w:r>
              <w:rPr>
                <w:sz w:val="20"/>
              </w:rPr>
              <w:t>Roads and railways</w:t>
            </w:r>
          </w:p>
        </w:tc>
        <w:tc>
          <w:tcPr>
            <w:tcW w:w="1919" w:type="dxa"/>
            <w:shd w:val="clear" w:color="auto" w:fill="auto"/>
            <w:vAlign w:val="center"/>
          </w:tcPr>
          <w:p w:rsidR="007D46DA" w:rsidRPr="00190297" w:rsidRDefault="007D46DA" w:rsidP="006B1499">
            <w:pPr>
              <w:jc w:val="center"/>
              <w:rPr>
                <w:sz w:val="20"/>
              </w:rPr>
            </w:pPr>
            <w:r>
              <w:rPr>
                <w:sz w:val="20"/>
              </w:rPr>
              <w:t>Electrical generating capacity and transmission networks</w:t>
            </w:r>
          </w:p>
        </w:tc>
        <w:tc>
          <w:tcPr>
            <w:tcW w:w="1918" w:type="dxa"/>
            <w:shd w:val="clear" w:color="auto" w:fill="auto"/>
            <w:noWrap/>
            <w:vAlign w:val="center"/>
          </w:tcPr>
          <w:p w:rsidR="007D46DA" w:rsidRPr="00190297" w:rsidRDefault="007D46DA" w:rsidP="006B1499">
            <w:pPr>
              <w:jc w:val="center"/>
              <w:rPr>
                <w:sz w:val="20"/>
              </w:rPr>
            </w:pPr>
            <w:r>
              <w:rPr>
                <w:sz w:val="20"/>
              </w:rPr>
              <w:t>Water supply, sanitation, wastewater, irrigation</w:t>
            </w:r>
          </w:p>
        </w:tc>
        <w:tc>
          <w:tcPr>
            <w:tcW w:w="1919" w:type="dxa"/>
            <w:shd w:val="clear" w:color="auto" w:fill="auto"/>
            <w:noWrap/>
            <w:vAlign w:val="center"/>
          </w:tcPr>
          <w:p w:rsidR="007D46DA" w:rsidRPr="00190297" w:rsidRDefault="007D46DA" w:rsidP="006B1499">
            <w:pPr>
              <w:jc w:val="center"/>
              <w:rPr>
                <w:sz w:val="20"/>
              </w:rPr>
            </w:pPr>
            <w:r>
              <w:rPr>
                <w:sz w:val="20"/>
              </w:rPr>
              <w:t xml:space="preserve">Fixed line telephones, mobile phones, fixed broadband, and mobile broadband </w:t>
            </w:r>
          </w:p>
        </w:tc>
      </w:tr>
      <w:tr w:rsidR="007D46DA" w:rsidRPr="00190297">
        <w:trPr>
          <w:trHeight w:val="260"/>
          <w:jc w:val="center"/>
        </w:trPr>
        <w:tc>
          <w:tcPr>
            <w:tcW w:w="1808" w:type="dxa"/>
            <w:shd w:val="clear" w:color="auto" w:fill="auto"/>
            <w:noWrap/>
            <w:vAlign w:val="center"/>
          </w:tcPr>
          <w:p w:rsidR="007D46DA" w:rsidRPr="00190297" w:rsidRDefault="007D46DA" w:rsidP="006B1499">
            <w:pPr>
              <w:jc w:val="center"/>
              <w:rPr>
                <w:i/>
                <w:iCs/>
                <w:sz w:val="20"/>
              </w:rPr>
            </w:pPr>
            <w:r w:rsidRPr="00190297">
              <w:rPr>
                <w:i/>
                <w:iCs/>
                <w:sz w:val="20"/>
              </w:rPr>
              <w:t>The Africa Infrastructure Country Diagnostic</w:t>
            </w:r>
            <w:r>
              <w:rPr>
                <w:i/>
                <w:iCs/>
                <w:sz w:val="20"/>
              </w:rPr>
              <w:t xml:space="preserve"> </w:t>
            </w:r>
            <w:r w:rsidR="00F7383F" w:rsidRPr="00EA1C3A">
              <w:rPr>
                <w:i/>
                <w:iCs/>
                <w:sz w:val="20"/>
              </w:rPr>
              <w:fldChar w:fldCharType="begin"/>
            </w:r>
            <w:r w:rsidRPr="00EA1C3A">
              <w:rPr>
                <w:i/>
                <w:iCs/>
                <w:sz w:val="20"/>
              </w:rPr>
              <w:instrText xml:space="preserve"> ADDIN ZOTERO_ITEM {"citationID":"AtytuG8Q","properties":{"formattedCitation":"{\\rtf (Foster and Brice\\uc0\\u241{}o-Garmendia 2010)}","plainCitation":"(Foster and Briceño-Garmendia 2010)"},"citationItems":[{"id":301,"uris":["http://zotero.org/groups/4482/items/8R277WSI"],"uri":["http://zotero.org/groups/4482/items/8R277WSI"]}]} </w:instrText>
            </w:r>
            <w:r w:rsidR="00F7383F" w:rsidRPr="00EA1C3A">
              <w:rPr>
                <w:i/>
                <w:iCs/>
                <w:sz w:val="20"/>
              </w:rPr>
              <w:fldChar w:fldCharType="separate"/>
            </w:r>
            <w:r w:rsidRPr="00EA1C3A">
              <w:rPr>
                <w:i/>
                <w:sz w:val="20"/>
              </w:rPr>
              <w:t>(Foster and Briceño-Garmendia 2010)</w:t>
            </w:r>
            <w:r w:rsidR="00F7383F" w:rsidRPr="00EA1C3A">
              <w:rPr>
                <w:i/>
                <w:iCs/>
                <w:sz w:val="20"/>
              </w:rPr>
              <w:fldChar w:fldCharType="end"/>
            </w:r>
          </w:p>
        </w:tc>
        <w:tc>
          <w:tcPr>
            <w:tcW w:w="1918" w:type="dxa"/>
            <w:shd w:val="clear" w:color="auto" w:fill="auto"/>
            <w:noWrap/>
            <w:vAlign w:val="center"/>
          </w:tcPr>
          <w:p w:rsidR="007D46DA" w:rsidRPr="00190297" w:rsidRDefault="007D46DA" w:rsidP="006B1499">
            <w:pPr>
              <w:jc w:val="center"/>
              <w:rPr>
                <w:sz w:val="20"/>
              </w:rPr>
            </w:pPr>
            <w:r w:rsidRPr="00190297">
              <w:rPr>
                <w:sz w:val="20"/>
              </w:rPr>
              <w:t>Roads, railways, ports, airports</w:t>
            </w:r>
          </w:p>
        </w:tc>
        <w:tc>
          <w:tcPr>
            <w:tcW w:w="1919" w:type="dxa"/>
            <w:shd w:val="clear" w:color="auto" w:fill="auto"/>
            <w:noWrap/>
            <w:vAlign w:val="center"/>
          </w:tcPr>
          <w:p w:rsidR="007D46DA" w:rsidRPr="00190297" w:rsidRDefault="007D46DA" w:rsidP="006B1499">
            <w:pPr>
              <w:jc w:val="center"/>
              <w:rPr>
                <w:sz w:val="20"/>
              </w:rPr>
            </w:pPr>
            <w:r>
              <w:rPr>
                <w:sz w:val="20"/>
              </w:rPr>
              <w:t>Electrical generating capacity and transmission networks</w:t>
            </w:r>
          </w:p>
        </w:tc>
        <w:tc>
          <w:tcPr>
            <w:tcW w:w="1918" w:type="dxa"/>
            <w:shd w:val="clear" w:color="auto" w:fill="auto"/>
            <w:noWrap/>
            <w:vAlign w:val="center"/>
          </w:tcPr>
          <w:p w:rsidR="007D46DA" w:rsidRPr="00190297" w:rsidRDefault="007D46DA" w:rsidP="006B1499">
            <w:pPr>
              <w:jc w:val="center"/>
              <w:rPr>
                <w:sz w:val="20"/>
              </w:rPr>
            </w:pPr>
            <w:r w:rsidRPr="00190297">
              <w:rPr>
                <w:sz w:val="20"/>
              </w:rPr>
              <w:t>Irrigation, water and sanitation</w:t>
            </w:r>
          </w:p>
        </w:tc>
        <w:tc>
          <w:tcPr>
            <w:tcW w:w="1919" w:type="dxa"/>
            <w:shd w:val="clear" w:color="auto" w:fill="auto"/>
            <w:noWrap/>
            <w:vAlign w:val="center"/>
          </w:tcPr>
          <w:p w:rsidR="007D46DA" w:rsidRPr="00190297" w:rsidRDefault="007D46DA" w:rsidP="006B1499">
            <w:pPr>
              <w:jc w:val="center"/>
              <w:rPr>
                <w:sz w:val="20"/>
              </w:rPr>
            </w:pPr>
            <w:r w:rsidRPr="00190297">
              <w:rPr>
                <w:sz w:val="20"/>
              </w:rPr>
              <w:t xml:space="preserve">Fixed </w:t>
            </w:r>
            <w:r>
              <w:rPr>
                <w:sz w:val="20"/>
              </w:rPr>
              <w:t xml:space="preserve">line telephones, </w:t>
            </w:r>
            <w:r w:rsidRPr="00190297">
              <w:rPr>
                <w:sz w:val="20"/>
              </w:rPr>
              <w:t xml:space="preserve">and mobile </w:t>
            </w:r>
            <w:r>
              <w:rPr>
                <w:sz w:val="20"/>
              </w:rPr>
              <w:t>phones</w:t>
            </w:r>
          </w:p>
        </w:tc>
      </w:tr>
      <w:tr w:rsidR="007D46DA" w:rsidRPr="00190297">
        <w:trPr>
          <w:trHeight w:val="300"/>
          <w:jc w:val="center"/>
        </w:trPr>
        <w:tc>
          <w:tcPr>
            <w:tcW w:w="1808" w:type="dxa"/>
            <w:shd w:val="clear" w:color="auto" w:fill="auto"/>
            <w:noWrap/>
            <w:vAlign w:val="center"/>
          </w:tcPr>
          <w:p w:rsidR="007D46DA" w:rsidRPr="00190297" w:rsidRDefault="007D46DA" w:rsidP="006B1499">
            <w:pPr>
              <w:jc w:val="center"/>
              <w:rPr>
                <w:i/>
                <w:iCs/>
                <w:sz w:val="20"/>
              </w:rPr>
            </w:pPr>
            <w:r w:rsidRPr="00190297">
              <w:rPr>
                <w:i/>
                <w:iCs/>
                <w:sz w:val="20"/>
              </w:rPr>
              <w:t xml:space="preserve">World Bank project on the Economics of Adaptation to Climate Change </w:t>
            </w:r>
            <w:r w:rsidR="00F7383F">
              <w:rPr>
                <w:i/>
                <w:iCs/>
                <w:sz w:val="20"/>
              </w:rPr>
              <w:fldChar w:fldCharType="begin"/>
            </w:r>
            <w:r>
              <w:rPr>
                <w:i/>
                <w:iCs/>
                <w:sz w:val="20"/>
              </w:rPr>
              <w:instrText xml:space="preserve"> ADDIN ZOTERO_ITEM {"citationID":"rppJAlVI","properties":{"formattedCitation":"(Hughes, Chinowsky, and Strzepek 2009)","plainCitation":"(Hughes, Chinowsky, and Strzepek 2009)"},"citationItems":[{"id":975,"uris":["http://zotero.org/groups/4482/items/ZNDAXGEG"],"uri":["http://zotero.org/groups/4482/items/ZNDAXGEG"]}]} </w:instrText>
            </w:r>
            <w:r w:rsidR="00F7383F">
              <w:rPr>
                <w:i/>
                <w:iCs/>
                <w:sz w:val="20"/>
              </w:rPr>
              <w:fldChar w:fldCharType="separate"/>
            </w:r>
            <w:r>
              <w:rPr>
                <w:i/>
                <w:iCs/>
                <w:noProof/>
                <w:sz w:val="20"/>
              </w:rPr>
              <w:t>(Hughes, Chinowsky, and Strzepek 2009)</w:t>
            </w:r>
            <w:r w:rsidR="00F7383F">
              <w:rPr>
                <w:i/>
                <w:iCs/>
                <w:sz w:val="20"/>
              </w:rPr>
              <w:fldChar w:fldCharType="end"/>
            </w:r>
            <w:r>
              <w:rPr>
                <w:rStyle w:val="FootnoteReference"/>
                <w:i/>
                <w:iCs/>
                <w:sz w:val="20"/>
              </w:rPr>
              <w:footnoteReference w:id="13"/>
            </w:r>
          </w:p>
        </w:tc>
        <w:tc>
          <w:tcPr>
            <w:tcW w:w="1918" w:type="dxa"/>
            <w:shd w:val="clear" w:color="auto" w:fill="auto"/>
            <w:noWrap/>
            <w:vAlign w:val="center"/>
          </w:tcPr>
          <w:p w:rsidR="007D46DA" w:rsidRPr="00190297" w:rsidRDefault="007D46DA" w:rsidP="006B1499">
            <w:pPr>
              <w:jc w:val="center"/>
              <w:rPr>
                <w:sz w:val="20"/>
              </w:rPr>
            </w:pPr>
            <w:r>
              <w:rPr>
                <w:sz w:val="20"/>
              </w:rPr>
              <w:t>Roads, railways, bridges, ports, airports</w:t>
            </w:r>
          </w:p>
        </w:tc>
        <w:tc>
          <w:tcPr>
            <w:tcW w:w="1919" w:type="dxa"/>
            <w:shd w:val="clear" w:color="auto" w:fill="auto"/>
            <w:noWrap/>
            <w:vAlign w:val="center"/>
          </w:tcPr>
          <w:p w:rsidR="007D46DA" w:rsidRPr="00190297" w:rsidRDefault="007D46DA" w:rsidP="006B1499">
            <w:pPr>
              <w:jc w:val="center"/>
              <w:rPr>
                <w:sz w:val="20"/>
              </w:rPr>
            </w:pPr>
            <w:r>
              <w:rPr>
                <w:sz w:val="20"/>
              </w:rPr>
              <w:t>Electrical generating capacity and transmission networks</w:t>
            </w:r>
          </w:p>
        </w:tc>
        <w:tc>
          <w:tcPr>
            <w:tcW w:w="1918" w:type="dxa"/>
            <w:shd w:val="clear" w:color="auto" w:fill="auto"/>
            <w:noWrap/>
            <w:vAlign w:val="center"/>
          </w:tcPr>
          <w:p w:rsidR="007D46DA" w:rsidRPr="00190297" w:rsidRDefault="007D46DA" w:rsidP="006B1499">
            <w:pPr>
              <w:jc w:val="center"/>
              <w:rPr>
                <w:sz w:val="20"/>
              </w:rPr>
            </w:pPr>
            <w:r w:rsidRPr="00190297">
              <w:rPr>
                <w:sz w:val="20"/>
              </w:rPr>
              <w:t>Water and sanitation</w:t>
            </w:r>
          </w:p>
        </w:tc>
        <w:tc>
          <w:tcPr>
            <w:tcW w:w="1919" w:type="dxa"/>
            <w:shd w:val="clear" w:color="auto" w:fill="auto"/>
            <w:noWrap/>
            <w:vAlign w:val="center"/>
          </w:tcPr>
          <w:p w:rsidR="007D46DA" w:rsidRPr="00190297" w:rsidRDefault="007D46DA" w:rsidP="006B1499">
            <w:pPr>
              <w:jc w:val="center"/>
              <w:rPr>
                <w:sz w:val="20"/>
              </w:rPr>
            </w:pPr>
            <w:r w:rsidRPr="00190297">
              <w:rPr>
                <w:sz w:val="20"/>
              </w:rPr>
              <w:t xml:space="preserve">Fixed </w:t>
            </w:r>
            <w:r>
              <w:rPr>
                <w:sz w:val="20"/>
              </w:rPr>
              <w:t xml:space="preserve">line telephones </w:t>
            </w:r>
          </w:p>
        </w:tc>
      </w:tr>
    </w:tbl>
    <w:p w:rsidR="007D46DA" w:rsidRDefault="007D46DA" w:rsidP="007D46DA"/>
    <w:p w:rsidR="007D46DA" w:rsidRDefault="007D46DA" w:rsidP="007D46DA">
      <w:r>
        <w:t>We do not attempt to be fully comprehensive in this study either. Our choices have also been influenced by data availability, but they have been further informed by the goals of our study. In particular is our desire to provide quantitative forecasts of future levels of infrastructure stocks, access, and spending and their implications for human wellbeing.</w:t>
      </w:r>
    </w:p>
    <w:p w:rsidR="007D46DA" w:rsidRDefault="007D46DA" w:rsidP="007D46DA"/>
    <w:p w:rsidR="007D46DA" w:rsidRPr="00CA4EF3" w:rsidRDefault="007D46DA" w:rsidP="007D46DA">
      <w:r>
        <w:t>In the end, the specific forms of infrastructure we have chosen to focus on in this study are as follows</w:t>
      </w:r>
      <w:r w:rsidRPr="00CA4EF3">
        <w:t>:</w:t>
      </w:r>
    </w:p>
    <w:p w:rsidR="007D46DA" w:rsidRPr="00CA4EF3" w:rsidRDefault="007D46DA" w:rsidP="007D46DA"/>
    <w:p w:rsidR="007D46DA" w:rsidRPr="00CA4EF3" w:rsidRDefault="007D46DA" w:rsidP="007D46DA">
      <w:pPr>
        <w:numPr>
          <w:ilvl w:val="0"/>
          <w:numId w:val="11"/>
        </w:numPr>
      </w:pPr>
      <w:r w:rsidRPr="00CA4EF3">
        <w:t>Transportation systems: roads, paved roads, and rural road access</w:t>
      </w:r>
    </w:p>
    <w:p w:rsidR="007D46DA" w:rsidRPr="00CA4EF3" w:rsidRDefault="007D46DA" w:rsidP="007D46DA">
      <w:pPr>
        <w:numPr>
          <w:ilvl w:val="0"/>
          <w:numId w:val="11"/>
        </w:numPr>
      </w:pPr>
      <w:r w:rsidRPr="00CA4EF3">
        <w:t>Energy systems: electricity generating capacity and access to electricity</w:t>
      </w:r>
    </w:p>
    <w:p w:rsidR="007D46DA" w:rsidRPr="00CA4EF3" w:rsidRDefault="007D46DA" w:rsidP="007D46DA">
      <w:pPr>
        <w:numPr>
          <w:ilvl w:val="0"/>
          <w:numId w:val="11"/>
        </w:numPr>
      </w:pPr>
      <w:r w:rsidRPr="00CA4EF3">
        <w:t>Water and waste systems: area equipped for irrigation, access to improved sources of drinking water, access to improved sources of sanitation, wastewater collection, and wastewater treatment</w:t>
      </w:r>
    </w:p>
    <w:p w:rsidR="007D46DA" w:rsidRDefault="007D46DA" w:rsidP="007D46DA">
      <w:pPr>
        <w:numPr>
          <w:ilvl w:val="0"/>
          <w:numId w:val="11"/>
        </w:numPr>
      </w:pPr>
      <w:r w:rsidRPr="00CA4EF3">
        <w:t xml:space="preserve">Information and </w:t>
      </w:r>
      <w:r>
        <w:t>c</w:t>
      </w:r>
      <w:r w:rsidRPr="00CA4EF3">
        <w:t xml:space="preserve">ommunication </w:t>
      </w:r>
      <w:r>
        <w:t>t</w:t>
      </w:r>
      <w:r w:rsidRPr="00CA4EF3">
        <w:t>echnolog</w:t>
      </w:r>
      <w:r>
        <w:t>y</w:t>
      </w:r>
      <w:r w:rsidRPr="00CA4EF3">
        <w:t xml:space="preserve"> systems: fixed telephone lines, fixed broadband subscriptions, mobile phone subscriptions, and mobile broadband subscriptions</w:t>
      </w:r>
    </w:p>
    <w:p w:rsidR="007D46DA" w:rsidRPr="00CA4EF3" w:rsidRDefault="007D46DA" w:rsidP="007D46DA"/>
    <w:p w:rsidR="007D46DA" w:rsidRPr="00CA4EF3" w:rsidRDefault="007D46DA" w:rsidP="007D46DA"/>
    <w:p w:rsidR="007D46DA" w:rsidRDefault="00A84F12" w:rsidP="00A84F12">
      <w:pPr>
        <w:pStyle w:val="Heading2"/>
        <w:numPr>
          <w:ilvl w:val="1"/>
          <w:numId w:val="30"/>
        </w:numPr>
      </w:pPr>
      <w:bookmarkStart w:id="36" w:name="_Toc199580840"/>
      <w:bookmarkStart w:id="37" w:name="OLE_LINK5"/>
      <w:bookmarkStart w:id="38" w:name="OLE_LINK6"/>
      <w:r>
        <w:t xml:space="preserve"> </w:t>
      </w:r>
      <w:bookmarkStart w:id="39" w:name="_Toc200095266"/>
      <w:r w:rsidR="007D46DA" w:rsidRPr="00CA4EF3">
        <w:t xml:space="preserve">The </w:t>
      </w:r>
      <w:r w:rsidR="007D46DA">
        <w:t>C</w:t>
      </w:r>
      <w:r w:rsidR="007D46DA" w:rsidRPr="00CA4EF3">
        <w:t xml:space="preserve">hallenge of </w:t>
      </w:r>
      <w:r w:rsidR="007D46DA">
        <w:t>H</w:t>
      </w:r>
      <w:r w:rsidR="007D46DA" w:rsidRPr="00CA4EF3">
        <w:t xml:space="preserve">istorical </w:t>
      </w:r>
      <w:r w:rsidR="007D46DA">
        <w:t>D</w:t>
      </w:r>
      <w:r w:rsidR="007D46DA" w:rsidRPr="00CA4EF3">
        <w:t xml:space="preserve">ata on </w:t>
      </w:r>
      <w:r w:rsidR="007D46DA">
        <w:t>I</w:t>
      </w:r>
      <w:r w:rsidR="007D46DA" w:rsidRPr="00CA4EF3">
        <w:t>nfrastructure</w:t>
      </w:r>
      <w:bookmarkEnd w:id="36"/>
      <w:bookmarkEnd w:id="39"/>
    </w:p>
    <w:bookmarkEnd w:id="37"/>
    <w:bookmarkEnd w:id="38"/>
    <w:p w:rsidR="007D46DA" w:rsidRDefault="007D46DA" w:rsidP="007D46DA">
      <w:r>
        <w:t>The</w:t>
      </w:r>
      <w:r w:rsidRPr="00CA4EF3">
        <w:t xml:space="preserve"> availability of complete, consistent, comparable, and reliable data remains to this day a limiting factor </w:t>
      </w:r>
      <w:r>
        <w:t xml:space="preserve">that is </w:t>
      </w:r>
      <w:r w:rsidRPr="00CA4EF3">
        <w:t xml:space="preserve">highlighted in almost every </w:t>
      </w:r>
      <w:r>
        <w:t>international</w:t>
      </w:r>
      <w:r w:rsidRPr="00CA4EF3">
        <w:t xml:space="preserve"> study of infrastructure. In the </w:t>
      </w:r>
      <w:r>
        <w:t>Organization of Economic Co-operation and Development’s</w:t>
      </w:r>
      <w:r w:rsidRPr="00CA4EF3">
        <w:t xml:space="preserve"> Infrastructure to 2030 study, Stevens et al. </w:t>
      </w:r>
      <w:r w:rsidR="00F7383F" w:rsidRPr="00CA4EF3">
        <w:fldChar w:fldCharType="begin"/>
      </w:r>
      <w:r>
        <w:instrText xml:space="preserve"> ADDIN ZOTERO_ITEM {"citationID":"245lr98h02","properties":{"formattedCitation":"(2006, 48)","plainCitation":"(2006, 48)"},"citationItems":[{"id":1506,"uris":["http://zotero.org/groups/4482/items/T6NKBZ7M"],"uri":["http://zotero.org/groups/4482/items/T6NKBZ7M"],"locator":"48","label":"page","suppress-author":true}]} </w:instrText>
      </w:r>
      <w:r w:rsidR="00F7383F" w:rsidRPr="00CA4EF3">
        <w:fldChar w:fldCharType="separate"/>
      </w:r>
      <w:r w:rsidRPr="00AA7B30">
        <w:rPr>
          <w:szCs w:val="21"/>
        </w:rPr>
        <w:t>(2006, 48)</w:t>
      </w:r>
      <w:r w:rsidR="00F7383F" w:rsidRPr="00CA4EF3">
        <w:fldChar w:fldCharType="end"/>
      </w:r>
      <w:r w:rsidRPr="00CA4EF3">
        <w:t xml:space="preserve"> </w:t>
      </w:r>
      <w:r>
        <w:t>noted</w:t>
      </w:r>
      <w:r w:rsidRPr="00CA4EF3">
        <w:t xml:space="preserve"> “the quantitative and qualitative inadequacy of the infrastructure-related statistics and data sets currently available.” The Infrastructure Consortium for Africa, which played a key role in the Africa’s Infrastructure study, found one of its first challenges to be that</w:t>
      </w:r>
      <w:r>
        <w:t>:</w:t>
      </w:r>
    </w:p>
    <w:p w:rsidR="007D46DA" w:rsidRDefault="007D46DA" w:rsidP="007D46DA"/>
    <w:p w:rsidR="007D46DA" w:rsidRDefault="007D46DA" w:rsidP="007D46DA">
      <w:pPr>
        <w:ind w:left="864" w:right="864"/>
      </w:pPr>
      <w:r w:rsidRPr="00CA4EF3">
        <w:t xml:space="preserve">Even the most elementary data—on quantity and quality of infrastructure stocks, access to services, prices and costs, efficiency parameters, historic spending, and future investment needs—were either nonexistent of limited in coverage. Most standard global databases on infrastructure covered barely a handful of African countries </w:t>
      </w:r>
      <w:r w:rsidR="00F7383F" w:rsidRPr="00CA4EF3">
        <w:fldChar w:fldCharType="begin"/>
      </w:r>
      <w:r>
        <w:instrText xml:space="preserve"> ADDIN ZOTERO_ITEM {"citationID":"c68xrncs","properties":{"formattedCitation":"{\\rtf (Foster and Brice\\uc0\\u241{}o-Garmendia 2010, 32)}","plainCitation":"(Foster and Briceño-Garmendia 2010, 32)"},"citationItems":[{"id":301,"uris":["http://zotero.org/groups/4482/items/8R277WSI"],"uri":["http://zotero.org/groups/4482/items/8R277WSI"],"locator":"32"}]} </w:instrText>
      </w:r>
      <w:r w:rsidR="00F7383F" w:rsidRPr="00CA4EF3">
        <w:fldChar w:fldCharType="separate"/>
      </w:r>
      <w:r w:rsidRPr="00F532A4">
        <w:t>(Foster and Briceño-Garmendia 2010, 32)</w:t>
      </w:r>
      <w:r w:rsidR="00F7383F" w:rsidRPr="00CA4EF3">
        <w:fldChar w:fldCharType="end"/>
      </w:r>
      <w:r>
        <w:t>.</w:t>
      </w:r>
    </w:p>
    <w:p w:rsidR="007D46DA" w:rsidRDefault="007D46DA" w:rsidP="007D46DA"/>
    <w:p w:rsidR="007D46DA" w:rsidRPr="00CA4EF3" w:rsidRDefault="007D46DA" w:rsidP="007D46DA">
      <w:r>
        <w:t>In the same year,</w:t>
      </w:r>
      <w:r w:rsidRPr="00CA4EF3">
        <w:t xml:space="preserve"> Estache and Fay </w:t>
      </w:r>
      <w:r w:rsidR="00F7383F" w:rsidRPr="00CA4EF3">
        <w:fldChar w:fldCharType="begin"/>
      </w:r>
      <w:r>
        <w:instrText xml:space="preserve"> ADDIN ZOTERO_ITEM {"citationID":"2gv2nhd324","properties":{"formattedCitation":"(2010, 155)","plainCitation":"(2010, 155)"},"citationItems":[{"id":1119,"uris":["http://zotero.org/groups/4482/items/VG54KBK3"],"uri":["http://zotero.org/groups/4482/items/VG54KBK3"],"locator":"155","label":"page","suppress-author":true}]} </w:instrText>
      </w:r>
      <w:r w:rsidR="00F7383F" w:rsidRPr="00CA4EF3">
        <w:fldChar w:fldCharType="separate"/>
      </w:r>
      <w:r w:rsidRPr="00AA7B30">
        <w:rPr>
          <w:szCs w:val="21"/>
        </w:rPr>
        <w:t>(2010, 155)</w:t>
      </w:r>
      <w:r w:rsidR="00F7383F" w:rsidRPr="00CA4EF3">
        <w:fldChar w:fldCharType="end"/>
      </w:r>
      <w:r w:rsidRPr="00CA4EF3">
        <w:t xml:space="preserve"> lament</w:t>
      </w:r>
      <w:r>
        <w:t>ed,</w:t>
      </w:r>
      <w:r w:rsidRPr="00CA4EF3">
        <w:t xml:space="preserve"> “Compared to the information available on health or education, for instance, the information gap in the infrastructure sector is huge and shows no sign of narrowing.”</w:t>
      </w:r>
    </w:p>
    <w:p w:rsidR="007D46DA" w:rsidRPr="00CA4EF3" w:rsidRDefault="007D46DA" w:rsidP="007D46DA"/>
    <w:p w:rsidR="007D46DA" w:rsidRPr="00CA4EF3" w:rsidRDefault="007D46DA" w:rsidP="007D46DA">
      <w:r>
        <w:t>Much of the above concern was focused on the lack of data on physical stocks of, and access to infrastructure. The concerns about data on infrastructure spending are, if anything, even greater.</w:t>
      </w:r>
      <w:r w:rsidRPr="00CA4EF3">
        <w:t xml:space="preserve"> Two decades ago, Easterly and Rebelo </w:t>
      </w:r>
      <w:r w:rsidR="00F7383F">
        <w:fldChar w:fldCharType="begin"/>
      </w:r>
      <w:r>
        <w:instrText xml:space="preserve"> ADDIN ZOTERO_ITEM {"citationID":"rnc7h8sl0","properties":{"formattedCitation":"(1993, 442)","plainCitation":"(1993, 442)"},"citationItems":[{"id":1139,"uris":["http://zotero.org/groups/4482/items/A82ITZE5"],"uri":["http://zotero.org/groups/4482/items/A82ITZE5"],"locator":"442","label":"page","suppress-author":true}]} </w:instrText>
      </w:r>
      <w:r w:rsidR="00F7383F">
        <w:fldChar w:fldCharType="separate"/>
      </w:r>
      <w:r w:rsidRPr="00D624ED">
        <w:rPr>
          <w:szCs w:val="21"/>
        </w:rPr>
        <w:t>(1993, 442)</w:t>
      </w:r>
      <w:r w:rsidR="00F7383F">
        <w:fldChar w:fldCharType="end"/>
      </w:r>
      <w:r w:rsidRPr="00CA4EF3">
        <w:t xml:space="preserve"> pointed to the “paucity of data on comprehensive infrastructure spending in most countries.” Ten years later, Fay </w:t>
      </w:r>
      <w:r w:rsidR="00F7383F">
        <w:fldChar w:fldCharType="begin"/>
      </w:r>
      <w:r>
        <w:instrText xml:space="preserve"> ADDIN ZOTERO_ITEM {"citationID":"164suenkso","properties":{"formattedCitation":"(2001, 19)","plainCitation":"(2001, 19)"},"citationItems":[{"id":480,"uris":["http://zotero.org/groups/4482/items/KQS277CN"],"uri":["http://zotero.org/groups/4482/items/KQS277CN"],"locator":"19","label":"page","suppress-author":true}]} </w:instrText>
      </w:r>
      <w:r w:rsidR="00F7383F">
        <w:fldChar w:fldCharType="separate"/>
      </w:r>
      <w:r w:rsidRPr="00D624ED">
        <w:rPr>
          <w:szCs w:val="21"/>
        </w:rPr>
        <w:t>(2001, 19)</w:t>
      </w:r>
      <w:r w:rsidR="00F7383F">
        <w:fldChar w:fldCharType="end"/>
      </w:r>
      <w:r w:rsidRPr="00CA4EF3">
        <w:t xml:space="preserve"> simply stated “No information is available on public investment in infrastructure.” More recently, the Commission on Growth and Development </w:t>
      </w:r>
      <w:r w:rsidR="00F7383F" w:rsidRPr="00CA4EF3">
        <w:fldChar w:fldCharType="begin"/>
      </w:r>
      <w:r>
        <w:instrText xml:space="preserve"> ADDIN ZOTERO_ITEM {"citationID":"2cn2ga5e0h","properties":{"formattedCitation":"(2008, 35)","plainCitation":"(2008, 35)"},"citationItems":[{"id":1257,"uris":["http://zotero.org/groups/4482/items/D9FUNAA7"],"uri":["http://zotero.org/groups/4482/items/D9FUNAA7"],"locator":"35","label":"page","suppress-author":true}]} </w:instrText>
      </w:r>
      <w:r w:rsidR="00F7383F" w:rsidRPr="00CA4EF3">
        <w:fldChar w:fldCharType="separate"/>
      </w:r>
      <w:r w:rsidRPr="00D624ED">
        <w:rPr>
          <w:szCs w:val="21"/>
        </w:rPr>
        <w:t>(2008, 35)</w:t>
      </w:r>
      <w:r w:rsidR="00F7383F" w:rsidRPr="00CA4EF3">
        <w:fldChar w:fldCharType="end"/>
      </w:r>
      <w:r w:rsidRPr="00CA4EF3">
        <w:t xml:space="preserve"> noted that “data on public investment in infrastructure is surprisingly patchy</w:t>
      </w:r>
      <w:r>
        <w:t>,</w:t>
      </w:r>
      <w:r w:rsidRPr="00CA4EF3">
        <w:t xml:space="preserve">” and Estache and Fay </w:t>
      </w:r>
      <w:r w:rsidR="00F7383F" w:rsidRPr="00CA4EF3">
        <w:fldChar w:fldCharType="begin"/>
      </w:r>
      <w:r>
        <w:instrText xml:space="preserve"> ADDIN ZOTERO_ITEM {"citationID":"66g8mc9rd","properties":{"formattedCitation":"{\\rtf (2010, 156\\uc0\\u8211{}157)}","plainCitation":"(2010, 156–157)"},"citationItems":[{"id":1119,"uris":["http://zotero.org/groups/4482/items/VG54KBK3"],"uri":["http://zotero.org/groups/4482/items/VG54KBK3"],"locator":"156-157","label":"page","suppress-author":true}]} </w:instrText>
      </w:r>
      <w:r w:rsidR="00F7383F" w:rsidRPr="00CA4EF3">
        <w:fldChar w:fldCharType="separate"/>
      </w:r>
      <w:r w:rsidRPr="00F532A4">
        <w:t>(2010, 156–157)</w:t>
      </w:r>
      <w:r w:rsidR="00F7383F" w:rsidRPr="00CA4EF3">
        <w:fldChar w:fldCharType="end"/>
      </w:r>
      <w:r w:rsidRPr="00CA4EF3">
        <w:t xml:space="preserve"> </w:t>
      </w:r>
      <w:r>
        <w:t>stated</w:t>
      </w:r>
      <w:r w:rsidRPr="00CA4EF3">
        <w:t xml:space="preserve"> that “Data on public spending on infrastructure are largely nonexistent, as very few countries estimate how much they spend on infrastructure</w:t>
      </w:r>
      <w:r>
        <w:t>”.</w:t>
      </w:r>
    </w:p>
    <w:p w:rsidR="007D46DA" w:rsidRDefault="007D46DA" w:rsidP="007D46DA"/>
    <w:p w:rsidR="007D46DA" w:rsidRDefault="007D46DA" w:rsidP="007D46DA">
      <w:r w:rsidRPr="00CA4EF3">
        <w:t xml:space="preserve">This lack of a centralized source of global data on infrastructure is related, in part, to the existing structure of international organizations. Unlike the World Health Organization (WHO) for health or the United Nations Educational, Scientific and Cultural Organization for education, there is no single global organization devoted to infrastructure. </w:t>
      </w:r>
      <w:r>
        <w:t>Furthermore, infrastructure is not a specific category in the System of National Accounts or the</w:t>
      </w:r>
      <w:r w:rsidRPr="00CA4EF3">
        <w:t xml:space="preserve"> International Monetary Fund’s Government Financial Statistics</w:t>
      </w:r>
      <w:r>
        <w:t xml:space="preserve"> </w:t>
      </w:r>
      <w:r w:rsidR="00F7383F">
        <w:fldChar w:fldCharType="begin"/>
      </w:r>
      <w:r>
        <w:instrText xml:space="preserve"> ADDIN ZOTERO_ITEM {"citationID":"0Ld2U9rf","properties":{"formattedCitation":"(Estache 2010, 67)","plainCitation":"(Estache 2010, 67)"},"citationItems":[{"id":1296,"uris":["http://zotero.org/groups/4482/items/CMRD8ASZ"],"uri":["http://zotero.org/groups/4482/items/CMRD8ASZ"],"locator":"67","label":"page"}]} </w:instrText>
      </w:r>
      <w:r w:rsidR="00F7383F">
        <w:fldChar w:fldCharType="separate"/>
      </w:r>
      <w:r w:rsidRPr="00D624ED">
        <w:rPr>
          <w:szCs w:val="21"/>
        </w:rPr>
        <w:t>(Estache 2010, 67)</w:t>
      </w:r>
      <w:r w:rsidR="00F7383F">
        <w:fldChar w:fldCharType="end"/>
      </w:r>
      <w:r>
        <w:t>.</w:t>
      </w:r>
    </w:p>
    <w:p w:rsidR="007D46DA" w:rsidRDefault="007D46DA" w:rsidP="007D46DA"/>
    <w:p w:rsidR="007D46DA" w:rsidRDefault="007D46DA" w:rsidP="007D46DA">
      <w:r w:rsidRPr="00CA4EF3">
        <w:t>In</w:t>
      </w:r>
      <w:r>
        <w:t xml:space="preserve"> terms of historical data on infrastructure stocks and access, we can turn to various international organizations with specific emphases. </w:t>
      </w:r>
      <w:r w:rsidRPr="00CA4EF3">
        <w:t xml:space="preserve">These include transportation—the International Road Federation (IRF), energy—the International Energy Agency (IEA), and telecommunications—the International Telecommunication Union (ITU). </w:t>
      </w:r>
      <w:r>
        <w:t>T</w:t>
      </w:r>
      <w:r w:rsidRPr="00CA4EF3">
        <w:t xml:space="preserve">here is no one organization focused on water and waste systems, </w:t>
      </w:r>
      <w:r>
        <w:t xml:space="preserve">but </w:t>
      </w:r>
      <w:r w:rsidRPr="00CA4EF3">
        <w:t>a number of different organizations</w:t>
      </w:r>
      <w:r>
        <w:t>,</w:t>
      </w:r>
      <w:r w:rsidRPr="00CA4EF3">
        <w:t xml:space="preserve"> such as the Joint Monitoring Programme of WHO and the United Nations Children’s Fund (UNICEF), the United Nations Statistical Division (UNSD), and the United Nations Food and Agricultural Organization (FAO)</w:t>
      </w:r>
      <w:r>
        <w:t>,</w:t>
      </w:r>
      <w:r w:rsidRPr="00CA4EF3">
        <w:t xml:space="preserve"> maintain global data related to certain aspects of water infrastructure. </w:t>
      </w:r>
      <w:r>
        <w:t>Table 2.2 summarizes a number of the data sets these groups maintain.</w:t>
      </w:r>
    </w:p>
    <w:p w:rsidR="007D46DA" w:rsidRDefault="007D46DA" w:rsidP="007D46DA"/>
    <w:tbl>
      <w:tblPr>
        <w:tblStyle w:val="TableGrid"/>
        <w:tblW w:w="8798" w:type="dxa"/>
        <w:tblLook w:val="04A0"/>
      </w:tblPr>
      <w:tblGrid>
        <w:gridCol w:w="1684"/>
        <w:gridCol w:w="1894"/>
        <w:gridCol w:w="1289"/>
        <w:gridCol w:w="1271"/>
        <w:gridCol w:w="2660"/>
      </w:tblGrid>
      <w:tr w:rsidR="007D46DA" w:rsidRPr="008142AA">
        <w:tc>
          <w:tcPr>
            <w:tcW w:w="8798" w:type="dxa"/>
            <w:gridSpan w:val="5"/>
          </w:tcPr>
          <w:p w:rsidR="007D46DA" w:rsidRPr="008142AA" w:rsidRDefault="007D46DA" w:rsidP="006B1499">
            <w:pPr>
              <w:rPr>
                <w:b/>
                <w:sz w:val="22"/>
              </w:rPr>
            </w:pPr>
            <w:r w:rsidRPr="008142AA">
              <w:rPr>
                <w:b/>
                <w:sz w:val="22"/>
              </w:rPr>
              <w:t xml:space="preserve">Table </w:t>
            </w:r>
            <w:r>
              <w:rPr>
                <w:b/>
                <w:sz w:val="22"/>
              </w:rPr>
              <w:t>2.2 Sources of country-level data on historical infrastructure stocks and access</w:t>
            </w:r>
          </w:p>
        </w:tc>
      </w:tr>
      <w:tr w:rsidR="007D46DA" w:rsidRPr="001E4060">
        <w:tc>
          <w:tcPr>
            <w:tcW w:w="1684" w:type="dxa"/>
          </w:tcPr>
          <w:p w:rsidR="007D46DA" w:rsidRDefault="007D46DA" w:rsidP="006B1499">
            <w:pPr>
              <w:jc w:val="center"/>
              <w:rPr>
                <w:sz w:val="20"/>
              </w:rPr>
            </w:pPr>
            <w:r>
              <w:rPr>
                <w:sz w:val="20"/>
              </w:rPr>
              <w:t>Infrastructure type</w:t>
            </w:r>
          </w:p>
        </w:tc>
        <w:tc>
          <w:tcPr>
            <w:tcW w:w="1872" w:type="dxa"/>
            <w:vAlign w:val="bottom"/>
          </w:tcPr>
          <w:p w:rsidR="007D46DA" w:rsidRPr="001E4060" w:rsidRDefault="007D46DA" w:rsidP="006B1499">
            <w:pPr>
              <w:jc w:val="center"/>
              <w:rPr>
                <w:sz w:val="20"/>
              </w:rPr>
            </w:pPr>
            <w:r>
              <w:rPr>
                <w:sz w:val="20"/>
              </w:rPr>
              <w:t>Organizati</w:t>
            </w:r>
            <w:bookmarkStart w:id="40" w:name="_GoBack"/>
            <w:bookmarkEnd w:id="40"/>
            <w:r>
              <w:rPr>
                <w:sz w:val="20"/>
              </w:rPr>
              <w:t>on</w:t>
            </w:r>
          </w:p>
        </w:tc>
        <w:tc>
          <w:tcPr>
            <w:tcW w:w="1293" w:type="dxa"/>
            <w:vAlign w:val="bottom"/>
          </w:tcPr>
          <w:p w:rsidR="007D46DA" w:rsidRPr="001E4060" w:rsidRDefault="007D46DA" w:rsidP="006B1499">
            <w:pPr>
              <w:jc w:val="center"/>
              <w:rPr>
                <w:sz w:val="20"/>
              </w:rPr>
            </w:pPr>
            <w:r w:rsidRPr="001E4060">
              <w:rPr>
                <w:sz w:val="20"/>
              </w:rPr>
              <w:t xml:space="preserve">Spatial </w:t>
            </w:r>
            <w:r>
              <w:rPr>
                <w:sz w:val="20"/>
              </w:rPr>
              <w:t>c</w:t>
            </w:r>
            <w:r w:rsidRPr="001E4060">
              <w:rPr>
                <w:sz w:val="20"/>
              </w:rPr>
              <w:t>overage</w:t>
            </w:r>
          </w:p>
        </w:tc>
        <w:tc>
          <w:tcPr>
            <w:tcW w:w="1275" w:type="dxa"/>
            <w:vAlign w:val="bottom"/>
          </w:tcPr>
          <w:p w:rsidR="007D46DA" w:rsidRPr="001E4060" w:rsidRDefault="007D46DA" w:rsidP="006B1499">
            <w:pPr>
              <w:jc w:val="center"/>
              <w:rPr>
                <w:sz w:val="20"/>
              </w:rPr>
            </w:pPr>
            <w:r w:rsidRPr="001E4060">
              <w:rPr>
                <w:sz w:val="20"/>
              </w:rPr>
              <w:t xml:space="preserve">Temporal </w:t>
            </w:r>
            <w:r>
              <w:rPr>
                <w:sz w:val="20"/>
              </w:rPr>
              <w:t>c</w:t>
            </w:r>
            <w:r w:rsidRPr="001E4060">
              <w:rPr>
                <w:sz w:val="20"/>
              </w:rPr>
              <w:t>overage</w:t>
            </w:r>
          </w:p>
        </w:tc>
        <w:tc>
          <w:tcPr>
            <w:tcW w:w="2674" w:type="dxa"/>
            <w:vAlign w:val="bottom"/>
          </w:tcPr>
          <w:p w:rsidR="007D46DA" w:rsidRPr="001E4060" w:rsidRDefault="007D46DA" w:rsidP="006B1499">
            <w:pPr>
              <w:jc w:val="center"/>
              <w:rPr>
                <w:sz w:val="20"/>
              </w:rPr>
            </w:pPr>
            <w:r w:rsidRPr="001E4060">
              <w:rPr>
                <w:sz w:val="20"/>
              </w:rPr>
              <w:t xml:space="preserve">Infrastructure </w:t>
            </w:r>
            <w:r>
              <w:rPr>
                <w:sz w:val="20"/>
              </w:rPr>
              <w:t>c</w:t>
            </w:r>
            <w:r w:rsidRPr="001E4060">
              <w:rPr>
                <w:sz w:val="20"/>
              </w:rPr>
              <w:t>overage</w:t>
            </w:r>
          </w:p>
        </w:tc>
      </w:tr>
      <w:tr w:rsidR="007D46DA" w:rsidRPr="001E4060">
        <w:tc>
          <w:tcPr>
            <w:tcW w:w="1684" w:type="dxa"/>
            <w:vAlign w:val="center"/>
          </w:tcPr>
          <w:p w:rsidR="007D46DA" w:rsidRPr="00AD0C5B" w:rsidRDefault="007D46DA" w:rsidP="006B1499">
            <w:pPr>
              <w:rPr>
                <w:sz w:val="20"/>
              </w:rPr>
            </w:pPr>
            <w:r>
              <w:rPr>
                <w:sz w:val="20"/>
              </w:rPr>
              <w:t>Transportation</w:t>
            </w:r>
          </w:p>
        </w:tc>
        <w:tc>
          <w:tcPr>
            <w:tcW w:w="1872" w:type="dxa"/>
            <w:vAlign w:val="center"/>
          </w:tcPr>
          <w:p w:rsidR="007D46DA" w:rsidRPr="009A7B31" w:rsidRDefault="007D46DA" w:rsidP="006B1499">
            <w:pPr>
              <w:rPr>
                <w:sz w:val="20"/>
              </w:rPr>
            </w:pPr>
            <w:r w:rsidRPr="003779E3">
              <w:rPr>
                <w:sz w:val="20"/>
              </w:rPr>
              <w:t>International Road Federation</w:t>
            </w:r>
          </w:p>
        </w:tc>
        <w:tc>
          <w:tcPr>
            <w:tcW w:w="1293" w:type="dxa"/>
            <w:vAlign w:val="center"/>
          </w:tcPr>
          <w:p w:rsidR="007D46DA" w:rsidRPr="001E4060" w:rsidRDefault="007D46DA" w:rsidP="006B1499">
            <w:pPr>
              <w:rPr>
                <w:sz w:val="20"/>
              </w:rPr>
            </w:pPr>
            <w:r>
              <w:rPr>
                <w:sz w:val="20"/>
              </w:rPr>
              <w:t>Global</w:t>
            </w:r>
          </w:p>
        </w:tc>
        <w:tc>
          <w:tcPr>
            <w:tcW w:w="1275" w:type="dxa"/>
            <w:vAlign w:val="center"/>
          </w:tcPr>
          <w:p w:rsidR="007D46DA" w:rsidRPr="001E4060" w:rsidRDefault="007D46DA" w:rsidP="006B1499">
            <w:pPr>
              <w:rPr>
                <w:sz w:val="20"/>
              </w:rPr>
            </w:pPr>
            <w:r w:rsidRPr="001E4060">
              <w:rPr>
                <w:sz w:val="20"/>
              </w:rPr>
              <w:t xml:space="preserve">Annual data: </w:t>
            </w:r>
            <w:r>
              <w:rPr>
                <w:sz w:val="20"/>
              </w:rPr>
              <w:t>1968-2009</w:t>
            </w:r>
          </w:p>
        </w:tc>
        <w:tc>
          <w:tcPr>
            <w:tcW w:w="2674" w:type="dxa"/>
            <w:vAlign w:val="center"/>
          </w:tcPr>
          <w:p w:rsidR="007D46DA" w:rsidRPr="001E4060" w:rsidRDefault="007D46DA" w:rsidP="006B1499">
            <w:pPr>
              <w:rPr>
                <w:sz w:val="20"/>
              </w:rPr>
            </w:pPr>
            <w:r>
              <w:rPr>
                <w:sz w:val="20"/>
              </w:rPr>
              <w:t>Total road network length, percent of road network paved, and road density</w:t>
            </w:r>
          </w:p>
        </w:tc>
      </w:tr>
      <w:tr w:rsidR="007D46DA" w:rsidRPr="001E4060">
        <w:tc>
          <w:tcPr>
            <w:tcW w:w="1684" w:type="dxa"/>
            <w:vMerge w:val="restart"/>
            <w:vAlign w:val="center"/>
          </w:tcPr>
          <w:p w:rsidR="007D46DA" w:rsidRPr="00531210" w:rsidRDefault="007D46DA" w:rsidP="006B1499">
            <w:pPr>
              <w:rPr>
                <w:sz w:val="20"/>
              </w:rPr>
            </w:pPr>
            <w:r>
              <w:rPr>
                <w:sz w:val="20"/>
              </w:rPr>
              <w:t>Water and sanitation</w:t>
            </w:r>
          </w:p>
        </w:tc>
        <w:tc>
          <w:tcPr>
            <w:tcW w:w="1872" w:type="dxa"/>
            <w:vAlign w:val="center"/>
          </w:tcPr>
          <w:p w:rsidR="007D46DA" w:rsidRPr="009A7B31" w:rsidRDefault="007D46DA" w:rsidP="006B1499">
            <w:pPr>
              <w:rPr>
                <w:sz w:val="20"/>
              </w:rPr>
            </w:pPr>
            <w:r w:rsidRPr="003779E3">
              <w:rPr>
                <w:sz w:val="20"/>
              </w:rPr>
              <w:t>WHO and UNICEF Joint Monitoring Programme for Water Supply and Sanitation</w:t>
            </w:r>
          </w:p>
        </w:tc>
        <w:tc>
          <w:tcPr>
            <w:tcW w:w="1293" w:type="dxa"/>
            <w:vAlign w:val="center"/>
          </w:tcPr>
          <w:p w:rsidR="007D46DA" w:rsidRPr="001E4060" w:rsidRDefault="007D46DA" w:rsidP="006B1499">
            <w:pPr>
              <w:rPr>
                <w:sz w:val="20"/>
              </w:rPr>
            </w:pPr>
            <w:r>
              <w:rPr>
                <w:sz w:val="20"/>
              </w:rPr>
              <w:t>Global</w:t>
            </w:r>
          </w:p>
        </w:tc>
        <w:tc>
          <w:tcPr>
            <w:tcW w:w="1275" w:type="dxa"/>
            <w:vAlign w:val="center"/>
          </w:tcPr>
          <w:p w:rsidR="007D46DA" w:rsidRPr="001E4060" w:rsidRDefault="007D46DA" w:rsidP="006B1499">
            <w:pPr>
              <w:rPr>
                <w:sz w:val="20"/>
              </w:rPr>
            </w:pPr>
            <w:r w:rsidRPr="001E4060">
              <w:rPr>
                <w:sz w:val="20"/>
              </w:rPr>
              <w:t xml:space="preserve">Annual </w:t>
            </w:r>
            <w:r>
              <w:rPr>
                <w:sz w:val="20"/>
              </w:rPr>
              <w:t>data for select years: 1990, 1995, 2000, 2005, 2008</w:t>
            </w:r>
          </w:p>
        </w:tc>
        <w:tc>
          <w:tcPr>
            <w:tcW w:w="2674" w:type="dxa"/>
            <w:vAlign w:val="center"/>
          </w:tcPr>
          <w:p w:rsidR="007D46DA" w:rsidRPr="001E4060" w:rsidRDefault="007D46DA" w:rsidP="006B1499">
            <w:pPr>
              <w:rPr>
                <w:sz w:val="20"/>
              </w:rPr>
            </w:pPr>
            <w:r>
              <w:rPr>
                <w:sz w:val="20"/>
              </w:rPr>
              <w:t>Percent of population with access to improved, piped, other improved, and unimproved water, and sanitation facilities</w:t>
            </w:r>
          </w:p>
        </w:tc>
      </w:tr>
      <w:tr w:rsidR="007D46DA" w:rsidRPr="001E4060">
        <w:tc>
          <w:tcPr>
            <w:tcW w:w="1684" w:type="dxa"/>
            <w:vMerge/>
            <w:vAlign w:val="center"/>
          </w:tcPr>
          <w:p w:rsidR="007D46DA" w:rsidRDefault="007D46DA" w:rsidP="006B1499">
            <w:pPr>
              <w:rPr>
                <w:sz w:val="20"/>
              </w:rPr>
            </w:pPr>
          </w:p>
        </w:tc>
        <w:tc>
          <w:tcPr>
            <w:tcW w:w="1872" w:type="dxa"/>
            <w:vAlign w:val="center"/>
          </w:tcPr>
          <w:p w:rsidR="007D46DA" w:rsidRPr="009A7B31" w:rsidRDefault="007D46DA" w:rsidP="006B1499">
            <w:pPr>
              <w:rPr>
                <w:sz w:val="20"/>
              </w:rPr>
            </w:pPr>
            <w:r w:rsidRPr="003779E3">
              <w:rPr>
                <w:sz w:val="20"/>
              </w:rPr>
              <w:t>Food and Agriculture Organization AQUASTAT database</w:t>
            </w:r>
          </w:p>
        </w:tc>
        <w:tc>
          <w:tcPr>
            <w:tcW w:w="1293" w:type="dxa"/>
            <w:vAlign w:val="center"/>
          </w:tcPr>
          <w:p w:rsidR="007D46DA" w:rsidRDefault="007D46DA" w:rsidP="006B1499">
            <w:pPr>
              <w:rPr>
                <w:sz w:val="20"/>
              </w:rPr>
            </w:pPr>
            <w:r>
              <w:rPr>
                <w:sz w:val="20"/>
              </w:rPr>
              <w:t>Global</w:t>
            </w:r>
          </w:p>
        </w:tc>
        <w:tc>
          <w:tcPr>
            <w:tcW w:w="1275" w:type="dxa"/>
            <w:vAlign w:val="center"/>
          </w:tcPr>
          <w:p w:rsidR="007D46DA" w:rsidRPr="001E4060" w:rsidRDefault="007D46DA" w:rsidP="006B1499">
            <w:pPr>
              <w:rPr>
                <w:sz w:val="20"/>
              </w:rPr>
            </w:pPr>
            <w:r w:rsidRPr="001E4060">
              <w:rPr>
                <w:sz w:val="20"/>
              </w:rPr>
              <w:t xml:space="preserve">Annual </w:t>
            </w:r>
            <w:r>
              <w:rPr>
                <w:sz w:val="20"/>
              </w:rPr>
              <w:t>date: 1960-2010</w:t>
            </w:r>
          </w:p>
        </w:tc>
        <w:tc>
          <w:tcPr>
            <w:tcW w:w="2674" w:type="dxa"/>
            <w:vAlign w:val="center"/>
          </w:tcPr>
          <w:p w:rsidR="007D46DA" w:rsidRDefault="007D46DA" w:rsidP="006B1499">
            <w:pPr>
              <w:rPr>
                <w:sz w:val="20"/>
              </w:rPr>
            </w:pPr>
            <w:r>
              <w:rPr>
                <w:sz w:val="20"/>
              </w:rPr>
              <w:t xml:space="preserve">Percent of arable land equipped for irrigation, and water use/withdrawals by sector </w:t>
            </w:r>
          </w:p>
        </w:tc>
      </w:tr>
      <w:tr w:rsidR="007D46DA" w:rsidRPr="001E4060">
        <w:tc>
          <w:tcPr>
            <w:tcW w:w="1684" w:type="dxa"/>
            <w:vMerge/>
            <w:vAlign w:val="center"/>
          </w:tcPr>
          <w:p w:rsidR="007D46DA" w:rsidRPr="001E4060" w:rsidRDefault="007D46DA" w:rsidP="006B1499">
            <w:pPr>
              <w:rPr>
                <w:sz w:val="20"/>
              </w:rPr>
            </w:pPr>
          </w:p>
        </w:tc>
        <w:tc>
          <w:tcPr>
            <w:tcW w:w="1872" w:type="dxa"/>
            <w:vAlign w:val="center"/>
          </w:tcPr>
          <w:p w:rsidR="007D46DA" w:rsidRPr="009A7B31" w:rsidRDefault="007D46DA" w:rsidP="006B1499">
            <w:pPr>
              <w:rPr>
                <w:sz w:val="20"/>
              </w:rPr>
            </w:pPr>
            <w:r w:rsidRPr="003779E3">
              <w:rPr>
                <w:sz w:val="20"/>
              </w:rPr>
              <w:t>United Nations Statistical Division</w:t>
            </w:r>
          </w:p>
        </w:tc>
        <w:tc>
          <w:tcPr>
            <w:tcW w:w="1293" w:type="dxa"/>
            <w:vAlign w:val="center"/>
          </w:tcPr>
          <w:p w:rsidR="007D46DA" w:rsidRPr="001E4060" w:rsidRDefault="007D46DA" w:rsidP="006B1499">
            <w:pPr>
              <w:rPr>
                <w:sz w:val="20"/>
              </w:rPr>
            </w:pPr>
            <w:r>
              <w:rPr>
                <w:sz w:val="20"/>
              </w:rPr>
              <w:t>Global (98 countries)</w:t>
            </w:r>
          </w:p>
        </w:tc>
        <w:tc>
          <w:tcPr>
            <w:tcW w:w="1275" w:type="dxa"/>
            <w:vAlign w:val="center"/>
          </w:tcPr>
          <w:p w:rsidR="007D46DA" w:rsidRPr="001E4060" w:rsidRDefault="007D46DA" w:rsidP="006B1499">
            <w:pPr>
              <w:rPr>
                <w:sz w:val="20"/>
              </w:rPr>
            </w:pPr>
            <w:r>
              <w:rPr>
                <w:sz w:val="20"/>
              </w:rPr>
              <w:t>Date for most recent year only</w:t>
            </w:r>
          </w:p>
        </w:tc>
        <w:tc>
          <w:tcPr>
            <w:tcW w:w="2674" w:type="dxa"/>
            <w:vAlign w:val="center"/>
          </w:tcPr>
          <w:p w:rsidR="007D46DA" w:rsidRPr="001E4060" w:rsidRDefault="007D46DA" w:rsidP="006B1499">
            <w:pPr>
              <w:rPr>
                <w:sz w:val="20"/>
              </w:rPr>
            </w:pPr>
            <w:r>
              <w:rPr>
                <w:sz w:val="20"/>
              </w:rPr>
              <w:t>Percent of population connected to wastewater connection, and percent connected to wastewater treatment</w:t>
            </w:r>
          </w:p>
        </w:tc>
      </w:tr>
      <w:tr w:rsidR="007D46DA" w:rsidRPr="001E4060">
        <w:tc>
          <w:tcPr>
            <w:tcW w:w="1684" w:type="dxa"/>
            <w:vMerge w:val="restart"/>
            <w:vAlign w:val="center"/>
          </w:tcPr>
          <w:p w:rsidR="007D46DA" w:rsidRPr="001E4060" w:rsidRDefault="007D46DA" w:rsidP="006B1499">
            <w:pPr>
              <w:rPr>
                <w:sz w:val="20"/>
              </w:rPr>
            </w:pPr>
            <w:r>
              <w:rPr>
                <w:sz w:val="20"/>
              </w:rPr>
              <w:t>Electricity/energy</w:t>
            </w:r>
          </w:p>
        </w:tc>
        <w:tc>
          <w:tcPr>
            <w:tcW w:w="1872" w:type="dxa"/>
            <w:vAlign w:val="center"/>
          </w:tcPr>
          <w:p w:rsidR="007D46DA" w:rsidRPr="009A7B31" w:rsidRDefault="007D46DA" w:rsidP="006B1499">
            <w:pPr>
              <w:rPr>
                <w:sz w:val="20"/>
              </w:rPr>
            </w:pPr>
            <w:r w:rsidRPr="003779E3">
              <w:rPr>
                <w:sz w:val="20"/>
              </w:rPr>
              <w:t>United States Energy Information Administration</w:t>
            </w:r>
          </w:p>
        </w:tc>
        <w:tc>
          <w:tcPr>
            <w:tcW w:w="1293" w:type="dxa"/>
            <w:vAlign w:val="center"/>
          </w:tcPr>
          <w:p w:rsidR="007D46DA" w:rsidRPr="001E4060" w:rsidRDefault="007D46DA" w:rsidP="006B1499">
            <w:pPr>
              <w:rPr>
                <w:sz w:val="20"/>
              </w:rPr>
            </w:pPr>
            <w:r>
              <w:rPr>
                <w:sz w:val="20"/>
              </w:rPr>
              <w:t>Global</w:t>
            </w:r>
          </w:p>
        </w:tc>
        <w:tc>
          <w:tcPr>
            <w:tcW w:w="1275" w:type="dxa"/>
            <w:vAlign w:val="center"/>
          </w:tcPr>
          <w:p w:rsidR="007D46DA" w:rsidRPr="001E4060" w:rsidRDefault="007D46DA" w:rsidP="006B1499">
            <w:pPr>
              <w:rPr>
                <w:sz w:val="20"/>
              </w:rPr>
            </w:pPr>
            <w:r>
              <w:rPr>
                <w:sz w:val="20"/>
              </w:rPr>
              <w:t>Annual data: 1980-2008</w:t>
            </w:r>
          </w:p>
        </w:tc>
        <w:tc>
          <w:tcPr>
            <w:tcW w:w="2674" w:type="dxa"/>
            <w:vAlign w:val="center"/>
          </w:tcPr>
          <w:p w:rsidR="007D46DA" w:rsidRPr="001E4060" w:rsidRDefault="007D46DA" w:rsidP="006B1499">
            <w:pPr>
              <w:rPr>
                <w:sz w:val="20"/>
              </w:rPr>
            </w:pPr>
            <w:r>
              <w:rPr>
                <w:sz w:val="20"/>
              </w:rPr>
              <w:t>Total electricity installed generating capacity, and generating capacity by energy type</w:t>
            </w:r>
          </w:p>
        </w:tc>
      </w:tr>
      <w:tr w:rsidR="007D46DA" w:rsidRPr="001E4060">
        <w:tc>
          <w:tcPr>
            <w:tcW w:w="1684" w:type="dxa"/>
            <w:vMerge/>
            <w:vAlign w:val="center"/>
          </w:tcPr>
          <w:p w:rsidR="007D46DA" w:rsidRPr="001E4060" w:rsidRDefault="007D46DA" w:rsidP="006B1499">
            <w:pPr>
              <w:rPr>
                <w:sz w:val="20"/>
              </w:rPr>
            </w:pPr>
          </w:p>
        </w:tc>
        <w:tc>
          <w:tcPr>
            <w:tcW w:w="1872" w:type="dxa"/>
            <w:vAlign w:val="center"/>
          </w:tcPr>
          <w:p w:rsidR="007D46DA" w:rsidRPr="009A7B31" w:rsidRDefault="007D46DA" w:rsidP="006B1499">
            <w:pPr>
              <w:rPr>
                <w:sz w:val="20"/>
              </w:rPr>
            </w:pPr>
            <w:r w:rsidRPr="003779E3">
              <w:rPr>
                <w:sz w:val="20"/>
              </w:rPr>
              <w:t>International Energy Agency</w:t>
            </w:r>
          </w:p>
        </w:tc>
        <w:tc>
          <w:tcPr>
            <w:tcW w:w="1293" w:type="dxa"/>
            <w:vAlign w:val="center"/>
          </w:tcPr>
          <w:p w:rsidR="007D46DA" w:rsidRPr="001E4060" w:rsidRDefault="007D46DA" w:rsidP="006B1499">
            <w:pPr>
              <w:rPr>
                <w:sz w:val="20"/>
              </w:rPr>
            </w:pPr>
            <w:r>
              <w:rPr>
                <w:sz w:val="20"/>
              </w:rPr>
              <w:t>Global</w:t>
            </w:r>
          </w:p>
        </w:tc>
        <w:tc>
          <w:tcPr>
            <w:tcW w:w="1275" w:type="dxa"/>
            <w:vAlign w:val="center"/>
          </w:tcPr>
          <w:p w:rsidR="007D46DA" w:rsidRPr="001E4060" w:rsidRDefault="007D46DA" w:rsidP="006B1499">
            <w:pPr>
              <w:rPr>
                <w:sz w:val="20"/>
              </w:rPr>
            </w:pPr>
            <w:r w:rsidRPr="001E4060">
              <w:rPr>
                <w:sz w:val="20"/>
              </w:rPr>
              <w:t xml:space="preserve">Annual data: </w:t>
            </w:r>
            <w:r>
              <w:rPr>
                <w:sz w:val="20"/>
              </w:rPr>
              <w:t>1960-2008</w:t>
            </w:r>
          </w:p>
        </w:tc>
        <w:tc>
          <w:tcPr>
            <w:tcW w:w="2674" w:type="dxa"/>
            <w:vAlign w:val="center"/>
          </w:tcPr>
          <w:p w:rsidR="007D46DA" w:rsidRPr="001E4060" w:rsidRDefault="007D46DA" w:rsidP="006B1499">
            <w:pPr>
              <w:rPr>
                <w:sz w:val="20"/>
              </w:rPr>
            </w:pPr>
            <w:r>
              <w:rPr>
                <w:sz w:val="20"/>
              </w:rPr>
              <w:t>Electricity production by source type, and total electricity production</w:t>
            </w:r>
          </w:p>
        </w:tc>
      </w:tr>
      <w:tr w:rsidR="007D46DA" w:rsidRPr="001E4060">
        <w:tc>
          <w:tcPr>
            <w:tcW w:w="1684" w:type="dxa"/>
            <w:vAlign w:val="center"/>
          </w:tcPr>
          <w:p w:rsidR="007D46DA" w:rsidRPr="001E4060" w:rsidRDefault="007D46DA" w:rsidP="006B1499">
            <w:pPr>
              <w:rPr>
                <w:sz w:val="20"/>
              </w:rPr>
            </w:pPr>
            <w:r>
              <w:rPr>
                <w:sz w:val="20"/>
              </w:rPr>
              <w:t xml:space="preserve">Information communication technologies </w:t>
            </w:r>
          </w:p>
        </w:tc>
        <w:tc>
          <w:tcPr>
            <w:tcW w:w="1872" w:type="dxa"/>
            <w:vAlign w:val="center"/>
          </w:tcPr>
          <w:p w:rsidR="007D46DA" w:rsidRPr="009A7B31" w:rsidRDefault="007D46DA" w:rsidP="006B1499">
            <w:pPr>
              <w:rPr>
                <w:sz w:val="20"/>
              </w:rPr>
            </w:pPr>
            <w:r w:rsidRPr="009A7B31">
              <w:rPr>
                <w:sz w:val="20"/>
              </w:rPr>
              <w:t>I</w:t>
            </w:r>
            <w:r w:rsidRPr="003779E3">
              <w:rPr>
                <w:sz w:val="20"/>
              </w:rPr>
              <w:t>nternational Telecommunications Union</w:t>
            </w:r>
          </w:p>
        </w:tc>
        <w:tc>
          <w:tcPr>
            <w:tcW w:w="1293" w:type="dxa"/>
            <w:vAlign w:val="center"/>
          </w:tcPr>
          <w:p w:rsidR="007D46DA" w:rsidRPr="001E4060" w:rsidRDefault="007D46DA" w:rsidP="006B1499">
            <w:pPr>
              <w:rPr>
                <w:sz w:val="20"/>
              </w:rPr>
            </w:pPr>
            <w:r>
              <w:rPr>
                <w:sz w:val="20"/>
              </w:rPr>
              <w:t>Global</w:t>
            </w:r>
          </w:p>
        </w:tc>
        <w:tc>
          <w:tcPr>
            <w:tcW w:w="1275" w:type="dxa"/>
            <w:vAlign w:val="center"/>
          </w:tcPr>
          <w:p w:rsidR="007D46DA" w:rsidRPr="001E4060" w:rsidRDefault="007D46DA" w:rsidP="006B1499">
            <w:pPr>
              <w:rPr>
                <w:sz w:val="20"/>
              </w:rPr>
            </w:pPr>
            <w:r>
              <w:rPr>
                <w:sz w:val="20"/>
              </w:rPr>
              <w:t>Annual data: 1960-2010</w:t>
            </w:r>
          </w:p>
        </w:tc>
        <w:tc>
          <w:tcPr>
            <w:tcW w:w="2674" w:type="dxa"/>
            <w:vAlign w:val="center"/>
          </w:tcPr>
          <w:p w:rsidR="007D46DA" w:rsidRPr="001E4060" w:rsidRDefault="007D46DA" w:rsidP="006B1499">
            <w:pPr>
              <w:rPr>
                <w:sz w:val="20"/>
              </w:rPr>
            </w:pPr>
            <w:r>
              <w:rPr>
                <w:sz w:val="20"/>
              </w:rPr>
              <w:t>Number of telephone mainlines, number of cell phone subscriptions, broadband subscriptions, mobile broadband subscriptions, number of computers/internet users</w:t>
            </w:r>
          </w:p>
        </w:tc>
      </w:tr>
    </w:tbl>
    <w:p w:rsidR="007D46DA" w:rsidRPr="00CA4EF3" w:rsidRDefault="007D46DA" w:rsidP="007D46DA"/>
    <w:p w:rsidR="007D46DA" w:rsidRPr="00CA4EF3" w:rsidRDefault="007D46DA" w:rsidP="007D46DA">
      <w:r>
        <w:t xml:space="preserve">In addition to these </w:t>
      </w:r>
      <w:r w:rsidRPr="00CA4EF3">
        <w:t>primary data sources</w:t>
      </w:r>
      <w:r>
        <w:t>, t</w:t>
      </w:r>
      <w:r w:rsidRPr="00CA4EF3">
        <w:t>he World Bank’s World Development Indicators</w:t>
      </w:r>
      <w:r>
        <w:t xml:space="preserve"> (WDI)</w:t>
      </w:r>
      <w:r w:rsidRPr="000E4C4E">
        <w:rPr>
          <w:rStyle w:val="FootnoteReference"/>
        </w:rPr>
        <w:footnoteReference w:id="14"/>
      </w:r>
      <w:r w:rsidRPr="00CA4EF3">
        <w:t xml:space="preserve"> and the World Resources Institute’s Earth Trends</w:t>
      </w:r>
      <w:r w:rsidRPr="000E4C4E">
        <w:rPr>
          <w:rStyle w:val="FootnoteReference"/>
        </w:rPr>
        <w:footnoteReference w:id="15"/>
      </w:r>
      <w:r w:rsidRPr="00CA4EF3">
        <w:t xml:space="preserve"> databases </w:t>
      </w:r>
      <w:r>
        <w:t>act</w:t>
      </w:r>
      <w:r w:rsidRPr="00CA4EF3">
        <w:t xml:space="preserve"> clearinghouses for m</w:t>
      </w:r>
      <w:r>
        <w:t>uch</w:t>
      </w:r>
      <w:r w:rsidRPr="00CA4EF3">
        <w:t xml:space="preserve"> of the</w:t>
      </w:r>
      <w:r>
        <w:t xml:space="preserve"> same data</w:t>
      </w:r>
      <w:r w:rsidRPr="00CA4EF3">
        <w:t>.</w:t>
      </w:r>
      <w:r>
        <w:t xml:space="preserve"> We can also turn to </w:t>
      </w:r>
      <w:r w:rsidRPr="00CA4EF3">
        <w:t xml:space="preserve">Canning </w:t>
      </w:r>
      <w:fldSimple w:instr=" ADDIN ZOTERO_ITEM {&quot;citationID&quot;:&quot;mgu95ahs5&quot;,&quot;properties&quot;:{&quot;formattedCitation&quot;:&quot;(1998)&quot;,&quot;plainCitation&quot;:&quot;(1998)&quot;},&quot;citationItems&quot;:[{&quot;id&quot;:1067,&quot;uris&quot;:[&quot;http://zotero.org/groups/4482/items/59NKURMC&quot;],&quot;uri&quot;:[&quot;http://zotero.org/groups/4482/items/59NKURMC&quot;],&quot;suppress-author&quot;:true}]} ">
        <w:r w:rsidRPr="00AA7B30">
          <w:rPr>
            <w:szCs w:val="21"/>
          </w:rPr>
          <w:t>(1998)</w:t>
        </w:r>
      </w:fldSimple>
      <w:r w:rsidRPr="00CA4EF3">
        <w:t xml:space="preserve">, Estache and Goicoechea </w:t>
      </w:r>
      <w:fldSimple w:instr=" ADDIN ZOTERO_ITEM {&quot;citationID&quot;:&quot;1xJUTcQq&quot;,&quot;properties&quot;:{&quot;formattedCitation&quot;:&quot;(2005)&quot;,&quot;plainCitation&quot;:&quot;(2005)&quot;},&quot;citationItems&quot;:[{&quot;id&quot;:424,&quot;uris&quot;:[&quot;http://zotero.org/groups/4482/items/PTQET72H&quot;],&quot;uri&quot;:[&quot;http://zotero.org/groups/4482/items/PTQET72H&quot;],&quot;suppress-author&quot;:true}]} ">
        <w:r w:rsidRPr="00AA7B30">
          <w:rPr>
            <w:szCs w:val="21"/>
          </w:rPr>
          <w:t>(2005)</w:t>
        </w:r>
      </w:fldSimple>
      <w:r w:rsidRPr="00CA4EF3">
        <w:t xml:space="preserve">, and Canning and Farahani </w:t>
      </w:r>
      <w:fldSimple w:instr=" ADDIN ZOTERO_ITEM {&quot;citationID&quot;:&quot;2b9mhmstuc&quot;,&quot;properties&quot;:{&quot;formattedCitation&quot;:&quot;(2007)&quot;,&quot;plainCitation&quot;:&quot;(2007)&quot;},&quot;citationItems&quot;:[{&quot;id&quot;:500,&quot;uris&quot;:[&quot;http://zotero.org/groups/4482/items/MSM7T659&quot;],&quot;uri&quot;:[&quot;http://zotero.org/groups/4482/items/MSM7T659&quot;],&quot;suppress-author&quot;:true}]} ">
        <w:r w:rsidRPr="00AA7B30">
          <w:rPr>
            <w:szCs w:val="21"/>
          </w:rPr>
          <w:t>(2007)</w:t>
        </w:r>
      </w:fldSimple>
      <w:r>
        <w:t>, who</w:t>
      </w:r>
      <w:r w:rsidRPr="00CA4EF3">
        <w:t xml:space="preserve"> have drawn on these and other sources </w:t>
      </w:r>
      <w:r>
        <w:t xml:space="preserve">in attempts </w:t>
      </w:r>
      <w:r w:rsidRPr="00CA4EF3">
        <w:t>to create global databases of infrastructure stocks</w:t>
      </w:r>
      <w:r>
        <w:t xml:space="preserve"> and access</w:t>
      </w:r>
      <w:r w:rsidRPr="00CA4EF3">
        <w:t xml:space="preserve">. </w:t>
      </w:r>
      <w:r>
        <w:t>Further, a</w:t>
      </w:r>
      <w:r w:rsidRPr="00CA4EF3">
        <w:t>s part of the Africa’s Infrastructure project</w:t>
      </w:r>
      <w:r>
        <w:t xml:space="preserve"> </w:t>
      </w:r>
      <w:r w:rsidR="00F7383F" w:rsidRPr="00CA4EF3">
        <w:fldChar w:fldCharType="begin"/>
      </w:r>
      <w:r>
        <w:instrText xml:space="preserve"> ADDIN ZOTERO_ITEM {"citationID":"1ovu9o6ro2","properties":{"formattedCitation":"{\\rtf (Foster and Brice\\uc0\\u241{}o-Garmendia 2010)}","plainCitation":"(Foster and Briceño-Garmendia 2010)"},"citationItems":[{"id":301,"uris":["http://zotero.org/groups/4482/items/8R277WSI"],"uri":["http://zotero.org/groups/4482/items/8R277WSI"]}]} </w:instrText>
      </w:r>
      <w:r w:rsidR="00F7383F" w:rsidRPr="00CA4EF3">
        <w:fldChar w:fldCharType="separate"/>
      </w:r>
      <w:r w:rsidRPr="00F532A4">
        <w:t>(Foster and Briceño-Garmendia 2010)</w:t>
      </w:r>
      <w:r w:rsidR="00F7383F" w:rsidRPr="00CA4EF3">
        <w:fldChar w:fldCharType="end"/>
      </w:r>
      <w:r w:rsidRPr="00CA4EF3">
        <w:t>, the World Bank and the African Development Bank</w:t>
      </w:r>
      <w:r>
        <w:t xml:space="preserve"> </w:t>
      </w:r>
      <w:r w:rsidRPr="00CA4EF3">
        <w:t xml:space="preserve">developed an extensive database on infrastructure in Africa. </w:t>
      </w:r>
      <w:r>
        <w:t xml:space="preserve">Finally, </w:t>
      </w:r>
      <w:r w:rsidRPr="00CA4EF3">
        <w:t xml:space="preserve">Hughes, Chinowsky, and Strzepek </w:t>
      </w:r>
      <w:fldSimple w:instr=" ADDIN ZOTERO_ITEM {&quot;citationID&quot;:&quot;2jgrlftfmr&quot;,&quot;properties&quot;:{&quot;formattedCitation&quot;:&quot;(2009)&quot;,&quot;plainCitation&quot;:&quot;(2009)&quot;},&quot;citationItems&quot;:[{&quot;id&quot;:975,&quot;uris&quot;:[&quot;http://zotero.org/groups/4482/items/ZNDAXGEG&quot;],&quot;uri&quot;:[&quot;http://zotero.org/groups/4482/items/ZNDAXGEG&quot;],&quot;suppress-author&quot;:true}]} ">
        <w:r w:rsidRPr="00AA7B30">
          <w:rPr>
            <w:szCs w:val="21"/>
          </w:rPr>
          <w:t>(2009)</w:t>
        </w:r>
      </w:fldSimple>
      <w:r w:rsidRPr="00CA4EF3">
        <w:t xml:space="preserve"> and Calderón and Servén </w:t>
      </w:r>
      <w:fldSimple w:instr=" ADDIN ZOTERO_ITEM {&quot;citationID&quot;:&quot;16242scos8&quot;,&quot;properties&quot;:{&quot;formattedCitation&quot;:&quot;(2010)&quot;,&quot;plainCitation&quot;:&quot;(2010)&quot;},&quot;citationItems&quot;:[{&quot;id&quot;:726,&quot;uris&quot;:[&quot;http://zotero.org/groups/4482/items/HRVUPP3U&quot;],&quot;uri&quot;:[&quot;http://zotero.org/groups/4482/items/HRVUPP3U&quot;],&quot;suppress-author&quot;:true}]} ">
        <w:r w:rsidRPr="00AA7B30">
          <w:rPr>
            <w:szCs w:val="21"/>
          </w:rPr>
          <w:t>(2010)</w:t>
        </w:r>
      </w:fldSimple>
      <w:r w:rsidRPr="00CA4EF3">
        <w:t>, among others, have used and modified a number of these databases in their own studies.</w:t>
      </w:r>
    </w:p>
    <w:p w:rsidR="007D46DA" w:rsidRDefault="007D46DA" w:rsidP="007D46DA"/>
    <w:p w:rsidR="007D46DA" w:rsidRDefault="007D46DA" w:rsidP="007D46DA">
      <w:r>
        <w:t xml:space="preserve">The challenge becomes larger for historical data on infrastructure spending. In considering </w:t>
      </w:r>
      <w:r w:rsidRPr="00CA4EF3">
        <w:t>public investment in infrastructure</w:t>
      </w:r>
      <w:r>
        <w:t xml:space="preserve"> (PII), some</w:t>
      </w:r>
      <w:r w:rsidRPr="00CA4EF3">
        <w:t xml:space="preserve"> researchers have </w:t>
      </w:r>
      <w:r>
        <w:t>used</w:t>
      </w:r>
      <w:r w:rsidRPr="00CA4EF3">
        <w:t xml:space="preserve"> </w:t>
      </w:r>
      <w:r>
        <w:t>other measures in the SNA</w:t>
      </w:r>
      <w:r w:rsidRPr="00CA4EF3">
        <w:t xml:space="preserve">, </w:t>
      </w:r>
      <w:r>
        <w:t>usually</w:t>
      </w:r>
      <w:r w:rsidRPr="00CA4EF3">
        <w:t xml:space="preserve"> fixed capital formation </w:t>
      </w:r>
      <w:r>
        <w:t>or</w:t>
      </w:r>
      <w:r w:rsidRPr="00CA4EF3">
        <w:t xml:space="preserve"> government outlays by economic sector</w:t>
      </w:r>
      <w:r>
        <w:t xml:space="preserve">, as </w:t>
      </w:r>
      <w:r w:rsidRPr="00CA4EF3">
        <w:t>prox</w:t>
      </w:r>
      <w:r>
        <w:t>i</w:t>
      </w:r>
      <w:r w:rsidRPr="00CA4EF3">
        <w:t xml:space="preserve">es </w:t>
      </w:r>
      <w:r w:rsidR="00F7383F" w:rsidRPr="00CA4EF3">
        <w:fldChar w:fldCharType="begin"/>
      </w:r>
      <w:r>
        <w:instrText xml:space="preserve"> ADDIN ZOTERO_ITEM {"citationID":"o2n9urb4b","properties":{"formattedCitation":"{\\rtf (Ag\\uc0\\u233{}nor, Nabli, and Yousef 2007; Cavallo and Daude 2008; Ter-Minassian and Allen 2004; Organisation for Economic Cooperation and Development (OECD) 2009)}","plainCitation":"(Agénor, Nabli, and Yousef 2007; Cavallo and Daude 2008; Ter-Minassian and Allen 2004; Organisation for Economic Cooperation and Development (OECD) 2009)"},"citationItems":[{"id":919,"uris":["http://zotero.org/groups/4482/items/SDMHAUQW"],"uri":["http://zotero.org/groups/4482/items/SDMHAUQW"],"label":"page"},{"id":907,"uris":["http://zotero.org/groups/4482/items/CWNTATAP"],"uri":["http://zotero.org/groups/4482/items/CWNTATAP"],"label":"page"},{"id":915,"uris":["http://zotero.org/groups/4482/items/9STQADXW"],"uri":["http://zotero.org/groups/4482/items/9STQADXW"],"label":"page"},{"id":911,"uris":["http://zotero.org/groups/4482/items/GBDQQ67P"],"uri":["http://zotero.org/groups/4482/items/GBDQQ67P"],"label":"page"}]} </w:instrText>
      </w:r>
      <w:r w:rsidR="00F7383F" w:rsidRPr="00CA4EF3">
        <w:fldChar w:fldCharType="separate"/>
      </w:r>
      <w:r w:rsidRPr="00F532A4">
        <w:t>(Agénor, Nabli, and Yousef 2007; Cavallo and Daude 2008; Ter-Minassian and Allen 2004; Organisation for Economic Cooperation and Development (OECD) 2009)</w:t>
      </w:r>
      <w:r w:rsidR="00F7383F" w:rsidRPr="00CA4EF3">
        <w:fldChar w:fldCharType="end"/>
      </w:r>
      <w:r w:rsidRPr="00CA4EF3">
        <w:t xml:space="preserve">. Lora </w:t>
      </w:r>
      <w:r w:rsidR="00F7383F">
        <w:fldChar w:fldCharType="begin"/>
      </w:r>
      <w:r>
        <w:instrText xml:space="preserve"> ADDIN ZOTERO_ITEM {"citationID":"20nnnodtn1","properties":{"formattedCitation":"(2007, 7)","plainCitation":"(2007, 7)"},"citationItems":[{"id":908,"uris":["http://zotero.org/groups/4482/items/SZTV45KX"],"uri":["http://zotero.org/groups/4482/items/SZTV45KX"],"locator":"7","label":"page","suppress-author":true}]} </w:instrText>
      </w:r>
      <w:r w:rsidR="00F7383F">
        <w:fldChar w:fldCharType="separate"/>
      </w:r>
      <w:r w:rsidRPr="00D624ED">
        <w:rPr>
          <w:szCs w:val="21"/>
        </w:rPr>
        <w:t>(2007, 7)</w:t>
      </w:r>
      <w:r w:rsidR="00F7383F">
        <w:fldChar w:fldCharType="end"/>
      </w:r>
      <w:r w:rsidRPr="00CA4EF3">
        <w:t>, however, strongly argued against th</w:t>
      </w:r>
      <w:r>
        <w:t>is practice:</w:t>
      </w:r>
    </w:p>
    <w:p w:rsidR="007D46DA" w:rsidRDefault="007D46DA" w:rsidP="007D46DA"/>
    <w:p w:rsidR="007D46DA" w:rsidRDefault="007D46DA" w:rsidP="007D46DA">
      <w:pPr>
        <w:ind w:left="864" w:right="864"/>
      </w:pPr>
      <w:r w:rsidRPr="00CA4EF3">
        <w:t xml:space="preserve">because capital expenditures by the central or the consolidated government as measured by the International Monetary Fund’s </w:t>
      </w:r>
      <w:r w:rsidRPr="00CA4EF3">
        <w:rPr>
          <w:i/>
        </w:rPr>
        <w:t>Government Financial Statistics</w:t>
      </w:r>
      <w:r w:rsidRPr="00CA4EF3">
        <w:t xml:space="preserve"> . . . are a very poor measure of actual PII, which in many countries is mostly undertaken by state-owned enterprises or local governments whose operations are not well captured by this source</w:t>
      </w:r>
      <w:r>
        <w:t>.</w:t>
      </w:r>
    </w:p>
    <w:p w:rsidR="007D46DA" w:rsidRDefault="007D46DA" w:rsidP="007D46DA"/>
    <w:p w:rsidR="007D46DA" w:rsidRDefault="007D46DA" w:rsidP="007D46DA">
      <w:r>
        <w:t xml:space="preserve">Estache </w:t>
      </w:r>
      <w:r w:rsidR="00F7383F">
        <w:fldChar w:fldCharType="begin"/>
      </w:r>
      <w:r>
        <w:instrText xml:space="preserve"> ADDIN ZOTERO_ITEM {"citationID":"zIoJiKb4","properties":{"formattedCitation":"(2010, 67)","plainCitation":"(2010, 67)"},"citationItems":[{"id":1296,"uris":["http://zotero.org/groups/4482/items/CMRD8ASZ"],"uri":["http://zotero.org/groups/4482/items/CMRD8ASZ"],"locator":"67","label":"page","suppress-author":true}]} </w:instrText>
      </w:r>
      <w:r w:rsidR="00F7383F">
        <w:fldChar w:fldCharType="separate"/>
      </w:r>
      <w:r w:rsidRPr="00D624ED">
        <w:rPr>
          <w:szCs w:val="21"/>
        </w:rPr>
        <w:t>(2010, 67)</w:t>
      </w:r>
      <w:r w:rsidR="00F7383F">
        <w:fldChar w:fldCharType="end"/>
      </w:r>
      <w:r>
        <w:t xml:space="preserve"> adds:</w:t>
      </w:r>
    </w:p>
    <w:p w:rsidR="007D46DA" w:rsidRDefault="007D46DA" w:rsidP="007D46DA"/>
    <w:p w:rsidR="007D46DA" w:rsidRDefault="007D46DA" w:rsidP="007D46DA">
      <w:pPr>
        <w:ind w:left="864" w:right="864"/>
      </w:pPr>
      <w:r>
        <w:t>Neither the national accounts nor the IMF Government Finance Statistics (GFS) report a disaggregation of total and public investment data detailed enough to allow identifying every infrastructure sub-sector. In national accounts, energy data cover both electricity and gas but also all primary-energy related products such as petroleum. Similarly, the data do not really distinguish between transport and communication. Water expenditures can be hidden in public works or even in health expenditures.</w:t>
      </w:r>
      <w:r w:rsidRPr="00CA4EF3" w:rsidDel="00D624ED">
        <w:t xml:space="preserve"> </w:t>
      </w:r>
    </w:p>
    <w:p w:rsidR="007D46DA" w:rsidRDefault="007D46DA" w:rsidP="007D46DA"/>
    <w:p w:rsidR="007D46DA" w:rsidRPr="00CA4EF3" w:rsidRDefault="007D46DA" w:rsidP="007D46DA">
      <w:r>
        <w:t>Meanwhile, t</w:t>
      </w:r>
      <w:r w:rsidRPr="00CA4EF3">
        <w:t>he World Bank</w:t>
      </w:r>
      <w:r>
        <w:t xml:space="preserve"> has been collecting data on private investment in infrastructure in it</w:t>
      </w:r>
      <w:r w:rsidRPr="00CA4EF3">
        <w:t>s Private Participation in Infrastructure Project Database</w:t>
      </w:r>
      <w:r>
        <w:t>.</w:t>
      </w:r>
      <w:r w:rsidRPr="000E4C4E">
        <w:rPr>
          <w:rStyle w:val="FootnoteReference"/>
        </w:rPr>
        <w:footnoteReference w:id="16"/>
      </w:r>
      <w:r>
        <w:t xml:space="preserve"> Unfortunately, there are a number of limitations to this database, which make us hesitant to rely upon it as a primary source of data on infrastructure investment. First, it provides data only on projects in low- and middle-income countries in which there is private participation. Second, the amounts in the database primarily reflect commitments, not actual investments. Third it relies exclusively on</w:t>
      </w:r>
      <w:r w:rsidRPr="00193019">
        <w:t xml:space="preserve"> </w:t>
      </w:r>
      <w:r>
        <w:t xml:space="preserve">information that is made </w:t>
      </w:r>
      <w:r w:rsidRPr="00193019">
        <w:t>publicly available</w:t>
      </w:r>
      <w:r>
        <w:t>. Finally, the Bank itself states that it “should not be seen as a</w:t>
      </w:r>
      <w:r w:rsidRPr="00193019">
        <w:t xml:space="preserve"> </w:t>
      </w:r>
      <w:r>
        <w:t xml:space="preserve">fully </w:t>
      </w:r>
      <w:r w:rsidRPr="00193019">
        <w:t>comprehensive resource</w:t>
      </w:r>
      <w:r>
        <w:t>.”</w:t>
      </w:r>
    </w:p>
    <w:p w:rsidR="007D46DA" w:rsidRDefault="007D46DA" w:rsidP="007D46DA"/>
    <w:p w:rsidR="007D46DA" w:rsidRDefault="007D46DA" w:rsidP="007D46DA">
      <w:r>
        <w:t>This leaves us to rely upon national, regional, and global studies and reports that provide estimates on infrastructure spending. Given their varied purposes, these studies and reports tend to differ in a number of significant dimensions: temporal coverage, infrastructure included, sources of funding (e.g. public versus private), and purpose of expenditure (e.g. new construction versus maintenance). Therefore, we need to be careful in comparing data across studies and drawing conclusions from these data. A number of these are summarized in Table 2.3.</w:t>
      </w:r>
    </w:p>
    <w:p w:rsidR="007D46DA" w:rsidRDefault="007D46DA" w:rsidP="007D46DA"/>
    <w:p w:rsidR="007D46DA" w:rsidRDefault="007D46DA" w:rsidP="007D46DA">
      <w:pPr>
        <w:sectPr w:rsidR="007D46DA">
          <w:type w:val="continuous"/>
          <w:pgSz w:w="12240" w:h="15840"/>
          <w:pgMar w:top="1440" w:right="1440" w:bottom="1440" w:left="1440" w:gutter="0"/>
          <w:pgNumType w:start="0"/>
          <w:titlePg/>
          <w:docGrid w:linePitch="326"/>
        </w:sectPr>
      </w:pPr>
    </w:p>
    <w:p w:rsidR="007D46DA" w:rsidRDefault="007D46DA" w:rsidP="007D46DA"/>
    <w:tbl>
      <w:tblPr>
        <w:tblStyle w:val="TableGrid"/>
        <w:tblW w:w="0" w:type="auto"/>
        <w:tblLook w:val="04A0"/>
      </w:tblPr>
      <w:tblGrid>
        <w:gridCol w:w="2196"/>
        <w:gridCol w:w="2682"/>
        <w:gridCol w:w="1800"/>
        <w:gridCol w:w="2106"/>
        <w:gridCol w:w="2196"/>
        <w:gridCol w:w="2196"/>
      </w:tblGrid>
      <w:tr w:rsidR="007D46DA" w:rsidRPr="008142AA">
        <w:tc>
          <w:tcPr>
            <w:tcW w:w="13176" w:type="dxa"/>
            <w:gridSpan w:val="6"/>
          </w:tcPr>
          <w:p w:rsidR="007D46DA" w:rsidRPr="008142AA" w:rsidRDefault="007D46DA" w:rsidP="006B1499">
            <w:pPr>
              <w:rPr>
                <w:b/>
                <w:sz w:val="22"/>
              </w:rPr>
            </w:pPr>
            <w:r w:rsidRPr="008142AA">
              <w:rPr>
                <w:b/>
                <w:sz w:val="22"/>
              </w:rPr>
              <w:t xml:space="preserve">Table </w:t>
            </w:r>
            <w:r>
              <w:rPr>
                <w:b/>
                <w:sz w:val="22"/>
              </w:rPr>
              <w:t>2.3 Sources of country-level data on historical infrastructure spending</w:t>
            </w:r>
          </w:p>
        </w:tc>
      </w:tr>
      <w:tr w:rsidR="007D46DA" w:rsidRPr="001E4060">
        <w:tc>
          <w:tcPr>
            <w:tcW w:w="2196" w:type="dxa"/>
            <w:vAlign w:val="bottom"/>
          </w:tcPr>
          <w:p w:rsidR="007D46DA" w:rsidRPr="001E4060" w:rsidRDefault="007D46DA" w:rsidP="006B1499">
            <w:pPr>
              <w:jc w:val="center"/>
              <w:rPr>
                <w:sz w:val="20"/>
              </w:rPr>
            </w:pPr>
            <w:r w:rsidRPr="001E4060">
              <w:rPr>
                <w:sz w:val="20"/>
              </w:rPr>
              <w:t>Study*</w:t>
            </w:r>
          </w:p>
        </w:tc>
        <w:tc>
          <w:tcPr>
            <w:tcW w:w="2682" w:type="dxa"/>
            <w:vAlign w:val="bottom"/>
          </w:tcPr>
          <w:p w:rsidR="007D46DA" w:rsidRPr="001E4060" w:rsidRDefault="007D46DA" w:rsidP="006B1499">
            <w:pPr>
              <w:jc w:val="center"/>
              <w:rPr>
                <w:sz w:val="20"/>
              </w:rPr>
            </w:pPr>
            <w:r w:rsidRPr="001E4060">
              <w:rPr>
                <w:sz w:val="20"/>
              </w:rPr>
              <w:t xml:space="preserve">Spatial </w:t>
            </w:r>
            <w:r>
              <w:rPr>
                <w:sz w:val="20"/>
              </w:rPr>
              <w:t>c</w:t>
            </w:r>
            <w:r w:rsidRPr="001E4060">
              <w:rPr>
                <w:sz w:val="20"/>
              </w:rPr>
              <w:t>overage</w:t>
            </w:r>
          </w:p>
        </w:tc>
        <w:tc>
          <w:tcPr>
            <w:tcW w:w="1800" w:type="dxa"/>
            <w:vAlign w:val="bottom"/>
          </w:tcPr>
          <w:p w:rsidR="007D46DA" w:rsidRPr="001E4060" w:rsidRDefault="007D46DA" w:rsidP="006B1499">
            <w:pPr>
              <w:jc w:val="center"/>
              <w:rPr>
                <w:sz w:val="20"/>
              </w:rPr>
            </w:pPr>
            <w:r w:rsidRPr="001E4060">
              <w:rPr>
                <w:sz w:val="20"/>
              </w:rPr>
              <w:t xml:space="preserve">Temporal </w:t>
            </w:r>
            <w:r>
              <w:rPr>
                <w:sz w:val="20"/>
              </w:rPr>
              <w:t>c</w:t>
            </w:r>
            <w:r w:rsidRPr="001E4060">
              <w:rPr>
                <w:sz w:val="20"/>
              </w:rPr>
              <w:t>overage</w:t>
            </w:r>
          </w:p>
        </w:tc>
        <w:tc>
          <w:tcPr>
            <w:tcW w:w="2106" w:type="dxa"/>
            <w:vAlign w:val="bottom"/>
          </w:tcPr>
          <w:p w:rsidR="007D46DA" w:rsidRPr="001E4060" w:rsidRDefault="007D46DA" w:rsidP="006B1499">
            <w:pPr>
              <w:jc w:val="center"/>
              <w:rPr>
                <w:sz w:val="20"/>
              </w:rPr>
            </w:pPr>
            <w:r w:rsidRPr="001E4060">
              <w:rPr>
                <w:sz w:val="20"/>
              </w:rPr>
              <w:t xml:space="preserve">Infrastructure </w:t>
            </w:r>
            <w:r>
              <w:rPr>
                <w:sz w:val="20"/>
              </w:rPr>
              <w:t>c</w:t>
            </w:r>
            <w:r w:rsidRPr="001E4060">
              <w:rPr>
                <w:sz w:val="20"/>
              </w:rPr>
              <w:t>overage</w:t>
            </w:r>
          </w:p>
        </w:tc>
        <w:tc>
          <w:tcPr>
            <w:tcW w:w="2196" w:type="dxa"/>
            <w:vAlign w:val="bottom"/>
          </w:tcPr>
          <w:p w:rsidR="007D46DA" w:rsidRPr="001E4060" w:rsidRDefault="007D46DA" w:rsidP="006B1499">
            <w:pPr>
              <w:jc w:val="center"/>
              <w:rPr>
                <w:sz w:val="20"/>
              </w:rPr>
            </w:pPr>
            <w:r w:rsidRPr="001E4060">
              <w:rPr>
                <w:sz w:val="20"/>
              </w:rPr>
              <w:t xml:space="preserve">Source of </w:t>
            </w:r>
            <w:r>
              <w:rPr>
                <w:sz w:val="20"/>
              </w:rPr>
              <w:t>f</w:t>
            </w:r>
            <w:r w:rsidRPr="001E4060">
              <w:rPr>
                <w:sz w:val="20"/>
              </w:rPr>
              <w:t>unds</w:t>
            </w:r>
          </w:p>
        </w:tc>
        <w:tc>
          <w:tcPr>
            <w:tcW w:w="2196" w:type="dxa"/>
            <w:vAlign w:val="bottom"/>
          </w:tcPr>
          <w:p w:rsidR="007D46DA" w:rsidRPr="001E4060" w:rsidRDefault="007D46DA" w:rsidP="006B1499">
            <w:pPr>
              <w:jc w:val="center"/>
              <w:rPr>
                <w:sz w:val="20"/>
              </w:rPr>
            </w:pPr>
            <w:r w:rsidRPr="001E4060">
              <w:rPr>
                <w:sz w:val="20"/>
              </w:rPr>
              <w:t xml:space="preserve">Purpose of </w:t>
            </w:r>
            <w:r>
              <w:rPr>
                <w:sz w:val="20"/>
              </w:rPr>
              <w:t>e</w:t>
            </w:r>
            <w:r w:rsidRPr="001E4060">
              <w:rPr>
                <w:sz w:val="20"/>
              </w:rPr>
              <w:t>xpenditure</w:t>
            </w:r>
          </w:p>
        </w:tc>
      </w:tr>
      <w:tr w:rsidR="007D46DA" w:rsidRPr="001E4060">
        <w:tc>
          <w:tcPr>
            <w:tcW w:w="2196" w:type="dxa"/>
            <w:vAlign w:val="center"/>
          </w:tcPr>
          <w:p w:rsidR="007D46DA" w:rsidRPr="001E4060" w:rsidRDefault="007D46DA" w:rsidP="006B1499">
            <w:pPr>
              <w:rPr>
                <w:i/>
                <w:sz w:val="20"/>
              </w:rPr>
            </w:pPr>
            <w:r w:rsidRPr="001E4060">
              <w:rPr>
                <w:i/>
                <w:sz w:val="20"/>
              </w:rPr>
              <w:t xml:space="preserve">Connecting East Asia: A New Framework for Infrastructure </w:t>
            </w:r>
            <w:r w:rsidR="00F7383F" w:rsidRPr="001E4060">
              <w:rPr>
                <w:i/>
                <w:sz w:val="20"/>
              </w:rPr>
              <w:fldChar w:fldCharType="begin"/>
            </w:r>
            <w:r>
              <w:rPr>
                <w:i/>
                <w:sz w:val="20"/>
              </w:rPr>
              <w:instrText xml:space="preserve"> ADDIN ZOTERO_ITEM {"citationID":"6ZoTnZ6g","properties":{"formattedCitation":"(Asian Development Bank (ADB), Japan Bank for International Cooperation (JBIC), and World Bank 2005)","plainCitation":"(Asian Development Bank (ADB), Japan Bank for International Cooperation (JBIC), and World Bank 2005)"},"citationItems":[{"id":921,"uris":["http://zotero.org/groups/4482/items/T6QH93WA"],"uri":["http://zotero.org/groups/4482/items/T6QH93WA"]}]} </w:instrText>
            </w:r>
            <w:r w:rsidR="00F7383F" w:rsidRPr="001E4060">
              <w:rPr>
                <w:i/>
                <w:sz w:val="20"/>
              </w:rPr>
              <w:fldChar w:fldCharType="separate"/>
            </w:r>
            <w:r w:rsidRPr="001E4060">
              <w:rPr>
                <w:sz w:val="20"/>
                <w:szCs w:val="21"/>
              </w:rPr>
              <w:t>(Asian Development Bank (ADB), Japan Bank for International Cooperation (JBIC), and World Bank 2005)</w:t>
            </w:r>
            <w:r w:rsidR="00F7383F" w:rsidRPr="001E4060">
              <w:rPr>
                <w:i/>
                <w:sz w:val="20"/>
              </w:rPr>
              <w:fldChar w:fldCharType="end"/>
            </w:r>
          </w:p>
        </w:tc>
        <w:tc>
          <w:tcPr>
            <w:tcW w:w="2682" w:type="dxa"/>
            <w:vAlign w:val="center"/>
          </w:tcPr>
          <w:p w:rsidR="007D46DA" w:rsidRPr="001E4060" w:rsidRDefault="007D46DA" w:rsidP="006B1499">
            <w:pPr>
              <w:rPr>
                <w:sz w:val="20"/>
              </w:rPr>
            </w:pPr>
            <w:r w:rsidRPr="001E4060">
              <w:rPr>
                <w:sz w:val="20"/>
              </w:rPr>
              <w:t>Cambodia, China, Indonesia, Laos, Mongolia, Philippines, Thailand, Vietnam</w:t>
            </w:r>
          </w:p>
        </w:tc>
        <w:tc>
          <w:tcPr>
            <w:tcW w:w="1800" w:type="dxa"/>
            <w:vAlign w:val="center"/>
          </w:tcPr>
          <w:p w:rsidR="007D46DA" w:rsidRPr="001E4060" w:rsidRDefault="007D46DA" w:rsidP="006B1499">
            <w:pPr>
              <w:jc w:val="center"/>
              <w:rPr>
                <w:sz w:val="20"/>
              </w:rPr>
            </w:pPr>
            <w:r w:rsidRPr="001E4060">
              <w:rPr>
                <w:sz w:val="20"/>
              </w:rPr>
              <w:t>Annual data: 1998, 2003</w:t>
            </w:r>
          </w:p>
        </w:tc>
        <w:tc>
          <w:tcPr>
            <w:tcW w:w="2106" w:type="dxa"/>
            <w:vAlign w:val="center"/>
          </w:tcPr>
          <w:p w:rsidR="007D46DA" w:rsidRPr="001E4060" w:rsidRDefault="007D46DA" w:rsidP="006B1499">
            <w:pPr>
              <w:jc w:val="center"/>
              <w:rPr>
                <w:sz w:val="20"/>
              </w:rPr>
            </w:pPr>
            <w:r w:rsidRPr="001E4060">
              <w:rPr>
                <w:sz w:val="20"/>
              </w:rPr>
              <w:t>Separate data for: transportation, telecommunications, water and sanitation, other urban, and power</w:t>
            </w:r>
          </w:p>
        </w:tc>
        <w:tc>
          <w:tcPr>
            <w:tcW w:w="2196" w:type="dxa"/>
            <w:vAlign w:val="center"/>
          </w:tcPr>
          <w:p w:rsidR="007D46DA" w:rsidRPr="001E4060" w:rsidRDefault="007D46DA" w:rsidP="006B1499">
            <w:pPr>
              <w:jc w:val="center"/>
              <w:rPr>
                <w:sz w:val="20"/>
              </w:rPr>
            </w:pPr>
            <w:r w:rsidRPr="001E4060">
              <w:rPr>
                <w:sz w:val="20"/>
              </w:rPr>
              <w:t>Separate data for national government, local government, SOEs, and private</w:t>
            </w:r>
          </w:p>
        </w:tc>
        <w:tc>
          <w:tcPr>
            <w:tcW w:w="2196" w:type="dxa"/>
            <w:vAlign w:val="center"/>
          </w:tcPr>
          <w:p w:rsidR="007D46DA" w:rsidRPr="001E4060" w:rsidRDefault="007D46DA" w:rsidP="006B1499">
            <w:pPr>
              <w:jc w:val="center"/>
              <w:rPr>
                <w:sz w:val="20"/>
              </w:rPr>
            </w:pPr>
            <w:r w:rsidRPr="001E4060">
              <w:rPr>
                <w:sz w:val="20"/>
              </w:rPr>
              <w:t>Not stated</w:t>
            </w:r>
          </w:p>
        </w:tc>
      </w:tr>
      <w:tr w:rsidR="007D46DA" w:rsidRPr="001E4060">
        <w:tc>
          <w:tcPr>
            <w:tcW w:w="2196" w:type="dxa"/>
            <w:vAlign w:val="center"/>
          </w:tcPr>
          <w:p w:rsidR="007D46DA" w:rsidRPr="001E4060" w:rsidRDefault="007D46DA" w:rsidP="006B1499">
            <w:pPr>
              <w:rPr>
                <w:sz w:val="20"/>
              </w:rPr>
            </w:pPr>
            <w:r w:rsidRPr="001E4060">
              <w:rPr>
                <w:i/>
                <w:sz w:val="20"/>
              </w:rPr>
              <w:t>Africa's Infrastructure: A Time for Transformation</w:t>
            </w:r>
            <w:r w:rsidRPr="001E4060">
              <w:rPr>
                <w:sz w:val="20"/>
              </w:rPr>
              <w:t xml:space="preserve"> </w:t>
            </w:r>
            <w:r w:rsidR="00F7383F" w:rsidRPr="001E4060">
              <w:rPr>
                <w:sz w:val="20"/>
              </w:rPr>
              <w:fldChar w:fldCharType="begin"/>
            </w:r>
            <w:r>
              <w:rPr>
                <w:sz w:val="20"/>
              </w:rPr>
              <w:instrText xml:space="preserve"> ADDIN ZOTERO_ITEM {"citationID":"CoobALF7","properties":{"formattedCitation":"{\\rtf (Foster and Brice\\uc0\\u241{}o-Garmendia 2010)}","plainCitation":"(Foster and Briceño-Garmendia 2010)"},"citationItems":[{"id":301,"uris":["http://zotero.org/groups/4482/items/8R277WSI"],"uri":["http://zotero.org/groups/4482/items/8R277WSI"]}]} </w:instrText>
            </w:r>
            <w:r w:rsidR="00F7383F" w:rsidRPr="001E4060">
              <w:rPr>
                <w:sz w:val="20"/>
              </w:rPr>
              <w:fldChar w:fldCharType="separate"/>
            </w:r>
            <w:r w:rsidRPr="001E4060">
              <w:rPr>
                <w:sz w:val="20"/>
              </w:rPr>
              <w:t>(Foster and Briceño-Garmendia 2010)</w:t>
            </w:r>
            <w:r w:rsidR="00F7383F" w:rsidRPr="001E4060">
              <w:rPr>
                <w:sz w:val="20"/>
              </w:rPr>
              <w:fldChar w:fldCharType="end"/>
            </w:r>
          </w:p>
        </w:tc>
        <w:tc>
          <w:tcPr>
            <w:tcW w:w="2682" w:type="dxa"/>
            <w:vAlign w:val="center"/>
          </w:tcPr>
          <w:p w:rsidR="007D46DA" w:rsidRPr="001E4060" w:rsidRDefault="007D46DA" w:rsidP="006B1499">
            <w:pPr>
              <w:rPr>
                <w:sz w:val="20"/>
              </w:rPr>
            </w:pPr>
            <w:r w:rsidRPr="001E4060">
              <w:rPr>
                <w:sz w:val="20"/>
              </w:rPr>
              <w:t>Benin, Botswana, Burkina Faso, Cameroon, Cape Verde, Chad, Democratic Republic of the Congo, Congo, Cote d’Ivoire, Ethiopia, Ghana, Kenya, Lesotho, Madagascar, Malawi, Mozambique, Namibia, Nigeria, Rwanda, Senegal, South Africa, Tanzania, Uganda, Zambia</w:t>
            </w:r>
          </w:p>
        </w:tc>
        <w:tc>
          <w:tcPr>
            <w:tcW w:w="1800" w:type="dxa"/>
            <w:vAlign w:val="center"/>
          </w:tcPr>
          <w:p w:rsidR="007D46DA" w:rsidRPr="001E4060" w:rsidRDefault="007D46DA" w:rsidP="006B1499">
            <w:pPr>
              <w:jc w:val="center"/>
              <w:rPr>
                <w:sz w:val="20"/>
              </w:rPr>
            </w:pPr>
            <w:r w:rsidRPr="001E4060">
              <w:rPr>
                <w:sz w:val="20"/>
              </w:rPr>
              <w:t>Annual average for one period: 2001-2006</w:t>
            </w:r>
          </w:p>
        </w:tc>
        <w:tc>
          <w:tcPr>
            <w:tcW w:w="2106" w:type="dxa"/>
            <w:vAlign w:val="center"/>
          </w:tcPr>
          <w:p w:rsidR="007D46DA" w:rsidRPr="001E4060" w:rsidRDefault="007D46DA" w:rsidP="006B1499">
            <w:pPr>
              <w:jc w:val="center"/>
              <w:rPr>
                <w:sz w:val="20"/>
              </w:rPr>
            </w:pPr>
            <w:r w:rsidRPr="001E4060">
              <w:rPr>
                <w:sz w:val="20"/>
              </w:rPr>
              <w:t>Separate data for: electricity, ICT, irrigation, transportation, and water supply and sanitation</w:t>
            </w:r>
          </w:p>
        </w:tc>
        <w:tc>
          <w:tcPr>
            <w:tcW w:w="2196" w:type="dxa"/>
            <w:vAlign w:val="center"/>
          </w:tcPr>
          <w:p w:rsidR="007D46DA" w:rsidRPr="001E4060" w:rsidRDefault="007D46DA" w:rsidP="006B1499">
            <w:pPr>
              <w:jc w:val="center"/>
              <w:rPr>
                <w:sz w:val="20"/>
              </w:rPr>
            </w:pPr>
            <w:r w:rsidRPr="001E4060">
              <w:rPr>
                <w:sz w:val="20"/>
              </w:rPr>
              <w:t>Public and private</w:t>
            </w:r>
          </w:p>
        </w:tc>
        <w:tc>
          <w:tcPr>
            <w:tcW w:w="2196" w:type="dxa"/>
            <w:vAlign w:val="center"/>
          </w:tcPr>
          <w:p w:rsidR="007D46DA" w:rsidRPr="001E4060" w:rsidRDefault="007D46DA" w:rsidP="006B1499">
            <w:pPr>
              <w:jc w:val="center"/>
              <w:rPr>
                <w:sz w:val="20"/>
              </w:rPr>
            </w:pPr>
            <w:r w:rsidRPr="001E4060">
              <w:rPr>
                <w:sz w:val="20"/>
              </w:rPr>
              <w:t>Separate data for new construction and operation &amp; maintenance</w:t>
            </w:r>
          </w:p>
        </w:tc>
      </w:tr>
      <w:tr w:rsidR="007D46DA" w:rsidRPr="001E4060">
        <w:tc>
          <w:tcPr>
            <w:tcW w:w="2196" w:type="dxa"/>
            <w:vAlign w:val="center"/>
          </w:tcPr>
          <w:p w:rsidR="007D46DA" w:rsidRPr="001E4060" w:rsidRDefault="007D46DA" w:rsidP="006B1499">
            <w:pPr>
              <w:rPr>
                <w:sz w:val="20"/>
              </w:rPr>
            </w:pPr>
            <w:r w:rsidRPr="001E4060">
              <w:rPr>
                <w:sz w:val="20"/>
              </w:rPr>
              <w:t xml:space="preserve">Going for Growth: Economic Policy Reforms </w:t>
            </w:r>
            <w:r w:rsidR="00F7383F" w:rsidRPr="001E4060">
              <w:rPr>
                <w:sz w:val="20"/>
              </w:rPr>
              <w:fldChar w:fldCharType="begin"/>
            </w:r>
            <w:r>
              <w:rPr>
                <w:sz w:val="20"/>
              </w:rPr>
              <w:instrText xml:space="preserve"> ADDIN ZOTERO_ITEM {"citationID":"3dJo8ZOi","properties":{"formattedCitation":"(Organisation for Economic Cooperation and Development (OECD) 2009)","plainCitation":"(Organisation for Economic Cooperation and Development (OECD) 2009)"},"citationItems":[{"id":911,"uris":["http://zotero.org/groups/4482/items/GBDQQ67P"],"uri":["http://zotero.org/groups/4482/items/GBDQQ67P"]}]} </w:instrText>
            </w:r>
            <w:r w:rsidR="00F7383F" w:rsidRPr="001E4060">
              <w:rPr>
                <w:sz w:val="20"/>
              </w:rPr>
              <w:fldChar w:fldCharType="separate"/>
            </w:r>
            <w:r w:rsidRPr="001E4060">
              <w:rPr>
                <w:sz w:val="20"/>
                <w:szCs w:val="21"/>
              </w:rPr>
              <w:t>(Organisation for Economic Cooperation and Development (OECD) 2009)</w:t>
            </w:r>
            <w:r w:rsidR="00F7383F" w:rsidRPr="001E4060">
              <w:rPr>
                <w:sz w:val="20"/>
              </w:rPr>
              <w:fldChar w:fldCharType="end"/>
            </w:r>
          </w:p>
        </w:tc>
        <w:tc>
          <w:tcPr>
            <w:tcW w:w="2682" w:type="dxa"/>
            <w:vAlign w:val="center"/>
          </w:tcPr>
          <w:p w:rsidR="007D46DA" w:rsidRPr="001E4060" w:rsidRDefault="007D46DA" w:rsidP="006B1499">
            <w:pPr>
              <w:rPr>
                <w:sz w:val="20"/>
              </w:rPr>
            </w:pPr>
            <w:r w:rsidRPr="001E4060">
              <w:rPr>
                <w:sz w:val="20"/>
              </w:rPr>
              <w:t>Australia, Austria, Belgium, Canada, Spain, Finland, France, United Kingdom, Ireland, Iceland, Italy, South Korea, Netherlands, Norway, New Zealand, Sweden, USA</w:t>
            </w:r>
          </w:p>
        </w:tc>
        <w:tc>
          <w:tcPr>
            <w:tcW w:w="1800" w:type="dxa"/>
            <w:vAlign w:val="center"/>
          </w:tcPr>
          <w:p w:rsidR="007D46DA" w:rsidRPr="001E4060" w:rsidRDefault="007D46DA" w:rsidP="006B1499">
            <w:pPr>
              <w:jc w:val="center"/>
              <w:rPr>
                <w:sz w:val="20"/>
              </w:rPr>
            </w:pPr>
            <w:r w:rsidRPr="001E4060">
              <w:rPr>
                <w:sz w:val="20"/>
              </w:rPr>
              <w:t>Annual averages for four periods:1970-79, 1980-89, 1990-99, 2000-2006</w:t>
            </w:r>
          </w:p>
        </w:tc>
        <w:tc>
          <w:tcPr>
            <w:tcW w:w="2106" w:type="dxa"/>
            <w:vAlign w:val="center"/>
          </w:tcPr>
          <w:p w:rsidR="007D46DA" w:rsidRPr="001E4060" w:rsidRDefault="007D46DA" w:rsidP="006B1499">
            <w:pPr>
              <w:jc w:val="center"/>
              <w:rPr>
                <w:sz w:val="20"/>
              </w:rPr>
            </w:pPr>
            <w:r w:rsidRPr="001E4060">
              <w:rPr>
                <w:sz w:val="20"/>
              </w:rPr>
              <w:t xml:space="preserve">Aggregate data </w:t>
            </w:r>
            <w:r>
              <w:rPr>
                <w:sz w:val="20"/>
              </w:rPr>
              <w:t xml:space="preserve">provided separately </w:t>
            </w:r>
            <w:r w:rsidRPr="001E4060">
              <w:rPr>
                <w:sz w:val="20"/>
              </w:rPr>
              <w:t>for: 1) electricity, gas, and water, and 2) transport and communications</w:t>
            </w:r>
          </w:p>
        </w:tc>
        <w:tc>
          <w:tcPr>
            <w:tcW w:w="2196" w:type="dxa"/>
            <w:vAlign w:val="center"/>
          </w:tcPr>
          <w:p w:rsidR="007D46DA" w:rsidRPr="001E4060" w:rsidRDefault="007D46DA" w:rsidP="006B1499">
            <w:pPr>
              <w:jc w:val="center"/>
              <w:rPr>
                <w:sz w:val="20"/>
              </w:rPr>
            </w:pPr>
            <w:r w:rsidRPr="001E4060">
              <w:rPr>
                <w:sz w:val="20"/>
              </w:rPr>
              <w:t>Combined public and private</w:t>
            </w:r>
          </w:p>
        </w:tc>
        <w:tc>
          <w:tcPr>
            <w:tcW w:w="2196" w:type="dxa"/>
            <w:vAlign w:val="center"/>
          </w:tcPr>
          <w:p w:rsidR="007D46DA" w:rsidRPr="001E4060" w:rsidRDefault="007D46DA" w:rsidP="006B1499">
            <w:pPr>
              <w:jc w:val="center"/>
              <w:rPr>
                <w:sz w:val="20"/>
              </w:rPr>
            </w:pPr>
            <w:r w:rsidRPr="001E4060">
              <w:rPr>
                <w:sz w:val="20"/>
              </w:rPr>
              <w:t>Aggregate investment from national accounts</w:t>
            </w:r>
          </w:p>
        </w:tc>
      </w:tr>
      <w:tr w:rsidR="007D46DA" w:rsidRPr="001E4060">
        <w:tc>
          <w:tcPr>
            <w:tcW w:w="2196" w:type="dxa"/>
            <w:vAlign w:val="center"/>
          </w:tcPr>
          <w:p w:rsidR="007D46DA" w:rsidRPr="001E4060" w:rsidRDefault="007D46DA" w:rsidP="006B1499">
            <w:pPr>
              <w:rPr>
                <w:sz w:val="20"/>
              </w:rPr>
            </w:pPr>
            <w:r w:rsidRPr="001E4060">
              <w:rPr>
                <w:sz w:val="20"/>
              </w:rPr>
              <w:t xml:space="preserve">Infrastructure in Latin America </w:t>
            </w:r>
            <w:r w:rsidR="00F7383F" w:rsidRPr="001E4060">
              <w:rPr>
                <w:sz w:val="20"/>
              </w:rPr>
              <w:fldChar w:fldCharType="begin"/>
            </w:r>
            <w:r>
              <w:rPr>
                <w:sz w:val="20"/>
              </w:rPr>
              <w:instrText xml:space="preserve"> ADDIN ZOTERO_ITEM {"citationID":"w4n4q5IV","properties":{"formattedCitation":"{\\rtf (Calder\\uc0\\u243{}n and Serv\\uc0\\u233{}n 2010)}","plainCitation":"(Calderón and Servén 2010)"},"citationItems":[{"id":726,"uris":["http://zotero.org/groups/4482/items/HRVUPP3U"],"uri":["http://zotero.org/groups/4482/items/HRVUPP3U"]}]} </w:instrText>
            </w:r>
            <w:r w:rsidR="00F7383F" w:rsidRPr="001E4060">
              <w:rPr>
                <w:sz w:val="20"/>
              </w:rPr>
              <w:fldChar w:fldCharType="separate"/>
            </w:r>
            <w:r w:rsidRPr="001E4060">
              <w:rPr>
                <w:sz w:val="20"/>
              </w:rPr>
              <w:t>(Calderón and Servén 2010)</w:t>
            </w:r>
            <w:r w:rsidR="00F7383F" w:rsidRPr="001E4060">
              <w:rPr>
                <w:sz w:val="20"/>
              </w:rPr>
              <w:fldChar w:fldCharType="end"/>
            </w:r>
          </w:p>
        </w:tc>
        <w:tc>
          <w:tcPr>
            <w:tcW w:w="2682" w:type="dxa"/>
            <w:vAlign w:val="center"/>
          </w:tcPr>
          <w:p w:rsidR="007D46DA" w:rsidRPr="001E4060" w:rsidRDefault="007D46DA" w:rsidP="006B1499">
            <w:pPr>
              <w:rPr>
                <w:sz w:val="20"/>
              </w:rPr>
            </w:pPr>
            <w:r w:rsidRPr="001E4060">
              <w:rPr>
                <w:sz w:val="20"/>
              </w:rPr>
              <w:t>Argentina, Brazil, Chile, Colombia, Mexico, Peru</w:t>
            </w:r>
          </w:p>
        </w:tc>
        <w:tc>
          <w:tcPr>
            <w:tcW w:w="1800" w:type="dxa"/>
            <w:vAlign w:val="center"/>
          </w:tcPr>
          <w:p w:rsidR="007D46DA" w:rsidRPr="001E4060" w:rsidRDefault="007D46DA" w:rsidP="006B1499">
            <w:pPr>
              <w:jc w:val="center"/>
              <w:rPr>
                <w:sz w:val="20"/>
              </w:rPr>
            </w:pPr>
            <w:r w:rsidRPr="001E4060">
              <w:rPr>
                <w:sz w:val="20"/>
              </w:rPr>
              <w:t>Annual data: 1980-2006</w:t>
            </w:r>
          </w:p>
        </w:tc>
        <w:tc>
          <w:tcPr>
            <w:tcW w:w="2106" w:type="dxa"/>
            <w:vAlign w:val="center"/>
          </w:tcPr>
          <w:p w:rsidR="007D46DA" w:rsidRPr="001E4060" w:rsidRDefault="007D46DA" w:rsidP="006B1499">
            <w:pPr>
              <w:jc w:val="center"/>
              <w:rPr>
                <w:sz w:val="20"/>
              </w:rPr>
            </w:pPr>
            <w:r w:rsidRPr="001E4060">
              <w:rPr>
                <w:sz w:val="20"/>
              </w:rPr>
              <w:t>Separate data for telecommunications, power generation, land transportation (roads and railways), and water and sanitation</w:t>
            </w:r>
          </w:p>
        </w:tc>
        <w:tc>
          <w:tcPr>
            <w:tcW w:w="2196" w:type="dxa"/>
            <w:vAlign w:val="center"/>
          </w:tcPr>
          <w:p w:rsidR="007D46DA" w:rsidRPr="001E4060" w:rsidRDefault="007D46DA" w:rsidP="006B1499">
            <w:pPr>
              <w:jc w:val="center"/>
              <w:rPr>
                <w:sz w:val="20"/>
              </w:rPr>
            </w:pPr>
            <w:r w:rsidRPr="001E4060">
              <w:rPr>
                <w:sz w:val="20"/>
              </w:rPr>
              <w:t>Separate data for public and private</w:t>
            </w:r>
          </w:p>
        </w:tc>
        <w:tc>
          <w:tcPr>
            <w:tcW w:w="2196" w:type="dxa"/>
            <w:vAlign w:val="center"/>
          </w:tcPr>
          <w:p w:rsidR="007D46DA" w:rsidRPr="001E4060" w:rsidRDefault="007D46DA" w:rsidP="006B1499">
            <w:pPr>
              <w:jc w:val="center"/>
              <w:rPr>
                <w:sz w:val="20"/>
              </w:rPr>
            </w:pPr>
            <w:r w:rsidRPr="001E4060">
              <w:rPr>
                <w:sz w:val="20"/>
              </w:rPr>
              <w:t>‘Total’</w:t>
            </w:r>
          </w:p>
        </w:tc>
      </w:tr>
      <w:tr w:rsidR="007D46DA" w:rsidRPr="001E4060">
        <w:tc>
          <w:tcPr>
            <w:tcW w:w="2196" w:type="dxa"/>
            <w:vAlign w:val="center"/>
          </w:tcPr>
          <w:p w:rsidR="007D46DA" w:rsidRPr="001E4060" w:rsidRDefault="007D46DA" w:rsidP="006B1499">
            <w:pPr>
              <w:rPr>
                <w:sz w:val="20"/>
              </w:rPr>
            </w:pPr>
            <w:r w:rsidRPr="001E4060">
              <w:rPr>
                <w:sz w:val="20"/>
              </w:rPr>
              <w:t xml:space="preserve">Public Spending on Transportation and Water Infrastructure </w:t>
            </w:r>
            <w:r w:rsidR="00F7383F" w:rsidRPr="001E4060">
              <w:rPr>
                <w:sz w:val="20"/>
              </w:rPr>
              <w:fldChar w:fldCharType="begin"/>
            </w:r>
            <w:r>
              <w:rPr>
                <w:sz w:val="20"/>
              </w:rPr>
              <w:instrText xml:space="preserve"> ADDIN ZOTERO_ITEM {"citationID":"HBmbWeEV","properties":{"formattedCitation":"(Congressional Budget Office 2010)","plainCitation":"(Congressional Budget Office 2010)"},"citationItems":[{"id":1038,"uris":["http://zotero.org/groups/4482/items/2IDH5FNJ"],"uri":["http://zotero.org/groups/4482/items/2IDH5FNJ"]}]} </w:instrText>
            </w:r>
            <w:r w:rsidR="00F7383F" w:rsidRPr="001E4060">
              <w:rPr>
                <w:sz w:val="20"/>
              </w:rPr>
              <w:fldChar w:fldCharType="separate"/>
            </w:r>
            <w:r w:rsidRPr="001E4060">
              <w:rPr>
                <w:sz w:val="20"/>
                <w:szCs w:val="21"/>
              </w:rPr>
              <w:t>(Congressional Budget Office 2010)</w:t>
            </w:r>
            <w:r w:rsidR="00F7383F" w:rsidRPr="001E4060">
              <w:rPr>
                <w:sz w:val="20"/>
              </w:rPr>
              <w:fldChar w:fldCharType="end"/>
            </w:r>
          </w:p>
        </w:tc>
        <w:tc>
          <w:tcPr>
            <w:tcW w:w="2682" w:type="dxa"/>
            <w:vAlign w:val="center"/>
          </w:tcPr>
          <w:p w:rsidR="007D46DA" w:rsidRPr="001E4060" w:rsidRDefault="007D46DA" w:rsidP="006B1499">
            <w:pPr>
              <w:rPr>
                <w:sz w:val="20"/>
              </w:rPr>
            </w:pPr>
            <w:r w:rsidRPr="001E4060">
              <w:rPr>
                <w:sz w:val="20"/>
              </w:rPr>
              <w:t>USA</w:t>
            </w:r>
          </w:p>
        </w:tc>
        <w:tc>
          <w:tcPr>
            <w:tcW w:w="1800" w:type="dxa"/>
            <w:vAlign w:val="center"/>
          </w:tcPr>
          <w:p w:rsidR="007D46DA" w:rsidRPr="001E4060" w:rsidRDefault="007D46DA" w:rsidP="006B1499">
            <w:pPr>
              <w:jc w:val="center"/>
              <w:rPr>
                <w:sz w:val="20"/>
              </w:rPr>
            </w:pPr>
            <w:r w:rsidRPr="001E4060">
              <w:rPr>
                <w:sz w:val="20"/>
              </w:rPr>
              <w:t>annual data: 1956-2007</w:t>
            </w:r>
          </w:p>
        </w:tc>
        <w:tc>
          <w:tcPr>
            <w:tcW w:w="2106" w:type="dxa"/>
            <w:vAlign w:val="center"/>
          </w:tcPr>
          <w:p w:rsidR="007D46DA" w:rsidRPr="001E4060" w:rsidRDefault="007D46DA" w:rsidP="006B1499">
            <w:pPr>
              <w:jc w:val="center"/>
              <w:rPr>
                <w:sz w:val="20"/>
              </w:rPr>
            </w:pPr>
            <w:r w:rsidRPr="001E4060">
              <w:rPr>
                <w:sz w:val="20"/>
              </w:rPr>
              <w:t>separate data for: highways, mass transit, rail, aviation, water transportation, water resources, and water supply and wastewater treatment</w:t>
            </w:r>
          </w:p>
        </w:tc>
        <w:tc>
          <w:tcPr>
            <w:tcW w:w="2196" w:type="dxa"/>
            <w:vAlign w:val="center"/>
          </w:tcPr>
          <w:p w:rsidR="007D46DA" w:rsidRPr="001E4060" w:rsidRDefault="007D46DA" w:rsidP="006B1499">
            <w:pPr>
              <w:jc w:val="center"/>
              <w:rPr>
                <w:sz w:val="20"/>
              </w:rPr>
            </w:pPr>
            <w:r w:rsidRPr="001E4060">
              <w:rPr>
                <w:sz w:val="20"/>
              </w:rPr>
              <w:t>public only; broken down by: 1) federal, and 2) state and local</w:t>
            </w:r>
          </w:p>
        </w:tc>
        <w:tc>
          <w:tcPr>
            <w:tcW w:w="2196" w:type="dxa"/>
            <w:vAlign w:val="center"/>
          </w:tcPr>
          <w:p w:rsidR="007D46DA" w:rsidRPr="001E4060" w:rsidRDefault="007D46DA" w:rsidP="006B1499">
            <w:pPr>
              <w:jc w:val="center"/>
              <w:rPr>
                <w:sz w:val="20"/>
              </w:rPr>
            </w:pPr>
            <w:r w:rsidRPr="001E4060">
              <w:rPr>
                <w:sz w:val="20"/>
              </w:rPr>
              <w:t>separate data for: 1) capital and 2) operation and maintenance</w:t>
            </w:r>
          </w:p>
        </w:tc>
      </w:tr>
      <w:tr w:rsidR="007D46DA" w:rsidRPr="001E4060">
        <w:tc>
          <w:tcPr>
            <w:tcW w:w="2196" w:type="dxa"/>
            <w:vAlign w:val="center"/>
          </w:tcPr>
          <w:p w:rsidR="007D46DA" w:rsidRPr="001E4060" w:rsidRDefault="007D46DA" w:rsidP="006B1499">
            <w:pPr>
              <w:rPr>
                <w:sz w:val="20"/>
              </w:rPr>
            </w:pPr>
            <w:r w:rsidRPr="001E4060">
              <w:rPr>
                <w:sz w:val="20"/>
              </w:rPr>
              <w:t xml:space="preserve">Infrastructure Development in India and China—A Comparative Analysis </w:t>
            </w:r>
            <w:r w:rsidR="00F7383F" w:rsidRPr="001E4060">
              <w:rPr>
                <w:sz w:val="20"/>
              </w:rPr>
              <w:fldChar w:fldCharType="begin"/>
            </w:r>
            <w:r>
              <w:rPr>
                <w:sz w:val="20"/>
              </w:rPr>
              <w:instrText xml:space="preserve"> ADDIN ZOTERO_ITEM {"citationID":"EBKA1Nm8","properties":{"formattedCitation":"(Kim and Nangia 2010)","plainCitation":"(Kim and Nangia 2010)"},"citationItems":[{"id":1155,"uris":["http://zotero.org/groups/4482/items/HTKAHJNN"],"uri":["http://zotero.org/groups/4482/items/HTKAHJNN"]}]} </w:instrText>
            </w:r>
            <w:r w:rsidR="00F7383F" w:rsidRPr="001E4060">
              <w:rPr>
                <w:sz w:val="20"/>
              </w:rPr>
              <w:fldChar w:fldCharType="separate"/>
            </w:r>
            <w:r w:rsidRPr="001E4060">
              <w:rPr>
                <w:sz w:val="20"/>
                <w:szCs w:val="21"/>
              </w:rPr>
              <w:t>(Kim and Nangia 2010)</w:t>
            </w:r>
            <w:r w:rsidR="00F7383F" w:rsidRPr="001E4060">
              <w:rPr>
                <w:sz w:val="20"/>
              </w:rPr>
              <w:fldChar w:fldCharType="end"/>
            </w:r>
          </w:p>
        </w:tc>
        <w:tc>
          <w:tcPr>
            <w:tcW w:w="2682" w:type="dxa"/>
            <w:vAlign w:val="center"/>
          </w:tcPr>
          <w:p w:rsidR="007D46DA" w:rsidRPr="001E4060" w:rsidRDefault="007D46DA" w:rsidP="006B1499">
            <w:pPr>
              <w:rPr>
                <w:sz w:val="20"/>
              </w:rPr>
            </w:pPr>
            <w:r w:rsidRPr="001E4060">
              <w:rPr>
                <w:sz w:val="20"/>
              </w:rPr>
              <w:t>China, India</w:t>
            </w:r>
          </w:p>
        </w:tc>
        <w:tc>
          <w:tcPr>
            <w:tcW w:w="1800" w:type="dxa"/>
            <w:vAlign w:val="center"/>
          </w:tcPr>
          <w:p w:rsidR="007D46DA" w:rsidRPr="001E4060" w:rsidRDefault="007D46DA" w:rsidP="006B1499">
            <w:pPr>
              <w:jc w:val="center"/>
              <w:rPr>
                <w:sz w:val="20"/>
              </w:rPr>
            </w:pPr>
            <w:r w:rsidRPr="001E4060">
              <w:rPr>
                <w:sz w:val="20"/>
              </w:rPr>
              <w:t>Annual data: 1985-2006</w:t>
            </w:r>
          </w:p>
        </w:tc>
        <w:tc>
          <w:tcPr>
            <w:tcW w:w="2106" w:type="dxa"/>
            <w:vAlign w:val="center"/>
          </w:tcPr>
          <w:p w:rsidR="007D46DA" w:rsidRPr="001E4060" w:rsidRDefault="007D46DA" w:rsidP="006B1499">
            <w:pPr>
              <w:jc w:val="center"/>
              <w:rPr>
                <w:sz w:val="20"/>
              </w:rPr>
            </w:pPr>
            <w:r>
              <w:rPr>
                <w:sz w:val="20"/>
              </w:rPr>
              <w:t>Combined data for electricity, water, gas, transport, communications</w:t>
            </w:r>
          </w:p>
        </w:tc>
        <w:tc>
          <w:tcPr>
            <w:tcW w:w="2196" w:type="dxa"/>
            <w:vAlign w:val="center"/>
          </w:tcPr>
          <w:p w:rsidR="007D46DA" w:rsidRPr="001E4060" w:rsidRDefault="007D46DA" w:rsidP="006B1499">
            <w:pPr>
              <w:jc w:val="center"/>
              <w:rPr>
                <w:sz w:val="20"/>
              </w:rPr>
            </w:pPr>
            <w:r>
              <w:rPr>
                <w:sz w:val="20"/>
              </w:rPr>
              <w:t>Combined public and private</w:t>
            </w:r>
          </w:p>
        </w:tc>
        <w:tc>
          <w:tcPr>
            <w:tcW w:w="2196" w:type="dxa"/>
            <w:vAlign w:val="center"/>
          </w:tcPr>
          <w:p w:rsidR="007D46DA" w:rsidRPr="001E4060" w:rsidRDefault="007D46DA" w:rsidP="006B1499">
            <w:pPr>
              <w:jc w:val="center"/>
              <w:rPr>
                <w:sz w:val="20"/>
              </w:rPr>
            </w:pPr>
            <w:r w:rsidRPr="001E4060">
              <w:rPr>
                <w:sz w:val="20"/>
              </w:rPr>
              <w:t>Not stated</w:t>
            </w:r>
          </w:p>
        </w:tc>
      </w:tr>
      <w:tr w:rsidR="007D46DA" w:rsidRPr="001E4060">
        <w:tc>
          <w:tcPr>
            <w:tcW w:w="2196" w:type="dxa"/>
            <w:vAlign w:val="center"/>
          </w:tcPr>
          <w:p w:rsidR="007D46DA" w:rsidRPr="001E4060" w:rsidRDefault="007D46DA" w:rsidP="006B1499">
            <w:pPr>
              <w:rPr>
                <w:sz w:val="20"/>
              </w:rPr>
            </w:pPr>
            <w:r w:rsidRPr="001E4060">
              <w:rPr>
                <w:sz w:val="20"/>
              </w:rPr>
              <w:t xml:space="preserve">Trends in Transport Infrastructure Investment 1995 -2009 </w:t>
            </w:r>
            <w:r w:rsidR="00F7383F" w:rsidRPr="001E4060">
              <w:rPr>
                <w:sz w:val="20"/>
              </w:rPr>
              <w:fldChar w:fldCharType="begin"/>
            </w:r>
            <w:r>
              <w:rPr>
                <w:sz w:val="20"/>
              </w:rPr>
              <w:instrText xml:space="preserve"> ADDIN ZOTERO_ITEM {"citationID":"RyLCCeye","properties":{"formattedCitation":"(International Transport Forum and Organisation for Economic Cooperation and Development (OECD) 2011)","plainCitation":"(International Transport Forum and Organisation for Economic Cooperation and Development (OECD) 2011)"},"citationItems":[{"id":130,"uris":["http://zotero.org/groups/4482/items/NZKXCC93"],"uri":["http://zotero.org/groups/4482/items/NZKXCC93"]}]} </w:instrText>
            </w:r>
            <w:r w:rsidR="00F7383F" w:rsidRPr="001E4060">
              <w:rPr>
                <w:sz w:val="20"/>
              </w:rPr>
              <w:fldChar w:fldCharType="separate"/>
            </w:r>
            <w:r>
              <w:rPr>
                <w:sz w:val="20"/>
                <w:szCs w:val="21"/>
              </w:rPr>
              <w:t>(International Transport Forum and Organisation for Economic Cooperation and Development (OECD) 2011)</w:t>
            </w:r>
            <w:r w:rsidR="00F7383F" w:rsidRPr="001E4060">
              <w:rPr>
                <w:sz w:val="20"/>
              </w:rPr>
              <w:fldChar w:fldCharType="end"/>
            </w:r>
          </w:p>
        </w:tc>
        <w:tc>
          <w:tcPr>
            <w:tcW w:w="2682" w:type="dxa"/>
            <w:vAlign w:val="center"/>
          </w:tcPr>
          <w:p w:rsidR="007D46DA" w:rsidRPr="001E4060" w:rsidRDefault="007D46DA" w:rsidP="006B1499">
            <w:pPr>
              <w:rPr>
                <w:sz w:val="20"/>
              </w:rPr>
            </w:pPr>
            <w:r w:rsidRPr="001E4060">
              <w:rPr>
                <w:sz w:val="20"/>
              </w:rPr>
              <w:t>Albania, Australia, Austria, Azerbaijan, Belgium, Bosnia, Bulgaria, Canada, Croatia, Czech Republic, Denmark, Estonia, Finland, France, FYROM, Georgia, Germany, Greece, Hungary, Iceland, India, Ireland, Italy, Japan, Korea, Latvia, Liechtenstein, Lithuania, Luxembourg, Malta, Mexico, Moldova, Montenegro, Netherlands, New Zealand, Norway, Poland, Portugal, Romania, Russia, Serbia, Slovakia, Slovenia, Spain, Sweden, Switzerland, Turkey, United Kingdom, United States</w:t>
            </w:r>
          </w:p>
        </w:tc>
        <w:tc>
          <w:tcPr>
            <w:tcW w:w="1800" w:type="dxa"/>
            <w:vAlign w:val="center"/>
          </w:tcPr>
          <w:p w:rsidR="007D46DA" w:rsidRPr="001E4060" w:rsidRDefault="007D46DA" w:rsidP="006B1499">
            <w:pPr>
              <w:jc w:val="center"/>
              <w:rPr>
                <w:sz w:val="20"/>
              </w:rPr>
            </w:pPr>
            <w:r w:rsidRPr="001E4060">
              <w:rPr>
                <w:sz w:val="20"/>
              </w:rPr>
              <w:t>Annual data: 1992-2009</w:t>
            </w:r>
          </w:p>
        </w:tc>
        <w:tc>
          <w:tcPr>
            <w:tcW w:w="2106" w:type="dxa"/>
            <w:vAlign w:val="center"/>
          </w:tcPr>
          <w:p w:rsidR="007D46DA" w:rsidRPr="001E4060" w:rsidRDefault="007D46DA" w:rsidP="006B1499">
            <w:pPr>
              <w:jc w:val="center"/>
              <w:rPr>
                <w:sz w:val="20"/>
              </w:rPr>
            </w:pPr>
            <w:r w:rsidRPr="001E4060">
              <w:rPr>
                <w:sz w:val="20"/>
              </w:rPr>
              <w:t>Separate data for rail, road, inland waterways, maritime ports, and airports</w:t>
            </w:r>
          </w:p>
        </w:tc>
        <w:tc>
          <w:tcPr>
            <w:tcW w:w="2196" w:type="dxa"/>
            <w:vAlign w:val="center"/>
          </w:tcPr>
          <w:p w:rsidR="007D46DA" w:rsidRPr="001E4060" w:rsidRDefault="007D46DA" w:rsidP="006B1499">
            <w:pPr>
              <w:jc w:val="center"/>
              <w:rPr>
                <w:sz w:val="20"/>
              </w:rPr>
            </w:pPr>
            <w:r w:rsidRPr="001E4060">
              <w:rPr>
                <w:sz w:val="20"/>
              </w:rPr>
              <w:t>public and private sources for investment; only spending by public authorities for maintenance; not provided separately</w:t>
            </w:r>
          </w:p>
        </w:tc>
        <w:tc>
          <w:tcPr>
            <w:tcW w:w="2196" w:type="dxa"/>
            <w:vAlign w:val="center"/>
          </w:tcPr>
          <w:p w:rsidR="007D46DA" w:rsidRPr="001E4060" w:rsidRDefault="007D46DA" w:rsidP="006B1499">
            <w:pPr>
              <w:jc w:val="center"/>
              <w:rPr>
                <w:sz w:val="20"/>
              </w:rPr>
            </w:pPr>
            <w:r w:rsidRPr="001E4060">
              <w:rPr>
                <w:sz w:val="20"/>
              </w:rPr>
              <w:t>Separate data for investment and maintenance</w:t>
            </w:r>
          </w:p>
        </w:tc>
      </w:tr>
      <w:tr w:rsidR="007D46DA" w:rsidRPr="001E4060">
        <w:tc>
          <w:tcPr>
            <w:tcW w:w="13176" w:type="dxa"/>
            <w:gridSpan w:val="6"/>
            <w:vAlign w:val="center"/>
          </w:tcPr>
          <w:p w:rsidR="007D46DA" w:rsidRPr="001E4060" w:rsidRDefault="007D46DA" w:rsidP="006B1499">
            <w:pPr>
              <w:rPr>
                <w:sz w:val="20"/>
              </w:rPr>
            </w:pPr>
            <w:r w:rsidRPr="001E4060">
              <w:rPr>
                <w:sz w:val="20"/>
              </w:rPr>
              <w:t xml:space="preserve">*In some cases, e.g. ADB, JBIC and WB </w:t>
            </w:r>
            <w:r w:rsidR="00F7383F" w:rsidRPr="001E4060">
              <w:rPr>
                <w:sz w:val="20"/>
              </w:rPr>
              <w:fldChar w:fldCharType="begin"/>
            </w:r>
            <w:r>
              <w:rPr>
                <w:sz w:val="20"/>
              </w:rPr>
              <w:instrText xml:space="preserve"> ADDIN ZOTERO_ITEM {"citationID":"2PxfBryF","properties":{"formattedCitation":"(2005)","plainCitation":"(2005)"},"citationItems":[{"id":921,"uris":["http://zotero.org/groups/4482/items/T6QH93WA"],"uri":["http://zotero.org/groups/4482/items/T6QH93WA"],"suppress-author":true}]} </w:instrText>
            </w:r>
            <w:r w:rsidR="00F7383F" w:rsidRPr="001E4060">
              <w:rPr>
                <w:sz w:val="20"/>
              </w:rPr>
              <w:fldChar w:fldCharType="separate"/>
            </w:r>
            <w:r w:rsidRPr="001E4060">
              <w:rPr>
                <w:sz w:val="20"/>
              </w:rPr>
              <w:t>(2005)</w:t>
            </w:r>
            <w:r w:rsidR="00F7383F" w:rsidRPr="001E4060">
              <w:rPr>
                <w:sz w:val="20"/>
              </w:rPr>
              <w:fldChar w:fldCharType="end"/>
            </w:r>
            <w:r w:rsidRPr="001E4060">
              <w:rPr>
                <w:sz w:val="20"/>
              </w:rPr>
              <w:t xml:space="preserve">, we have taken the data directly from the published studies. In other cases, e.g. Foster and Briceño-Garmendia </w:t>
            </w:r>
            <w:r w:rsidR="00F7383F" w:rsidRPr="001E4060">
              <w:rPr>
                <w:sz w:val="20"/>
              </w:rPr>
              <w:fldChar w:fldCharType="begin"/>
            </w:r>
            <w:r>
              <w:rPr>
                <w:sz w:val="20"/>
              </w:rPr>
              <w:instrText xml:space="preserve"> ADDIN ZOTERO_ITEM {"citationID":"6s93342d","properties":{"formattedCitation":"(2010)","plainCitation":"(2010)"},"citationItems":[{"id":301,"uris":["http://zotero.org/groups/4482/items/8R277WSI"],"uri":["http://zotero.org/groups/4482/items/8R277WSI"],"suppress-author":true}]} </w:instrText>
            </w:r>
            <w:r w:rsidR="00F7383F" w:rsidRPr="001E4060">
              <w:rPr>
                <w:sz w:val="20"/>
              </w:rPr>
              <w:fldChar w:fldCharType="separate"/>
            </w:r>
            <w:r w:rsidRPr="001E4060">
              <w:rPr>
                <w:sz w:val="20"/>
              </w:rPr>
              <w:t>(2010)</w:t>
            </w:r>
            <w:r w:rsidR="00F7383F" w:rsidRPr="001E4060">
              <w:rPr>
                <w:sz w:val="20"/>
              </w:rPr>
              <w:fldChar w:fldCharType="end"/>
            </w:r>
            <w:r w:rsidRPr="001E4060">
              <w:rPr>
                <w:sz w:val="20"/>
              </w:rPr>
              <w:t>, we have taken data from associated websites (</w:t>
            </w:r>
            <w:hyperlink r:id="rId16" w:history="1">
              <w:r w:rsidRPr="001E4060">
                <w:rPr>
                  <w:rStyle w:val="Hyperlink"/>
                  <w:sz w:val="20"/>
                </w:rPr>
                <w:t>http://www.infrastructureafrica.org/aicd/tools/data</w:t>
              </w:r>
            </w:hyperlink>
            <w:r w:rsidRPr="001E4060">
              <w:rPr>
                <w:sz w:val="20"/>
              </w:rPr>
              <w:t xml:space="preserve">), which provide updated and more detailed data. Finally, in other cases, e.g. </w:t>
            </w:r>
            <w:r>
              <w:rPr>
                <w:sz w:val="20"/>
              </w:rPr>
              <w:t xml:space="preserve">Kim and Nangia </w:t>
            </w:r>
            <w:r w:rsidR="00F7383F">
              <w:rPr>
                <w:sz w:val="20"/>
              </w:rPr>
              <w:fldChar w:fldCharType="begin"/>
            </w:r>
            <w:r>
              <w:rPr>
                <w:sz w:val="20"/>
              </w:rPr>
              <w:instrText xml:space="preserve"> ADDIN ZOTERO_ITEM {"citationID":"Hxrm05xG","properties":{"formattedCitation":"(2010)","plainCitation":"(2010)"},"citationItems":[{"id":1155,"uris":["http://zotero.org/groups/4482/items/HTKAHJNN"],"uri":["http://zotero.org/groups/4482/items/HTKAHJNN"],"suppress-author":true}]} </w:instrText>
            </w:r>
            <w:r w:rsidR="00F7383F">
              <w:rPr>
                <w:sz w:val="20"/>
              </w:rPr>
              <w:fldChar w:fldCharType="separate"/>
            </w:r>
            <w:r w:rsidRPr="00B079B3">
              <w:rPr>
                <w:sz w:val="20"/>
                <w:szCs w:val="21"/>
              </w:rPr>
              <w:t>(2010)</w:t>
            </w:r>
            <w:r w:rsidR="00F7383F">
              <w:rPr>
                <w:sz w:val="20"/>
              </w:rPr>
              <w:fldChar w:fldCharType="end"/>
            </w:r>
            <w:r w:rsidRPr="001E4060">
              <w:rPr>
                <w:sz w:val="20"/>
              </w:rPr>
              <w:t>, the authors have been kind enough to provide underlying data that did not appear in the original publication or only in summary form.</w:t>
            </w:r>
          </w:p>
        </w:tc>
      </w:tr>
    </w:tbl>
    <w:p w:rsidR="007D46DA" w:rsidRDefault="007D46DA" w:rsidP="007D46DA"/>
    <w:p w:rsidR="007D46DA" w:rsidRDefault="007D46DA" w:rsidP="007D46DA">
      <w:pPr>
        <w:sectPr w:rsidR="007D46DA">
          <w:type w:val="continuous"/>
          <w:pgSz w:w="15840" w:h="12240" w:orient="landscape"/>
          <w:pgMar w:top="1440" w:right="1440" w:bottom="1440" w:left="1440" w:gutter="0"/>
          <w:docGrid w:linePitch="326"/>
        </w:sectPr>
      </w:pPr>
    </w:p>
    <w:p w:rsidR="007D46DA" w:rsidRDefault="007D46DA" w:rsidP="007D46DA"/>
    <w:p w:rsidR="007D46DA" w:rsidRPr="00CA4EF3" w:rsidRDefault="00A84F12" w:rsidP="00A84F12">
      <w:pPr>
        <w:pStyle w:val="Heading2"/>
        <w:numPr>
          <w:ilvl w:val="1"/>
          <w:numId w:val="30"/>
        </w:numPr>
      </w:pPr>
      <w:bookmarkStart w:id="41" w:name="_Toc199580841"/>
      <w:r>
        <w:t xml:space="preserve"> </w:t>
      </w:r>
      <w:bookmarkStart w:id="42" w:name="_Toc200095267"/>
      <w:r w:rsidR="007D46DA" w:rsidRPr="00CA4EF3">
        <w:t xml:space="preserve">The </w:t>
      </w:r>
      <w:r w:rsidR="007D46DA">
        <w:t>State of and Trends in I</w:t>
      </w:r>
      <w:r w:rsidR="007D46DA" w:rsidRPr="00CA4EF3">
        <w:t>nfrastructure</w:t>
      </w:r>
      <w:r w:rsidR="007D46DA">
        <w:t>: Physical Stocks, Access, and Spending</w:t>
      </w:r>
      <w:bookmarkEnd w:id="41"/>
      <w:bookmarkEnd w:id="42"/>
      <w:r w:rsidR="007D46DA" w:rsidRPr="00CA4EF3">
        <w:t xml:space="preserve"> </w:t>
      </w:r>
    </w:p>
    <w:p w:rsidR="007D46DA" w:rsidRPr="00CA4EF3" w:rsidRDefault="007D46DA" w:rsidP="007D46DA"/>
    <w:p w:rsidR="007D46DA" w:rsidRPr="002A4784" w:rsidRDefault="007D46DA" w:rsidP="007D46DA">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2A4784">
        <w:rPr>
          <w:b/>
        </w:rPr>
        <w:t>Box 2.</w:t>
      </w:r>
      <w:r>
        <w:rPr>
          <w:b/>
        </w:rPr>
        <w:t>1</w:t>
      </w:r>
      <w:r w:rsidRPr="002A4784">
        <w:rPr>
          <w:b/>
        </w:rPr>
        <w:t xml:space="preserve"> Groupings of country-level data and forecasts</w:t>
      </w:r>
    </w:p>
    <w:p w:rsidR="007D46DA" w:rsidRDefault="007D46DA" w:rsidP="007D46DA">
      <w:pPr>
        <w:pBdr>
          <w:top w:val="single" w:sz="4" w:space="1" w:color="auto"/>
          <w:left w:val="single" w:sz="4" w:space="4" w:color="auto"/>
          <w:bottom w:val="single" w:sz="4" w:space="1" w:color="auto"/>
          <w:right w:val="single" w:sz="4" w:space="4" w:color="auto"/>
        </w:pBdr>
        <w:shd w:val="clear" w:color="auto" w:fill="D9D9D9" w:themeFill="background1" w:themeFillShade="D9"/>
      </w:pPr>
      <w:r>
        <w:t>Every major international organization divides the world into regions differently. This can be particularly challenging given the range of sources of data related to infrastructure. Because of their wide use in development studies, we use the World Bank (WB) geographic and income classifications, unless otherwise noted, throughout this volume.</w:t>
      </w:r>
    </w:p>
    <w:p w:rsidR="007D46DA" w:rsidRDefault="007D46DA" w:rsidP="007D46DA">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7D46DA" w:rsidRDefault="007D46DA" w:rsidP="007D46DA">
      <w:pPr>
        <w:pBdr>
          <w:top w:val="single" w:sz="4" w:space="1" w:color="auto"/>
          <w:left w:val="single" w:sz="4" w:space="4" w:color="auto"/>
          <w:bottom w:val="single" w:sz="4" w:space="1" w:color="auto"/>
          <w:right w:val="single" w:sz="4" w:space="4" w:color="auto"/>
        </w:pBdr>
        <w:shd w:val="clear" w:color="auto" w:fill="D9D9D9" w:themeFill="background1" w:themeFillShade="D9"/>
      </w:pPr>
      <w:r>
        <w:t>One World Bank classification combines income and geographic groupings to create six developing-country regions (namely East Asia and Pacific, Europe and Central Asia, Latin America and the Caribbean, Middle East and North Africa, South Asia, and Sub-Saharan Africa) and a seventh category that is an aggregation of all high-income countries. The other World Bank classification divides countries in four groups based on income characteristics alone: low-income, lower-middle-income, upper-middle income, and high-income countries respectively.</w:t>
      </w:r>
    </w:p>
    <w:p w:rsidR="007D46DA" w:rsidRDefault="007D46DA" w:rsidP="007D46DA">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7D46DA" w:rsidRPr="00623545" w:rsidRDefault="007D46DA" w:rsidP="007D46DA">
      <w:pPr>
        <w:pBdr>
          <w:top w:val="single" w:sz="4" w:space="1" w:color="auto"/>
          <w:left w:val="single" w:sz="4" w:space="4" w:color="auto"/>
          <w:bottom w:val="single" w:sz="4" w:space="1" w:color="auto"/>
          <w:right w:val="single" w:sz="4" w:space="4" w:color="auto"/>
        </w:pBdr>
        <w:shd w:val="clear" w:color="auto" w:fill="D9D9D9" w:themeFill="background1" w:themeFillShade="D9"/>
      </w:pPr>
      <w:r>
        <w:t>The specific classification for countries changes over time as they develop and the World Bank updates these each year on July 1. In this volume, we use the World Bank groupings as of July 1, 2011, which are based on 2010 GNI per capita. The Appendix to this volume on global regions identifies the members of the World Bank regions.</w:t>
      </w:r>
    </w:p>
    <w:p w:rsidR="007D46DA" w:rsidRPr="00CA4EF3" w:rsidRDefault="007D46DA" w:rsidP="007D46DA"/>
    <w:p w:rsidR="007D46DA" w:rsidRPr="00CA4EF3" w:rsidRDefault="007D46DA" w:rsidP="00877E30">
      <w:pPr>
        <w:pStyle w:val="Heading3"/>
        <w:numPr>
          <w:ilvl w:val="2"/>
          <w:numId w:val="30"/>
        </w:numPr>
      </w:pPr>
      <w:bookmarkStart w:id="43" w:name="_Toc199580842"/>
      <w:bookmarkStart w:id="44" w:name="_Toc200095268"/>
      <w:r>
        <w:t>Physical stocks and access</w:t>
      </w:r>
      <w:bookmarkEnd w:id="43"/>
      <w:bookmarkEnd w:id="44"/>
    </w:p>
    <w:p w:rsidR="007D46DA" w:rsidRPr="00CA4EF3" w:rsidRDefault="007D46DA" w:rsidP="007D46DA">
      <w:pPr>
        <w:pStyle w:val="Heading4"/>
      </w:pPr>
      <w:bookmarkStart w:id="45" w:name="_Toc199580843"/>
      <w:bookmarkStart w:id="46" w:name="_Toc200095269"/>
      <w:r>
        <w:t xml:space="preserve">2.3.1.1 </w:t>
      </w:r>
      <w:r w:rsidRPr="00CA4EF3">
        <w:t>Transportation</w:t>
      </w:r>
      <w:bookmarkEnd w:id="45"/>
      <w:bookmarkEnd w:id="46"/>
    </w:p>
    <w:p w:rsidR="007D46DA" w:rsidRPr="00CA4EF3" w:rsidRDefault="007D46DA" w:rsidP="007D46DA">
      <w:pPr>
        <w:pStyle w:val="BodyText"/>
        <w:spacing w:after="0"/>
        <w:ind w:left="720"/>
        <w:jc w:val="center"/>
      </w:pPr>
      <w:r w:rsidRPr="00CA4EF3">
        <w:rPr>
          <w:i/>
        </w:rPr>
        <w:t>“To get rich, build roads first; to get rich fast, build fast roads”</w:t>
      </w:r>
    </w:p>
    <w:p w:rsidR="007D46DA" w:rsidRPr="00CA4EF3" w:rsidRDefault="007D46DA" w:rsidP="007D46DA">
      <w:pPr>
        <w:pStyle w:val="BodyText"/>
        <w:spacing w:before="0"/>
        <w:ind w:left="720"/>
        <w:jc w:val="center"/>
      </w:pPr>
      <w:r w:rsidRPr="00CA4EF3">
        <w:t xml:space="preserve">Chinese proverb cited in Kim and Nangia </w:t>
      </w:r>
      <w:r w:rsidR="00F7383F" w:rsidRPr="00CA4EF3">
        <w:fldChar w:fldCharType="begin"/>
      </w:r>
      <w:r>
        <w:instrText xml:space="preserve"> ADDIN ZOTERO_ITEM {"citationID":"22n02lne7e","properties":{"formattedCitation":"(2010, 109)","plainCitation":"(2010, 109)"},"citationItems":[{"id":1155,"uris":["http://zotero.org/groups/4482/items/HTKAHJNN"],"uri":["http://zotero.org/groups/4482/items/HTKAHJNN"],"locator":"109","label":"page","suppress-author":true}]} </w:instrText>
      </w:r>
      <w:r w:rsidR="00F7383F" w:rsidRPr="00CA4EF3">
        <w:fldChar w:fldCharType="separate"/>
      </w:r>
      <w:r w:rsidRPr="00AA7B30">
        <w:rPr>
          <w:szCs w:val="21"/>
        </w:rPr>
        <w:t>(2010, 109)</w:t>
      </w:r>
      <w:r w:rsidR="00F7383F" w:rsidRPr="00CA4EF3">
        <w:fldChar w:fldCharType="end"/>
      </w:r>
    </w:p>
    <w:p w:rsidR="007D46DA" w:rsidRPr="00CA4EF3" w:rsidRDefault="007D46DA" w:rsidP="007D46DA"/>
    <w:p w:rsidR="007D46DA" w:rsidRPr="00CA4EF3" w:rsidRDefault="007D46DA" w:rsidP="007D46DA">
      <w:r>
        <w:t xml:space="preserve">Transportation infrastructure connects societies by expediting the movement of people and goods, and has done so since the beginning of civilization. From the beginning of civilization, advances in transportation technology, from horseback riding and paved roads to sailing ships, have continually shrunk travel times and increased carrying capacity of goods and people. Over time, advances in transportation technologies opened up new lands to exploration, trade, and exploitation, and eventually led to the rise of colonial empires and global trade </w:t>
      </w:r>
      <w:fldSimple w:instr=" ADDIN ZOTERO_ITEM {&quot;citationID&quot;:&quot;I6qJegIB&quot;,&quot;properties&quot;:{&quot;formattedCitation&quot;:&quot;(Woodman 2002)&quot;,&quot;plainCitation&quot;:&quot;(Woodman 2002)&quot;},&quot;citationItems&quot;:[{&quot;id&quot;:305,&quot;uris&quot;:[&quot;http://zotero.org/groups/4482/items/926QEZU5&quot;],&quot;uri&quot;:[&quot;http://zotero.org/groups/4482/items/926QEZU5&quot;]}]} ">
        <w:r w:rsidRPr="00AA7B30">
          <w:rPr>
            <w:szCs w:val="21"/>
          </w:rPr>
          <w:t>(Woodman 2002)</w:t>
        </w:r>
      </w:fldSimple>
      <w:r>
        <w:t xml:space="preserve">. Today, transportation technologies like the automobile, public rapid transit and air travel have greatly enhanced personal mobility, opening up new social and economic opportunities and altering the ways in which people live. The mobility of goods has followed suit, as </w:t>
      </w:r>
      <w:r w:rsidRPr="00CA4EF3">
        <w:t xml:space="preserve">flexible supply chains became the norm. The advent of </w:t>
      </w:r>
      <w:r>
        <w:t xml:space="preserve">cargo </w:t>
      </w:r>
      <w:r w:rsidRPr="00CA4EF3">
        <w:t xml:space="preserve">aviation and modern high-volume shipping not only increased </w:t>
      </w:r>
      <w:r>
        <w:t xml:space="preserve">goods </w:t>
      </w:r>
      <w:r w:rsidRPr="00CA4EF3">
        <w:t xml:space="preserve">mobility even further, but also made today’s globalized world possible </w:t>
      </w:r>
      <w:fldSimple w:instr=" ADDIN ZOTERO_ITEM {&quot;citationID&quot;:&quot;9qgC9T2I&quot;,&quot;properties&quot;:{&quot;formattedCitation&quot;:&quot;(Gilbert 2007)&quot;,&quot;plainCitation&quot;:&quot;(Gilbert 2007)&quot;},&quot;citationItems&quot;:[{&quot;id&quot;:388,&quot;uris&quot;:[&quot;http://zotero.org/groups/4482/items/EBB23HIT&quot;],&quot;uri&quot;:[&quot;http://zotero.org/groups/4482/items/EBB23HIT&quot;]}]} ">
        <w:r w:rsidRPr="00AA7B30">
          <w:rPr>
            <w:szCs w:val="21"/>
          </w:rPr>
          <w:t>(Gilbert 2007)</w:t>
        </w:r>
      </w:fldSimple>
      <w:r w:rsidRPr="00CA4EF3">
        <w:t>.</w:t>
      </w:r>
    </w:p>
    <w:p w:rsidR="007D46DA" w:rsidRPr="00CA4EF3" w:rsidRDefault="007D46DA" w:rsidP="007D46DA">
      <w:r>
        <w:t xml:space="preserve"> </w:t>
      </w:r>
    </w:p>
    <w:p w:rsidR="007D46DA" w:rsidRPr="00CA4EF3" w:rsidRDefault="007D46DA" w:rsidP="007D46DA">
      <w:r w:rsidRPr="00CA4EF3">
        <w:t>Though railways and ships continue to dominate much of domestic and international freight transport, and even as airplanes are an increasingly important aspect of moving both people and goods, roads remain the most fundamental form of transportation infrastructure. They connect and help grow societies in ways that few other things can. The development of new roads is often the first step in creating ‘somewhere’ out of ‘nowhere’. At other times, they are the physical embodiment of the joining of what were once distinct communities.</w:t>
      </w:r>
    </w:p>
    <w:p w:rsidR="007D46DA" w:rsidRPr="00CA4EF3" w:rsidRDefault="007D46DA" w:rsidP="007D46DA"/>
    <w:p w:rsidR="007D46DA" w:rsidRPr="00CA4EF3" w:rsidRDefault="007D46DA" w:rsidP="007D46DA">
      <w:r>
        <w:t>In the past few decades, there has been significant growth in road infrastructure globally, but much remains to be done</w:t>
      </w:r>
      <w:r w:rsidRPr="00CA4EF3">
        <w:t>, particularly in rural areas of much of the developing world. Between 1975 and 2008, the world’s stock of roads grew from around 20 million kilometers to over 32 million kilometers, an average annual increase of more than 1.4 percent (see Figure 2.</w:t>
      </w:r>
      <w:r>
        <w:t>1</w:t>
      </w:r>
      <w:r w:rsidRPr="00CA4EF3">
        <w:t>). The growth in paved roads was even faster, at nearly 2.6 percent per year. This raised the percentage of roads that were paved from under 40 percent in 1975 to nearly 60 percent in 2008.</w:t>
      </w:r>
      <w:r>
        <w:t xml:space="preserve"> Still, </w:t>
      </w:r>
      <w:r w:rsidRPr="00CA4EF3">
        <w:t>the World Bank estimates that “over one billion (31 percent) of the world's rural population (98 percent of them in developing countries) do not have adequate access to transport.”</w:t>
      </w:r>
      <w:r w:rsidRPr="000E4C4E">
        <w:rPr>
          <w:rStyle w:val="FootnoteReference"/>
        </w:rPr>
        <w:footnoteReference w:id="17"/>
      </w:r>
    </w:p>
    <w:p w:rsidR="007D46DA" w:rsidRDefault="007D46DA" w:rsidP="007D46DA"/>
    <w:p w:rsidR="007D46DA" w:rsidRPr="00CA4EF3" w:rsidRDefault="007D46DA" w:rsidP="007D46DA">
      <w:r>
        <w:t>M</w:t>
      </w:r>
      <w:r w:rsidRPr="00CA4EF3">
        <w:t xml:space="preserve">uch of the growth </w:t>
      </w:r>
      <w:r>
        <w:t xml:space="preserve">in total roads has </w:t>
      </w:r>
      <w:r w:rsidRPr="00CA4EF3">
        <w:t xml:space="preserve">occurred </w:t>
      </w:r>
      <w:r>
        <w:t>since 1990 (Figure 2.1)</w:t>
      </w:r>
      <w:r w:rsidRPr="00CA4EF3">
        <w:t>. The most significant growth happen</w:t>
      </w:r>
      <w:r>
        <w:t>ed</w:t>
      </w:r>
      <w:r w:rsidRPr="00CA4EF3">
        <w:t xml:space="preserve"> in East Asia and Pacific and </w:t>
      </w:r>
      <w:r>
        <w:t xml:space="preserve">in </w:t>
      </w:r>
      <w:r w:rsidRPr="00CA4EF3">
        <w:t xml:space="preserve">South Asia, much of this driven by China and India, respectively. The growth rates in the </w:t>
      </w:r>
      <w:r>
        <w:t>h</w:t>
      </w:r>
      <w:r w:rsidRPr="00CA4EF3">
        <w:t>igh-income countries and the developing countries of Europe and Central Asia were much slower than the global average, as reflected in their declining shares of</w:t>
      </w:r>
      <w:r>
        <w:t xml:space="preserve"> the</w:t>
      </w:r>
      <w:r w:rsidRPr="00CA4EF3">
        <w:t xml:space="preserve"> total.</w:t>
      </w:r>
    </w:p>
    <w:p w:rsidR="007D46DA" w:rsidRDefault="007D46DA" w:rsidP="007D46DA">
      <w:r>
        <w:br w:type="page"/>
      </w:r>
    </w:p>
    <w:p w:rsidR="007D46DA" w:rsidRDefault="007D46DA" w:rsidP="007D46DA">
      <w:pPr>
        <w:jc w:val="center"/>
      </w:pPr>
      <w:r>
        <w:rPr>
          <w:noProof/>
        </w:rPr>
        <w:drawing>
          <wp:inline distT="0" distB="0" distL="0" distR="0">
            <wp:extent cx="5486400" cy="2118360"/>
            <wp:effectExtent l="25400" t="0" r="0" b="0"/>
            <wp:docPr id="27" name="O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55000" cy="3187700"/>
                      <a:chOff x="0" y="0"/>
                      <a:chExt cx="8255000" cy="3187700"/>
                    </a:xfrm>
                  </a:grpSpPr>
                  <a:grpSp>
                    <a:nvGrpSpPr>
                      <a:cNvPr id="17" name="Group 16"/>
                      <a:cNvGrpSpPr/>
                    </a:nvGrpSpPr>
                    <a:grpSpPr>
                      <a:xfrm>
                        <a:off x="0" y="0"/>
                        <a:ext cx="8255000" cy="3187700"/>
                        <a:chOff x="0" y="0"/>
                        <a:chExt cx="8255000" cy="3187700"/>
                      </a:xfrm>
                    </a:grpSpPr>
                    <a:grpSp>
                      <a:nvGrpSpPr>
                        <a:cNvPr id="3" name="Group 17"/>
                        <a:cNvGrpSpPr/>
                      </a:nvGrpSpPr>
                      <a:grpSpPr>
                        <a:xfrm>
                          <a:off x="0" y="0"/>
                          <a:ext cx="8255000" cy="3187700"/>
                          <a:chOff x="0" y="0"/>
                          <a:chExt cx="8255000" cy="3187700"/>
                        </a:xfrm>
                      </a:grpSpPr>
                      <a:graphicFrame>
                        <a:nvGraphicFramePr>
                          <a:cNvPr id="22" name="Chart 21"/>
                          <a:cNvGraphicFramePr/>
                        </a:nvGraphicFramePr>
                        <a:graphic>
                          <a:graphicData uri="http://schemas.openxmlformats.org/drawingml/2006/chart">
                            <c:chart xmlns:c="http://schemas.openxmlformats.org/drawingml/2006/chart" xmlns:r="http://schemas.openxmlformats.org/officeDocument/2006/relationships" r:id="rId17"/>
                          </a:graphicData>
                        </a:graphic>
                        <a:xfrm>
                          <a:off x="0" y="0"/>
                          <a:ext cx="8255000" cy="3187700"/>
                        </a:xfrm>
                      </a:graphicFrame>
                      <a:graphicFrame>
                        <a:nvGraphicFramePr>
                          <a:cNvPr id="23" name="Chart 22"/>
                          <a:cNvGraphicFramePr/>
                        </a:nvGraphicFramePr>
                        <a:graphic>
                          <a:graphicData uri="http://schemas.openxmlformats.org/drawingml/2006/chart">
                            <c:chart xmlns:c="http://schemas.openxmlformats.org/drawingml/2006/chart" xmlns:r="http://schemas.openxmlformats.org/officeDocument/2006/relationships" r:id="rId18"/>
                          </a:graphicData>
                        </a:graphic>
                        <a:xfrm>
                          <a:off x="12700" y="342900"/>
                          <a:ext cx="2743200" cy="2743200"/>
                        </a:xfrm>
                      </a:graphicFrame>
                      <a:graphicFrame>
                        <a:nvGraphicFramePr>
                          <a:cNvPr id="24" name="Chart 23"/>
                          <a:cNvGraphicFramePr/>
                        </a:nvGraphicFramePr>
                        <a:graphic>
                          <a:graphicData uri="http://schemas.openxmlformats.org/drawingml/2006/chart">
                            <c:chart xmlns:c="http://schemas.openxmlformats.org/drawingml/2006/chart" xmlns:r="http://schemas.openxmlformats.org/officeDocument/2006/relationships" r:id="rId19"/>
                          </a:graphicData>
                        </a:graphic>
                        <a:xfrm>
                          <a:off x="2755900" y="342900"/>
                          <a:ext cx="2743200" cy="2743200"/>
                        </a:xfrm>
                      </a:graphicFrame>
                      <a:graphicFrame>
                        <a:nvGraphicFramePr>
                          <a:cNvPr id="25" name="Chart 24"/>
                          <a:cNvGraphicFramePr/>
                        </a:nvGraphicFramePr>
                        <a:graphic>
                          <a:graphicData uri="http://schemas.openxmlformats.org/drawingml/2006/chart">
                            <c:chart xmlns:c="http://schemas.openxmlformats.org/drawingml/2006/chart" xmlns:r="http://schemas.openxmlformats.org/officeDocument/2006/relationships" r:id="rId20"/>
                          </a:graphicData>
                        </a:graphic>
                        <a:xfrm>
                          <a:off x="5499100" y="342900"/>
                          <a:ext cx="2743200" cy="2743200"/>
                        </a:xfrm>
                      </a:graphicFrame>
                    </a:grpSp>
                    <a:sp>
                      <a:nvSpPr>
                        <a:cNvPr id="19" name="TextBox 18"/>
                        <a:cNvSpPr txBox="1"/>
                      </a:nvSpPr>
                      <a:spPr>
                        <a:xfrm>
                          <a:off x="685800" y="2806700"/>
                          <a:ext cx="1497156" cy="261610"/>
                        </a:xfrm>
                        <a:prstGeom prst="rect">
                          <a:avLst/>
                        </a:prstGeom>
                        <a:noFill/>
                      </a:spPr>
                      <a:txSp>
                        <a:txBody>
                          <a:bodyPr wrap="squar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1100"/>
                              <a:t>20.5 million kilometers</a:t>
                            </a:r>
                          </a:p>
                        </a:txBody>
                        <a:useSpRect/>
                      </a:txSp>
                      <a:style>
                        <a:lnRef idx="0">
                          <a:scrgbClr r="0" g="0" b="0"/>
                        </a:lnRef>
                        <a:fillRef idx="0">
                          <a:scrgbClr r="0" g="0" b="0"/>
                        </a:fillRef>
                        <a:effectRef idx="0">
                          <a:scrgbClr r="0" g="0" b="0"/>
                        </a:effectRef>
                        <a:fontRef idx="minor">
                          <a:schemeClr val="tx1"/>
                        </a:fontRef>
                      </a:style>
                    </a:sp>
                    <a:sp>
                      <a:nvSpPr>
                        <a:cNvPr id="20" name="TextBox 19"/>
                        <a:cNvSpPr txBox="1"/>
                      </a:nvSpPr>
                      <a:spPr>
                        <a:xfrm>
                          <a:off x="3378200" y="2806700"/>
                          <a:ext cx="1587500" cy="261610"/>
                        </a:xfrm>
                        <a:prstGeom prst="rect">
                          <a:avLst/>
                        </a:prstGeom>
                        <a:noFill/>
                      </a:spPr>
                      <a:txSp>
                        <a:txBody>
                          <a:bodyPr wrap="squar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1100"/>
                              <a:t>24.3</a:t>
                            </a:r>
                            <a:r>
                              <a:rPr lang="en-US" sz="1100" baseline="0"/>
                              <a:t> </a:t>
                            </a:r>
                            <a:r>
                              <a:rPr lang="en-US" sz="1100"/>
                              <a:t> million kilometers</a:t>
                            </a:r>
                          </a:p>
                        </a:txBody>
                        <a:useSpRect/>
                      </a:txSp>
                      <a:style>
                        <a:lnRef idx="0">
                          <a:scrgbClr r="0" g="0" b="0"/>
                        </a:lnRef>
                        <a:fillRef idx="0">
                          <a:scrgbClr r="0" g="0" b="0"/>
                        </a:fillRef>
                        <a:effectRef idx="0">
                          <a:scrgbClr r="0" g="0" b="0"/>
                        </a:effectRef>
                        <a:fontRef idx="minor">
                          <a:schemeClr val="tx1"/>
                        </a:fontRef>
                      </a:style>
                    </a:sp>
                    <a:sp>
                      <a:nvSpPr>
                        <a:cNvPr id="21" name="TextBox 20"/>
                        <a:cNvSpPr txBox="1"/>
                      </a:nvSpPr>
                      <a:spPr>
                        <a:xfrm>
                          <a:off x="6070600" y="2806700"/>
                          <a:ext cx="1587500" cy="261610"/>
                        </a:xfrm>
                        <a:prstGeom prst="rect">
                          <a:avLst/>
                        </a:prstGeom>
                        <a:noFill/>
                      </a:spPr>
                      <a:txSp>
                        <a:txBody>
                          <a:bodyPr wrap="square" rtlCol="0" anchor="t">
                            <a:spAutoFit/>
                          </a:bodyPr>
                          <a:lstStyle>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a:r>
                              <a:rPr lang="en-US" sz="1100" baseline="0"/>
                              <a:t>32.7 </a:t>
                            </a:r>
                            <a:r>
                              <a:rPr lang="en-US" sz="1100"/>
                              <a:t> million kilometers</a:t>
                            </a:r>
                          </a:p>
                        </a:txBody>
                        <a:useSpRect/>
                      </a:txSp>
                      <a:style>
                        <a:lnRef idx="0">
                          <a:scrgbClr r="0" g="0" b="0"/>
                        </a:lnRef>
                        <a:fillRef idx="0">
                          <a:scrgbClr r="0" g="0" b="0"/>
                        </a:fillRef>
                        <a:effectRef idx="0">
                          <a:scrgbClr r="0" g="0" b="0"/>
                        </a:effectRef>
                        <a:fontRef idx="minor">
                          <a:schemeClr val="tx1"/>
                        </a:fontRef>
                      </a:style>
                    </a:sp>
                  </a:grpSp>
                </lc:lockedCanvas>
              </a:graphicData>
            </a:graphic>
          </wp:inline>
        </w:drawing>
      </w:r>
      <w:r>
        <w:rPr>
          <w:noProof/>
        </w:rPr>
        <w:drawing>
          <wp:inline distT="0" distB="0" distL="0" distR="0">
            <wp:extent cx="5487757" cy="2129367"/>
            <wp:effectExtent l="2540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ve:AlternateContent xmlns:ma="http://schemas.microsoft.com/office/mac/drawingml/2008/main">
                    <ve:Choice Requires="ma">
                      <pic:blipFill>
                        <a:blip r:embed="rId21"/>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2"/>
                        <a:srcRect/>
                        <a:stretch>
                          <a:fillRect/>
                        </a:stretch>
                      </pic:blipFill>
                    </ve:Fallback>
                  </ve:AlternateContent>
                  <pic:spPr bwMode="auto">
                    <a:xfrm>
                      <a:off x="0" y="0"/>
                      <a:ext cx="5487757" cy="2129367"/>
                    </a:xfrm>
                    <a:prstGeom prst="rect">
                      <a:avLst/>
                    </a:prstGeom>
                    <a:noFill/>
                    <a:ln w="9525">
                      <a:noFill/>
                      <a:miter lim="800000"/>
                      <a:headEnd/>
                      <a:tailEnd/>
                    </a:ln>
                  </pic:spPr>
                </pic:pic>
              </a:graphicData>
            </a:graphic>
          </wp:inline>
        </w:drawing>
      </w:r>
    </w:p>
    <w:p w:rsidR="007D46DA" w:rsidRPr="00C076D0" w:rsidRDefault="007D46DA" w:rsidP="007D46DA">
      <w:pPr>
        <w:rPr>
          <w:b/>
        </w:rPr>
      </w:pPr>
      <w:r w:rsidRPr="00C076D0">
        <w:rPr>
          <w:b/>
        </w:rPr>
        <w:t xml:space="preserve">Figure 2.1 Total </w:t>
      </w:r>
      <w:r>
        <w:rPr>
          <w:b/>
        </w:rPr>
        <w:t>r</w:t>
      </w:r>
      <w:r w:rsidRPr="00C076D0">
        <w:rPr>
          <w:b/>
        </w:rPr>
        <w:t xml:space="preserve">oads by region and </w:t>
      </w:r>
      <w:r>
        <w:rPr>
          <w:b/>
        </w:rPr>
        <w:t>income group</w:t>
      </w:r>
    </w:p>
    <w:p w:rsidR="007D46DA" w:rsidRPr="00EF5D3E" w:rsidRDefault="007D46DA" w:rsidP="007D46DA">
      <w:pPr>
        <w:rPr>
          <w:i/>
        </w:rPr>
      </w:pPr>
      <w:r w:rsidRPr="003779E3">
        <w:rPr>
          <w:i/>
        </w:rPr>
        <w:t xml:space="preserve">Source: Data compiled by authors from Calderón (personal communication), Canning </w:t>
      </w:r>
      <w:r w:rsidR="00F7383F" w:rsidRPr="003779E3">
        <w:rPr>
          <w:i/>
        </w:rPr>
        <w:fldChar w:fldCharType="begin"/>
      </w:r>
      <w:r w:rsidRPr="003779E3">
        <w:rPr>
          <w:i/>
        </w:rPr>
        <w:instrText xml:space="preserve"> ADDIN ZOTERO_ITEM {"citationID":"pif570k4b","properties":{"formattedCitation":"(1998)","plainCitation":"(1998)"},"citationItems":[{"id":1067,"uris":["http://zotero.org/groups/4482/items/59NKURMC"],"uri":["http://zotero.org/groups/4482/items/59NKURMC"],"suppress-author":true}]} </w:instrText>
      </w:r>
      <w:r w:rsidR="00F7383F" w:rsidRPr="003779E3">
        <w:rPr>
          <w:i/>
        </w:rPr>
        <w:fldChar w:fldCharType="separate"/>
      </w:r>
      <w:r w:rsidRPr="003779E3">
        <w:rPr>
          <w:i/>
        </w:rPr>
        <w:t>(1998)</w:t>
      </w:r>
      <w:r w:rsidR="00F7383F" w:rsidRPr="003779E3">
        <w:rPr>
          <w:i/>
        </w:rPr>
        <w:fldChar w:fldCharType="end"/>
      </w:r>
      <w:r w:rsidRPr="003779E3">
        <w:rPr>
          <w:i/>
        </w:rPr>
        <w:t xml:space="preserve">, Canning and Farahani </w:t>
      </w:r>
      <w:r w:rsidR="00F7383F" w:rsidRPr="003779E3">
        <w:rPr>
          <w:i/>
        </w:rPr>
        <w:fldChar w:fldCharType="begin"/>
      </w:r>
      <w:r w:rsidRPr="003779E3">
        <w:rPr>
          <w:i/>
        </w:rPr>
        <w:instrText xml:space="preserve"> ADDIN ZOTERO_ITEM {"citationID":"2nll725t0m","properties":{"formattedCitation":"(2007)","plainCitation":"(2007)"},"citationItems":[{"id":500,"uris":["http://zotero.org/groups/4482/items/MSM7T659"],"uri":["http://zotero.org/groups/4482/items/MSM7T659"],"suppress-author":true}]} </w:instrText>
      </w:r>
      <w:r w:rsidR="00F7383F" w:rsidRPr="003779E3">
        <w:rPr>
          <w:i/>
        </w:rPr>
        <w:fldChar w:fldCharType="separate"/>
      </w:r>
      <w:r w:rsidRPr="003779E3">
        <w:rPr>
          <w:i/>
        </w:rPr>
        <w:t>(2007)</w:t>
      </w:r>
      <w:r w:rsidR="00F7383F" w:rsidRPr="003779E3">
        <w:rPr>
          <w:i/>
        </w:rPr>
        <w:fldChar w:fldCharType="end"/>
      </w:r>
      <w:r w:rsidRPr="003779E3">
        <w:rPr>
          <w:i/>
        </w:rPr>
        <w:t xml:space="preserve">, and various editions of the World Bank’s </w:t>
      </w:r>
      <w:r w:rsidRPr="00EF5D3E">
        <w:rPr>
          <w:i/>
        </w:rPr>
        <w:t>World Development Indicators</w:t>
      </w:r>
      <w:r w:rsidRPr="003779E3">
        <w:rPr>
          <w:i/>
        </w:rPr>
        <w:t>.</w:t>
      </w:r>
    </w:p>
    <w:p w:rsidR="007D46DA" w:rsidRPr="00CA4EF3" w:rsidRDefault="007D46DA" w:rsidP="007D46DA"/>
    <w:p w:rsidR="007D46DA" w:rsidRPr="00CA4EF3" w:rsidRDefault="007D46DA" w:rsidP="007D46DA">
      <w:r w:rsidRPr="00CA4EF3">
        <w:t xml:space="preserve">All regions increased the share of their roads that are paved from 1975-2008, but Latin America and the Caribbean and </w:t>
      </w:r>
      <w:r>
        <w:t>s</w:t>
      </w:r>
      <w:r w:rsidRPr="00CA4EF3">
        <w:t>ub-Saharan Africa continued to lag far behind other regions (Figure 2.</w:t>
      </w:r>
      <w:r>
        <w:t>2</w:t>
      </w:r>
      <w:r w:rsidRPr="00CA4EF3">
        <w:t xml:space="preserve">). East Asia and Pacific and Middle East and North Africa experienced the largest increase in paved percentage, with the latter actually exceeding the </w:t>
      </w:r>
      <w:r>
        <w:t>h</w:t>
      </w:r>
      <w:r w:rsidRPr="00CA4EF3">
        <w:t>igh-income countries by the end of this period.</w:t>
      </w:r>
    </w:p>
    <w:p w:rsidR="007D46DA" w:rsidRPr="00CA4EF3" w:rsidRDefault="007D46DA" w:rsidP="007D46DA"/>
    <w:p w:rsidR="007D46DA" w:rsidRDefault="007D46DA" w:rsidP="007D46DA">
      <w:pPr>
        <w:rPr>
          <w:b/>
        </w:rPr>
      </w:pPr>
    </w:p>
    <w:p w:rsidR="007D46DA" w:rsidRDefault="007D46DA" w:rsidP="007D46DA">
      <w:pPr>
        <w:jc w:val="center"/>
        <w:rPr>
          <w:b/>
        </w:rPr>
      </w:pPr>
      <w:r>
        <w:rPr>
          <w:b/>
          <w:noProof/>
        </w:rPr>
        <w:drawing>
          <wp:inline distT="0" distB="0" distL="0" distR="0">
            <wp:extent cx="5003800" cy="3318933"/>
            <wp:effectExtent l="25400" t="25400" r="0" b="8467"/>
            <wp:docPr id="36" name="C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b/>
          <w:noProof/>
        </w:rPr>
        <w:drawing>
          <wp:inline distT="0" distB="0" distL="0" distR="0">
            <wp:extent cx="5003800" cy="3386666"/>
            <wp:effectExtent l="25400" t="25400" r="0" b="0"/>
            <wp:docPr id="35" name="C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D46DA" w:rsidRDefault="007D46DA" w:rsidP="007D46DA">
      <w:pPr>
        <w:rPr>
          <w:b/>
        </w:rPr>
      </w:pPr>
    </w:p>
    <w:p w:rsidR="007D46DA" w:rsidRPr="00C076D0" w:rsidRDefault="007D46DA" w:rsidP="007D46DA">
      <w:pPr>
        <w:rPr>
          <w:b/>
        </w:rPr>
      </w:pPr>
      <w:r w:rsidRPr="00C076D0">
        <w:rPr>
          <w:b/>
        </w:rPr>
        <w:t xml:space="preserve">Figure 2.2 Percentage of </w:t>
      </w:r>
      <w:r>
        <w:rPr>
          <w:b/>
        </w:rPr>
        <w:t>r</w:t>
      </w:r>
      <w:r w:rsidRPr="00C076D0">
        <w:rPr>
          <w:b/>
        </w:rPr>
        <w:t xml:space="preserve">oads </w:t>
      </w:r>
      <w:r>
        <w:rPr>
          <w:b/>
        </w:rPr>
        <w:t>p</w:t>
      </w:r>
      <w:r w:rsidRPr="00C076D0">
        <w:rPr>
          <w:b/>
        </w:rPr>
        <w:t xml:space="preserve">aved by region and income </w:t>
      </w:r>
      <w:r>
        <w:rPr>
          <w:b/>
        </w:rPr>
        <w:t>group: 1975, 1990, 2008</w:t>
      </w:r>
      <w:r w:rsidRPr="00C076D0">
        <w:rPr>
          <w:b/>
        </w:rPr>
        <w:t xml:space="preserve"> (no data for Europe and Central Asia prior to 1990)</w:t>
      </w:r>
    </w:p>
    <w:p w:rsidR="007D46DA" w:rsidRPr="00EF5D3E" w:rsidRDefault="007D46DA" w:rsidP="007D46DA">
      <w:pPr>
        <w:rPr>
          <w:i/>
        </w:rPr>
      </w:pPr>
      <w:r w:rsidRPr="003779E3">
        <w:rPr>
          <w:i/>
        </w:rPr>
        <w:t xml:space="preserve">Source: Data compiled by authors from Calderón (personal communication), Canning </w:t>
      </w:r>
      <w:r w:rsidR="00F7383F" w:rsidRPr="003779E3">
        <w:rPr>
          <w:i/>
        </w:rPr>
        <w:fldChar w:fldCharType="begin"/>
      </w:r>
      <w:r w:rsidRPr="003779E3">
        <w:rPr>
          <w:i/>
        </w:rPr>
        <w:instrText xml:space="preserve"> ADDIN ZOTERO_ITEM {"citationID":"fwZ01JwB","properties":{"formattedCitation":"(1998)","plainCitation":"(1998)"},"citationItems":[{"id":1067,"uris":["http://zotero.org/groups/4482/items/59NKURMC"],"uri":["http://zotero.org/groups/4482/items/59NKURMC"],"suppress-author":true}]} </w:instrText>
      </w:r>
      <w:r w:rsidR="00F7383F" w:rsidRPr="003779E3">
        <w:rPr>
          <w:i/>
        </w:rPr>
        <w:fldChar w:fldCharType="separate"/>
      </w:r>
      <w:r w:rsidRPr="003779E3">
        <w:rPr>
          <w:i/>
        </w:rPr>
        <w:t>(1998)</w:t>
      </w:r>
      <w:r w:rsidR="00F7383F" w:rsidRPr="003779E3">
        <w:rPr>
          <w:i/>
        </w:rPr>
        <w:fldChar w:fldCharType="end"/>
      </w:r>
      <w:r w:rsidRPr="003779E3">
        <w:rPr>
          <w:i/>
        </w:rPr>
        <w:t xml:space="preserve">, Canning and Farahani </w:t>
      </w:r>
      <w:r w:rsidR="00F7383F" w:rsidRPr="003779E3">
        <w:rPr>
          <w:i/>
        </w:rPr>
        <w:fldChar w:fldCharType="begin"/>
      </w:r>
      <w:r w:rsidRPr="003779E3">
        <w:rPr>
          <w:i/>
        </w:rPr>
        <w:instrText xml:space="preserve"> ADDIN ZOTERO_ITEM {"citationID":"Cg1UHGuB","properties":{"formattedCitation":"(2007)","plainCitation":"(2007)"},"citationItems":[{"id":500,"uris":["http://zotero.org/groups/4482/items/MSM7T659"],"uri":["http://zotero.org/groups/4482/items/MSM7T659"],"suppress-author":true}]} </w:instrText>
      </w:r>
      <w:r w:rsidR="00F7383F" w:rsidRPr="003779E3">
        <w:rPr>
          <w:i/>
        </w:rPr>
        <w:fldChar w:fldCharType="separate"/>
      </w:r>
      <w:r w:rsidRPr="003779E3">
        <w:rPr>
          <w:i/>
        </w:rPr>
        <w:t>(2007)</w:t>
      </w:r>
      <w:r w:rsidR="00F7383F" w:rsidRPr="003779E3">
        <w:rPr>
          <w:i/>
        </w:rPr>
        <w:fldChar w:fldCharType="end"/>
      </w:r>
      <w:r w:rsidRPr="003779E3">
        <w:rPr>
          <w:i/>
        </w:rPr>
        <w:t xml:space="preserve">, and various editions of the World Bank’s </w:t>
      </w:r>
      <w:r w:rsidRPr="00EF5D3E">
        <w:rPr>
          <w:i/>
        </w:rPr>
        <w:t>World Development Indicators</w:t>
      </w:r>
      <w:r w:rsidRPr="003779E3">
        <w:rPr>
          <w:i/>
        </w:rPr>
        <w:t>.</w:t>
      </w:r>
    </w:p>
    <w:p w:rsidR="007D46DA" w:rsidRPr="00EF5D3E" w:rsidRDefault="007D46DA" w:rsidP="007D46DA">
      <w:pPr>
        <w:rPr>
          <w:i/>
        </w:rPr>
      </w:pPr>
    </w:p>
    <w:p w:rsidR="007D46DA" w:rsidRDefault="007D46DA" w:rsidP="007D46DA">
      <w:r>
        <w:br w:type="page"/>
      </w:r>
    </w:p>
    <w:p w:rsidR="007D46DA" w:rsidRPr="00CA4EF3" w:rsidRDefault="007D46DA" w:rsidP="007D46DA">
      <w:r>
        <w:t>While t</w:t>
      </w:r>
      <w:r w:rsidRPr="00CA4EF3">
        <w:t xml:space="preserve">he overall growth in roads </w:t>
      </w:r>
      <w:r>
        <w:t>has been</w:t>
      </w:r>
      <w:r w:rsidRPr="00CA4EF3">
        <w:t xml:space="preserve"> significant, </w:t>
      </w:r>
      <w:r>
        <w:t xml:space="preserve">it has not </w:t>
      </w:r>
      <w:r w:rsidRPr="00CA4EF3">
        <w:t>ke</w:t>
      </w:r>
      <w:r>
        <w:t>pt</w:t>
      </w:r>
      <w:r w:rsidRPr="00CA4EF3">
        <w:t xml:space="preserve"> pace with population growth globally or in many regions (</w:t>
      </w:r>
      <w:r>
        <w:t>Table 2.4</w:t>
      </w:r>
      <w:r w:rsidRPr="00CA4EF3">
        <w:t xml:space="preserve">). Only East Asia and Pacific and South Asia saw any significant growth in roads per capita. </w:t>
      </w:r>
      <w:r>
        <w:t>All regions fared better in terms of paved roads per capita, but even here sub-Saharan Africa experienced a net decline. Their total and paved roads grew by 55 percent and 128 percent, respectively, but their population grew by 144 percent over this same period. In other regions, notably the high-income countries, the fairly slow growth in total roads per capita is more likely due to the saturation of the road network. The very large differences in density relative to population between the high-income and other regions, however, indicates that the latter are far from saturation</w:t>
      </w:r>
      <w:r w:rsidRPr="00CA4EF3">
        <w:t>.</w:t>
      </w:r>
    </w:p>
    <w:p w:rsidR="007D46DA" w:rsidRPr="00CA4EF3" w:rsidRDefault="007D46DA" w:rsidP="007D46DA">
      <w:pPr>
        <w:rPr>
          <w:noProof/>
        </w:rPr>
      </w:pPr>
    </w:p>
    <w:tbl>
      <w:tblPr>
        <w:tblW w:w="94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10"/>
        <w:gridCol w:w="1198"/>
        <w:gridCol w:w="32"/>
        <w:gridCol w:w="933"/>
        <w:gridCol w:w="57"/>
        <w:gridCol w:w="903"/>
        <w:gridCol w:w="9"/>
        <w:gridCol w:w="965"/>
        <w:gridCol w:w="966"/>
        <w:gridCol w:w="37"/>
        <w:gridCol w:w="1110"/>
      </w:tblGrid>
      <w:tr w:rsidR="007D46DA" w:rsidRPr="00CA4EF3">
        <w:trPr>
          <w:trHeight w:val="305"/>
          <w:jc w:val="center"/>
        </w:trPr>
        <w:tc>
          <w:tcPr>
            <w:tcW w:w="9420" w:type="dxa"/>
            <w:gridSpan w:val="11"/>
          </w:tcPr>
          <w:p w:rsidR="007D46DA" w:rsidRPr="00CA4EF3" w:rsidRDefault="007D46DA" w:rsidP="006B1499">
            <w:pPr>
              <w:autoSpaceDE w:val="0"/>
              <w:autoSpaceDN w:val="0"/>
              <w:adjustRightInd w:val="0"/>
              <w:rPr>
                <w:b/>
                <w:bCs/>
                <w:color w:val="000000"/>
                <w:sz w:val="22"/>
                <w:szCs w:val="22"/>
              </w:rPr>
            </w:pPr>
            <w:r w:rsidRPr="00CA4EF3">
              <w:rPr>
                <w:b/>
                <w:bCs/>
                <w:color w:val="000000"/>
                <w:sz w:val="22"/>
                <w:szCs w:val="22"/>
              </w:rPr>
              <w:t>Table 2.</w:t>
            </w:r>
            <w:r>
              <w:rPr>
                <w:b/>
                <w:bCs/>
                <w:color w:val="000000"/>
                <w:sz w:val="22"/>
                <w:szCs w:val="22"/>
              </w:rPr>
              <w:t>4</w:t>
            </w:r>
            <w:r w:rsidRPr="00CA4EF3">
              <w:rPr>
                <w:b/>
                <w:bCs/>
                <w:color w:val="000000"/>
                <w:sz w:val="22"/>
                <w:szCs w:val="22"/>
              </w:rPr>
              <w:t xml:space="preserve"> </w:t>
            </w:r>
            <w:r>
              <w:rPr>
                <w:b/>
                <w:bCs/>
                <w:color w:val="000000"/>
                <w:sz w:val="22"/>
                <w:szCs w:val="22"/>
              </w:rPr>
              <w:t>Per capita road density</w:t>
            </w:r>
          </w:p>
        </w:tc>
      </w:tr>
      <w:tr w:rsidR="007D46DA" w:rsidRPr="008A4D8E">
        <w:trPr>
          <w:trHeight w:val="305"/>
          <w:jc w:val="center"/>
        </w:trPr>
        <w:tc>
          <w:tcPr>
            <w:tcW w:w="3210" w:type="dxa"/>
          </w:tcPr>
          <w:p w:rsidR="007D46DA" w:rsidRPr="008A4D8E" w:rsidRDefault="007D46DA" w:rsidP="006B1499">
            <w:pPr>
              <w:autoSpaceDE w:val="0"/>
              <w:autoSpaceDN w:val="0"/>
              <w:adjustRightInd w:val="0"/>
              <w:rPr>
                <w:bCs/>
                <w:color w:val="000000"/>
                <w:sz w:val="22"/>
                <w:szCs w:val="22"/>
              </w:rPr>
            </w:pPr>
          </w:p>
        </w:tc>
        <w:tc>
          <w:tcPr>
            <w:tcW w:w="3132" w:type="dxa"/>
            <w:gridSpan w:val="6"/>
          </w:tcPr>
          <w:p w:rsidR="007D46DA" w:rsidRPr="008A4D8E" w:rsidRDefault="007D46DA" w:rsidP="006B1499">
            <w:pPr>
              <w:autoSpaceDE w:val="0"/>
              <w:autoSpaceDN w:val="0"/>
              <w:adjustRightInd w:val="0"/>
              <w:jc w:val="center"/>
              <w:rPr>
                <w:bCs/>
                <w:color w:val="000000"/>
                <w:sz w:val="22"/>
                <w:szCs w:val="22"/>
              </w:rPr>
            </w:pPr>
            <w:r w:rsidRPr="008A4D8E">
              <w:rPr>
                <w:bCs/>
                <w:color w:val="000000"/>
                <w:sz w:val="22"/>
                <w:szCs w:val="22"/>
              </w:rPr>
              <w:t xml:space="preserve">Total </w:t>
            </w:r>
            <w:r>
              <w:rPr>
                <w:bCs/>
                <w:color w:val="000000"/>
                <w:sz w:val="22"/>
                <w:szCs w:val="22"/>
              </w:rPr>
              <w:t>r</w:t>
            </w:r>
            <w:r w:rsidRPr="008A4D8E">
              <w:rPr>
                <w:bCs/>
                <w:color w:val="000000"/>
                <w:sz w:val="22"/>
                <w:szCs w:val="22"/>
              </w:rPr>
              <w:t>oads</w:t>
            </w:r>
          </w:p>
          <w:p w:rsidR="007D46DA" w:rsidRPr="008A4D8E" w:rsidRDefault="007D46DA" w:rsidP="006B1499">
            <w:pPr>
              <w:autoSpaceDE w:val="0"/>
              <w:autoSpaceDN w:val="0"/>
              <w:adjustRightInd w:val="0"/>
              <w:jc w:val="center"/>
              <w:rPr>
                <w:bCs/>
                <w:color w:val="000000"/>
                <w:sz w:val="22"/>
                <w:szCs w:val="22"/>
              </w:rPr>
            </w:pPr>
            <w:r w:rsidRPr="008A4D8E">
              <w:rPr>
                <w:bCs/>
                <w:color w:val="000000"/>
                <w:sz w:val="22"/>
                <w:szCs w:val="22"/>
              </w:rPr>
              <w:t>(Kilometers per 1</w:t>
            </w:r>
            <w:r>
              <w:rPr>
                <w:bCs/>
                <w:color w:val="000000"/>
                <w:sz w:val="22"/>
                <w:szCs w:val="22"/>
              </w:rPr>
              <w:t>,</w:t>
            </w:r>
            <w:r w:rsidRPr="008A4D8E">
              <w:rPr>
                <w:bCs/>
                <w:color w:val="000000"/>
                <w:sz w:val="22"/>
                <w:szCs w:val="22"/>
              </w:rPr>
              <w:t>000 persons)</w:t>
            </w:r>
          </w:p>
        </w:tc>
        <w:tc>
          <w:tcPr>
            <w:tcW w:w="3078" w:type="dxa"/>
            <w:gridSpan w:val="4"/>
          </w:tcPr>
          <w:p w:rsidR="007D46DA" w:rsidRPr="008A4D8E" w:rsidRDefault="007D46DA" w:rsidP="006B1499">
            <w:pPr>
              <w:autoSpaceDE w:val="0"/>
              <w:autoSpaceDN w:val="0"/>
              <w:adjustRightInd w:val="0"/>
              <w:jc w:val="center"/>
              <w:rPr>
                <w:bCs/>
                <w:color w:val="000000"/>
                <w:sz w:val="22"/>
                <w:szCs w:val="22"/>
              </w:rPr>
            </w:pPr>
            <w:r w:rsidRPr="008A4D8E">
              <w:rPr>
                <w:bCs/>
                <w:color w:val="000000"/>
                <w:sz w:val="22"/>
                <w:szCs w:val="22"/>
              </w:rPr>
              <w:t xml:space="preserve">Paved </w:t>
            </w:r>
            <w:r>
              <w:rPr>
                <w:bCs/>
                <w:color w:val="000000"/>
                <w:sz w:val="22"/>
                <w:szCs w:val="22"/>
              </w:rPr>
              <w:t>r</w:t>
            </w:r>
            <w:r w:rsidRPr="008A4D8E">
              <w:rPr>
                <w:bCs/>
                <w:color w:val="000000"/>
                <w:sz w:val="22"/>
                <w:szCs w:val="22"/>
              </w:rPr>
              <w:t>oads</w:t>
            </w:r>
          </w:p>
          <w:p w:rsidR="007D46DA" w:rsidRPr="008A4D8E" w:rsidRDefault="007D46DA" w:rsidP="006B1499">
            <w:pPr>
              <w:autoSpaceDE w:val="0"/>
              <w:autoSpaceDN w:val="0"/>
              <w:adjustRightInd w:val="0"/>
              <w:jc w:val="center"/>
              <w:rPr>
                <w:bCs/>
                <w:color w:val="000000"/>
                <w:sz w:val="22"/>
                <w:szCs w:val="22"/>
              </w:rPr>
            </w:pPr>
            <w:r w:rsidRPr="008A4D8E">
              <w:rPr>
                <w:bCs/>
                <w:color w:val="000000"/>
                <w:sz w:val="22"/>
                <w:szCs w:val="22"/>
              </w:rPr>
              <w:t>(Kilometers per 1</w:t>
            </w:r>
            <w:r>
              <w:rPr>
                <w:bCs/>
                <w:color w:val="000000"/>
                <w:sz w:val="22"/>
                <w:szCs w:val="22"/>
              </w:rPr>
              <w:t>,</w:t>
            </w:r>
            <w:r w:rsidRPr="008A4D8E">
              <w:rPr>
                <w:bCs/>
                <w:color w:val="000000"/>
                <w:sz w:val="22"/>
                <w:szCs w:val="22"/>
              </w:rPr>
              <w:t>000 persons)</w:t>
            </w:r>
          </w:p>
        </w:tc>
      </w:tr>
      <w:tr w:rsidR="007D46DA" w:rsidRPr="008A4D8E">
        <w:trPr>
          <w:trHeight w:val="305"/>
          <w:jc w:val="center"/>
        </w:trPr>
        <w:tc>
          <w:tcPr>
            <w:tcW w:w="3210" w:type="dxa"/>
          </w:tcPr>
          <w:p w:rsidR="007D46DA" w:rsidRPr="008A4D8E" w:rsidRDefault="007D46DA" w:rsidP="006B1499">
            <w:pPr>
              <w:autoSpaceDE w:val="0"/>
              <w:autoSpaceDN w:val="0"/>
              <w:adjustRightInd w:val="0"/>
              <w:rPr>
                <w:bCs/>
                <w:color w:val="000000"/>
                <w:sz w:val="22"/>
                <w:szCs w:val="22"/>
              </w:rPr>
            </w:pPr>
          </w:p>
        </w:tc>
        <w:tc>
          <w:tcPr>
            <w:tcW w:w="1198" w:type="dxa"/>
            <w:vAlign w:val="bottom"/>
          </w:tcPr>
          <w:p w:rsidR="007D46DA" w:rsidRPr="008A4D8E" w:rsidRDefault="007D46DA" w:rsidP="006B1499">
            <w:pPr>
              <w:autoSpaceDE w:val="0"/>
              <w:autoSpaceDN w:val="0"/>
              <w:adjustRightInd w:val="0"/>
              <w:jc w:val="center"/>
              <w:rPr>
                <w:bCs/>
                <w:color w:val="000000"/>
                <w:sz w:val="22"/>
                <w:szCs w:val="22"/>
              </w:rPr>
            </w:pPr>
            <w:r w:rsidRPr="008A4D8E">
              <w:rPr>
                <w:bCs/>
                <w:color w:val="000000"/>
                <w:sz w:val="22"/>
                <w:szCs w:val="22"/>
              </w:rPr>
              <w:t>1975</w:t>
            </w:r>
          </w:p>
        </w:tc>
        <w:tc>
          <w:tcPr>
            <w:tcW w:w="965" w:type="dxa"/>
            <w:gridSpan w:val="2"/>
            <w:vAlign w:val="bottom"/>
          </w:tcPr>
          <w:p w:rsidR="007D46DA" w:rsidRPr="008A4D8E" w:rsidRDefault="007D46DA" w:rsidP="006B1499">
            <w:pPr>
              <w:autoSpaceDE w:val="0"/>
              <w:autoSpaceDN w:val="0"/>
              <w:adjustRightInd w:val="0"/>
              <w:jc w:val="center"/>
              <w:rPr>
                <w:bCs/>
                <w:color w:val="000000"/>
                <w:sz w:val="22"/>
                <w:szCs w:val="22"/>
              </w:rPr>
            </w:pPr>
            <w:r w:rsidRPr="008A4D8E">
              <w:rPr>
                <w:bCs/>
                <w:color w:val="000000"/>
                <w:sz w:val="22"/>
                <w:szCs w:val="22"/>
              </w:rPr>
              <w:t>1990</w:t>
            </w:r>
          </w:p>
        </w:tc>
        <w:tc>
          <w:tcPr>
            <w:tcW w:w="969" w:type="dxa"/>
            <w:gridSpan w:val="3"/>
            <w:vAlign w:val="bottom"/>
          </w:tcPr>
          <w:p w:rsidR="007D46DA" w:rsidRPr="008A4D8E" w:rsidRDefault="007D46DA" w:rsidP="006B1499">
            <w:pPr>
              <w:autoSpaceDE w:val="0"/>
              <w:autoSpaceDN w:val="0"/>
              <w:adjustRightInd w:val="0"/>
              <w:jc w:val="center"/>
              <w:rPr>
                <w:bCs/>
                <w:color w:val="000000"/>
                <w:sz w:val="22"/>
                <w:szCs w:val="22"/>
              </w:rPr>
            </w:pPr>
            <w:r w:rsidRPr="008A4D8E">
              <w:rPr>
                <w:bCs/>
                <w:color w:val="000000"/>
                <w:sz w:val="22"/>
                <w:szCs w:val="22"/>
              </w:rPr>
              <w:t>2008</w:t>
            </w:r>
          </w:p>
        </w:tc>
        <w:tc>
          <w:tcPr>
            <w:tcW w:w="965" w:type="dxa"/>
            <w:vAlign w:val="bottom"/>
          </w:tcPr>
          <w:p w:rsidR="007D46DA" w:rsidRPr="008A4D8E" w:rsidRDefault="007D46DA" w:rsidP="006B1499">
            <w:pPr>
              <w:autoSpaceDE w:val="0"/>
              <w:autoSpaceDN w:val="0"/>
              <w:adjustRightInd w:val="0"/>
              <w:jc w:val="center"/>
              <w:rPr>
                <w:bCs/>
                <w:color w:val="000000"/>
                <w:sz w:val="22"/>
                <w:szCs w:val="22"/>
              </w:rPr>
            </w:pPr>
            <w:r w:rsidRPr="008A4D8E">
              <w:rPr>
                <w:bCs/>
                <w:color w:val="000000"/>
                <w:sz w:val="22"/>
                <w:szCs w:val="22"/>
              </w:rPr>
              <w:t>1975</w:t>
            </w:r>
          </w:p>
        </w:tc>
        <w:tc>
          <w:tcPr>
            <w:tcW w:w="966" w:type="dxa"/>
            <w:vAlign w:val="bottom"/>
          </w:tcPr>
          <w:p w:rsidR="007D46DA" w:rsidRPr="008A4D8E" w:rsidRDefault="007D46DA" w:rsidP="006B1499">
            <w:pPr>
              <w:autoSpaceDE w:val="0"/>
              <w:autoSpaceDN w:val="0"/>
              <w:adjustRightInd w:val="0"/>
              <w:jc w:val="center"/>
              <w:rPr>
                <w:bCs/>
                <w:color w:val="000000"/>
                <w:sz w:val="22"/>
                <w:szCs w:val="22"/>
              </w:rPr>
            </w:pPr>
            <w:r w:rsidRPr="008A4D8E">
              <w:rPr>
                <w:bCs/>
                <w:color w:val="000000"/>
                <w:sz w:val="22"/>
                <w:szCs w:val="22"/>
              </w:rPr>
              <w:t>1990</w:t>
            </w:r>
          </w:p>
        </w:tc>
        <w:tc>
          <w:tcPr>
            <w:tcW w:w="1147" w:type="dxa"/>
            <w:gridSpan w:val="2"/>
            <w:vAlign w:val="bottom"/>
          </w:tcPr>
          <w:p w:rsidR="007D46DA" w:rsidRPr="008A4D8E" w:rsidRDefault="007D46DA" w:rsidP="006B1499">
            <w:pPr>
              <w:autoSpaceDE w:val="0"/>
              <w:autoSpaceDN w:val="0"/>
              <w:adjustRightInd w:val="0"/>
              <w:jc w:val="center"/>
              <w:rPr>
                <w:bCs/>
                <w:color w:val="000000"/>
                <w:sz w:val="22"/>
                <w:szCs w:val="22"/>
              </w:rPr>
            </w:pPr>
            <w:r w:rsidRPr="008A4D8E">
              <w:rPr>
                <w:bCs/>
                <w:color w:val="000000"/>
                <w:sz w:val="22"/>
                <w:szCs w:val="22"/>
              </w:rPr>
              <w:t>2008</w:t>
            </w:r>
          </w:p>
        </w:tc>
      </w:tr>
      <w:tr w:rsidR="007D46DA" w:rsidRPr="008A4D8E">
        <w:trPr>
          <w:trHeight w:val="305"/>
          <w:jc w:val="center"/>
        </w:trPr>
        <w:tc>
          <w:tcPr>
            <w:tcW w:w="9420" w:type="dxa"/>
            <w:gridSpan w:val="11"/>
            <w:shd w:val="clear" w:color="auto" w:fill="D9D9D9" w:themeFill="background1" w:themeFillShade="D9"/>
            <w:vAlign w:val="center"/>
          </w:tcPr>
          <w:p w:rsidR="007D46DA" w:rsidRPr="008A4D8E" w:rsidRDefault="007D46DA" w:rsidP="006B1499">
            <w:pPr>
              <w:autoSpaceDE w:val="0"/>
              <w:autoSpaceDN w:val="0"/>
              <w:adjustRightInd w:val="0"/>
              <w:jc w:val="center"/>
              <w:rPr>
                <w:color w:val="000000"/>
                <w:sz w:val="22"/>
                <w:szCs w:val="22"/>
              </w:rPr>
            </w:pPr>
            <w:r w:rsidRPr="008A4D8E" w:rsidDel="000611F6">
              <w:rPr>
                <w:bCs/>
                <w:color w:val="000000"/>
                <w:sz w:val="22"/>
                <w:szCs w:val="22"/>
              </w:rPr>
              <w:t xml:space="preserve">By </w:t>
            </w:r>
            <w:r>
              <w:rPr>
                <w:bCs/>
                <w:color w:val="000000"/>
                <w:sz w:val="22"/>
                <w:szCs w:val="22"/>
              </w:rPr>
              <w:t>r</w:t>
            </w:r>
            <w:r w:rsidRPr="008A4D8E" w:rsidDel="000611F6">
              <w:rPr>
                <w:bCs/>
                <w:color w:val="000000"/>
                <w:sz w:val="22"/>
                <w:szCs w:val="22"/>
              </w:rPr>
              <w:t>egion</w:t>
            </w:r>
          </w:p>
        </w:tc>
      </w:tr>
      <w:tr w:rsidR="007D46DA" w:rsidRPr="00CA4EF3">
        <w:trPr>
          <w:trHeight w:val="305"/>
          <w:jc w:val="center"/>
        </w:trPr>
        <w:tc>
          <w:tcPr>
            <w:tcW w:w="3210" w:type="dxa"/>
          </w:tcPr>
          <w:p w:rsidR="007D46DA" w:rsidRPr="00CA4EF3" w:rsidRDefault="007D46DA" w:rsidP="006B1499">
            <w:pPr>
              <w:autoSpaceDE w:val="0"/>
              <w:autoSpaceDN w:val="0"/>
              <w:adjustRightInd w:val="0"/>
              <w:rPr>
                <w:color w:val="000000"/>
                <w:sz w:val="22"/>
                <w:szCs w:val="22"/>
              </w:rPr>
            </w:pPr>
            <w:r w:rsidRPr="00CA4EF3">
              <w:rPr>
                <w:color w:val="000000"/>
                <w:sz w:val="22"/>
                <w:szCs w:val="22"/>
              </w:rPr>
              <w:t>East Asia and Pacific</w:t>
            </w:r>
          </w:p>
        </w:tc>
        <w:tc>
          <w:tcPr>
            <w:tcW w:w="1230" w:type="dxa"/>
            <w:gridSpan w:val="2"/>
            <w:vAlign w:val="center"/>
          </w:tcPr>
          <w:p w:rsidR="007D46DA" w:rsidRDefault="007D46DA" w:rsidP="006B1499">
            <w:pPr>
              <w:jc w:val="center"/>
              <w:rPr>
                <w:rFonts w:ascii="Arial" w:hAnsi="Arial" w:cs="Arial"/>
                <w:sz w:val="20"/>
              </w:rPr>
            </w:pPr>
            <w:r>
              <w:rPr>
                <w:rFonts w:ascii="Arial" w:hAnsi="Arial" w:cs="Arial"/>
                <w:sz w:val="20"/>
              </w:rPr>
              <w:t>0.89</w:t>
            </w:r>
          </w:p>
        </w:tc>
        <w:tc>
          <w:tcPr>
            <w:tcW w:w="990" w:type="dxa"/>
            <w:gridSpan w:val="2"/>
            <w:vAlign w:val="center"/>
          </w:tcPr>
          <w:p w:rsidR="007D46DA" w:rsidRDefault="007D46DA" w:rsidP="006B1499">
            <w:pPr>
              <w:jc w:val="center"/>
              <w:rPr>
                <w:rFonts w:ascii="Arial" w:hAnsi="Arial" w:cs="Arial"/>
                <w:sz w:val="20"/>
              </w:rPr>
            </w:pPr>
            <w:r>
              <w:rPr>
                <w:rFonts w:ascii="Arial" w:hAnsi="Arial" w:cs="Arial"/>
                <w:sz w:val="20"/>
              </w:rPr>
              <w:t>1.20</w:t>
            </w:r>
          </w:p>
        </w:tc>
        <w:tc>
          <w:tcPr>
            <w:tcW w:w="903" w:type="dxa"/>
            <w:shd w:val="clear" w:color="auto" w:fill="auto"/>
            <w:vAlign w:val="center"/>
          </w:tcPr>
          <w:p w:rsidR="007D46DA" w:rsidRDefault="007D46DA" w:rsidP="006B1499">
            <w:pPr>
              <w:jc w:val="center"/>
              <w:rPr>
                <w:rFonts w:ascii="Arial" w:hAnsi="Arial" w:cs="Arial"/>
                <w:sz w:val="20"/>
              </w:rPr>
            </w:pPr>
            <w:r>
              <w:rPr>
                <w:rFonts w:ascii="Arial" w:hAnsi="Arial" w:cs="Arial"/>
                <w:sz w:val="20"/>
              </w:rPr>
              <w:t>2.52</w:t>
            </w:r>
          </w:p>
        </w:tc>
        <w:tc>
          <w:tcPr>
            <w:tcW w:w="974" w:type="dxa"/>
            <w:gridSpan w:val="2"/>
            <w:vAlign w:val="center"/>
          </w:tcPr>
          <w:p w:rsidR="007D46DA" w:rsidRDefault="007D46DA" w:rsidP="006B1499">
            <w:pPr>
              <w:jc w:val="center"/>
              <w:rPr>
                <w:rFonts w:ascii="Arial" w:hAnsi="Arial" w:cs="Arial"/>
                <w:sz w:val="20"/>
              </w:rPr>
            </w:pPr>
            <w:r>
              <w:rPr>
                <w:rFonts w:ascii="Arial" w:hAnsi="Arial" w:cs="Arial"/>
                <w:sz w:val="20"/>
              </w:rPr>
              <w:t>0.15</w:t>
            </w:r>
          </w:p>
        </w:tc>
        <w:tc>
          <w:tcPr>
            <w:tcW w:w="1003" w:type="dxa"/>
            <w:gridSpan w:val="2"/>
            <w:vAlign w:val="center"/>
          </w:tcPr>
          <w:p w:rsidR="007D46DA" w:rsidRDefault="007D46DA" w:rsidP="006B1499">
            <w:pPr>
              <w:jc w:val="center"/>
              <w:rPr>
                <w:rFonts w:ascii="Arial" w:hAnsi="Arial" w:cs="Arial"/>
                <w:sz w:val="20"/>
              </w:rPr>
            </w:pPr>
            <w:r>
              <w:rPr>
                <w:rFonts w:ascii="Arial" w:hAnsi="Arial" w:cs="Arial"/>
                <w:sz w:val="20"/>
              </w:rPr>
              <w:t>0.32</w:t>
            </w:r>
          </w:p>
        </w:tc>
        <w:tc>
          <w:tcPr>
            <w:tcW w:w="1110" w:type="dxa"/>
            <w:shd w:val="clear" w:color="auto" w:fill="auto"/>
            <w:vAlign w:val="center"/>
          </w:tcPr>
          <w:p w:rsidR="007D46DA" w:rsidRDefault="007D46DA" w:rsidP="006B1499">
            <w:pPr>
              <w:jc w:val="center"/>
              <w:rPr>
                <w:rFonts w:ascii="Arial" w:hAnsi="Arial" w:cs="Arial"/>
                <w:sz w:val="20"/>
              </w:rPr>
            </w:pPr>
            <w:r>
              <w:rPr>
                <w:rFonts w:ascii="Arial" w:hAnsi="Arial" w:cs="Arial"/>
                <w:sz w:val="20"/>
              </w:rPr>
              <w:t>1.35</w:t>
            </w:r>
          </w:p>
        </w:tc>
      </w:tr>
      <w:tr w:rsidR="007D46DA" w:rsidRPr="00CA4EF3">
        <w:trPr>
          <w:trHeight w:val="305"/>
          <w:jc w:val="center"/>
        </w:trPr>
        <w:tc>
          <w:tcPr>
            <w:tcW w:w="3210" w:type="dxa"/>
          </w:tcPr>
          <w:p w:rsidR="007D46DA" w:rsidRPr="00CA4EF3" w:rsidRDefault="007D46DA" w:rsidP="006B1499">
            <w:pPr>
              <w:autoSpaceDE w:val="0"/>
              <w:autoSpaceDN w:val="0"/>
              <w:adjustRightInd w:val="0"/>
              <w:rPr>
                <w:color w:val="000000"/>
                <w:sz w:val="22"/>
                <w:szCs w:val="22"/>
              </w:rPr>
            </w:pPr>
            <w:r w:rsidRPr="00CA4EF3">
              <w:rPr>
                <w:color w:val="000000"/>
                <w:sz w:val="22"/>
                <w:szCs w:val="22"/>
              </w:rPr>
              <w:t>Europe and Central Asia</w:t>
            </w:r>
          </w:p>
        </w:tc>
        <w:tc>
          <w:tcPr>
            <w:tcW w:w="1230" w:type="dxa"/>
            <w:gridSpan w:val="2"/>
            <w:vAlign w:val="center"/>
          </w:tcPr>
          <w:p w:rsidR="007D46DA" w:rsidRDefault="007D46DA" w:rsidP="006B1499">
            <w:pPr>
              <w:jc w:val="center"/>
              <w:rPr>
                <w:rFonts w:ascii="Arial" w:hAnsi="Arial" w:cs="Arial"/>
                <w:sz w:val="20"/>
              </w:rPr>
            </w:pPr>
            <w:r>
              <w:rPr>
                <w:rFonts w:ascii="Arial" w:hAnsi="Arial" w:cs="Arial"/>
                <w:sz w:val="20"/>
              </w:rPr>
              <w:t>6.02</w:t>
            </w:r>
          </w:p>
        </w:tc>
        <w:tc>
          <w:tcPr>
            <w:tcW w:w="990" w:type="dxa"/>
            <w:gridSpan w:val="2"/>
            <w:vAlign w:val="center"/>
          </w:tcPr>
          <w:p w:rsidR="007D46DA" w:rsidRDefault="007D46DA" w:rsidP="006B1499">
            <w:pPr>
              <w:jc w:val="center"/>
              <w:rPr>
                <w:rFonts w:ascii="Arial" w:hAnsi="Arial" w:cs="Arial"/>
                <w:sz w:val="20"/>
              </w:rPr>
            </w:pPr>
            <w:r>
              <w:rPr>
                <w:rFonts w:ascii="Arial" w:hAnsi="Arial" w:cs="Arial"/>
                <w:sz w:val="20"/>
              </w:rPr>
              <w:t>6.07</w:t>
            </w:r>
          </w:p>
        </w:tc>
        <w:tc>
          <w:tcPr>
            <w:tcW w:w="903" w:type="dxa"/>
            <w:shd w:val="clear" w:color="auto" w:fill="auto"/>
            <w:vAlign w:val="center"/>
          </w:tcPr>
          <w:p w:rsidR="007D46DA" w:rsidRDefault="007D46DA" w:rsidP="006B1499">
            <w:pPr>
              <w:jc w:val="center"/>
              <w:rPr>
                <w:rFonts w:ascii="Arial" w:hAnsi="Arial" w:cs="Arial"/>
                <w:sz w:val="20"/>
              </w:rPr>
            </w:pPr>
            <w:r>
              <w:rPr>
                <w:rFonts w:ascii="Arial" w:hAnsi="Arial" w:cs="Arial"/>
                <w:sz w:val="20"/>
              </w:rPr>
              <w:t>5.78</w:t>
            </w:r>
          </w:p>
        </w:tc>
        <w:tc>
          <w:tcPr>
            <w:tcW w:w="974" w:type="dxa"/>
            <w:gridSpan w:val="2"/>
            <w:vAlign w:val="center"/>
          </w:tcPr>
          <w:p w:rsidR="007D46DA" w:rsidRDefault="007D46DA" w:rsidP="006B1499">
            <w:pPr>
              <w:jc w:val="center"/>
              <w:rPr>
                <w:rFonts w:ascii="Arial" w:hAnsi="Arial" w:cs="Arial"/>
                <w:sz w:val="20"/>
              </w:rPr>
            </w:pPr>
            <w:r>
              <w:rPr>
                <w:rFonts w:ascii="Arial" w:hAnsi="Arial" w:cs="Arial"/>
                <w:sz w:val="20"/>
              </w:rPr>
              <w:t>*</w:t>
            </w:r>
          </w:p>
        </w:tc>
        <w:tc>
          <w:tcPr>
            <w:tcW w:w="1003" w:type="dxa"/>
            <w:gridSpan w:val="2"/>
            <w:vAlign w:val="center"/>
          </w:tcPr>
          <w:p w:rsidR="007D46DA" w:rsidRDefault="007D46DA" w:rsidP="006B1499">
            <w:pPr>
              <w:jc w:val="center"/>
              <w:rPr>
                <w:rFonts w:ascii="Arial" w:hAnsi="Arial" w:cs="Arial"/>
                <w:sz w:val="20"/>
              </w:rPr>
            </w:pPr>
            <w:r>
              <w:rPr>
                <w:rFonts w:ascii="Arial" w:hAnsi="Arial" w:cs="Arial"/>
                <w:sz w:val="20"/>
              </w:rPr>
              <w:t>3.80</w:t>
            </w:r>
          </w:p>
        </w:tc>
        <w:tc>
          <w:tcPr>
            <w:tcW w:w="1110" w:type="dxa"/>
            <w:shd w:val="clear" w:color="auto" w:fill="auto"/>
            <w:vAlign w:val="center"/>
          </w:tcPr>
          <w:p w:rsidR="007D46DA" w:rsidRDefault="007D46DA" w:rsidP="006B1499">
            <w:pPr>
              <w:jc w:val="center"/>
              <w:rPr>
                <w:rFonts w:ascii="Arial" w:hAnsi="Arial" w:cs="Arial"/>
                <w:sz w:val="20"/>
              </w:rPr>
            </w:pPr>
            <w:r>
              <w:rPr>
                <w:rFonts w:ascii="Arial" w:hAnsi="Arial" w:cs="Arial"/>
                <w:sz w:val="20"/>
              </w:rPr>
              <w:t>3.87</w:t>
            </w:r>
          </w:p>
        </w:tc>
      </w:tr>
      <w:tr w:rsidR="007D46DA" w:rsidRPr="00CA4EF3">
        <w:trPr>
          <w:trHeight w:val="305"/>
          <w:jc w:val="center"/>
        </w:trPr>
        <w:tc>
          <w:tcPr>
            <w:tcW w:w="3210" w:type="dxa"/>
          </w:tcPr>
          <w:p w:rsidR="007D46DA" w:rsidRPr="00CA4EF3" w:rsidRDefault="007D46DA" w:rsidP="006B1499">
            <w:pPr>
              <w:autoSpaceDE w:val="0"/>
              <w:autoSpaceDN w:val="0"/>
              <w:adjustRightInd w:val="0"/>
              <w:rPr>
                <w:color w:val="000000"/>
                <w:sz w:val="22"/>
                <w:szCs w:val="22"/>
              </w:rPr>
            </w:pPr>
            <w:r w:rsidRPr="00CA4EF3">
              <w:rPr>
                <w:color w:val="000000"/>
                <w:sz w:val="22"/>
                <w:szCs w:val="22"/>
              </w:rPr>
              <w:t>Latin America and the Caribbean</w:t>
            </w:r>
          </w:p>
        </w:tc>
        <w:tc>
          <w:tcPr>
            <w:tcW w:w="1230" w:type="dxa"/>
            <w:gridSpan w:val="2"/>
            <w:vAlign w:val="center"/>
          </w:tcPr>
          <w:p w:rsidR="007D46DA" w:rsidRDefault="007D46DA" w:rsidP="006B1499">
            <w:pPr>
              <w:jc w:val="center"/>
              <w:rPr>
                <w:rFonts w:ascii="Arial" w:hAnsi="Arial" w:cs="Arial"/>
                <w:sz w:val="20"/>
              </w:rPr>
            </w:pPr>
            <w:r>
              <w:rPr>
                <w:rFonts w:ascii="Arial" w:hAnsi="Arial" w:cs="Arial"/>
                <w:sz w:val="20"/>
              </w:rPr>
              <w:t>4.55</w:t>
            </w:r>
          </w:p>
        </w:tc>
        <w:tc>
          <w:tcPr>
            <w:tcW w:w="990" w:type="dxa"/>
            <w:gridSpan w:val="2"/>
            <w:vAlign w:val="center"/>
          </w:tcPr>
          <w:p w:rsidR="007D46DA" w:rsidRDefault="007D46DA" w:rsidP="006B1499">
            <w:pPr>
              <w:jc w:val="center"/>
              <w:rPr>
                <w:rFonts w:ascii="Arial" w:hAnsi="Arial" w:cs="Arial"/>
                <w:sz w:val="20"/>
              </w:rPr>
            </w:pPr>
            <w:r>
              <w:rPr>
                <w:rFonts w:ascii="Arial" w:hAnsi="Arial" w:cs="Arial"/>
                <w:sz w:val="20"/>
              </w:rPr>
              <w:t>4.07</w:t>
            </w:r>
          </w:p>
        </w:tc>
        <w:tc>
          <w:tcPr>
            <w:tcW w:w="903" w:type="dxa"/>
            <w:shd w:val="clear" w:color="auto" w:fill="auto"/>
            <w:vAlign w:val="center"/>
          </w:tcPr>
          <w:p w:rsidR="007D46DA" w:rsidRDefault="007D46DA" w:rsidP="006B1499">
            <w:pPr>
              <w:jc w:val="center"/>
              <w:rPr>
                <w:rFonts w:ascii="Arial" w:hAnsi="Arial" w:cs="Arial"/>
                <w:sz w:val="20"/>
              </w:rPr>
            </w:pPr>
            <w:r>
              <w:rPr>
                <w:rFonts w:ascii="Arial" w:hAnsi="Arial" w:cs="Arial"/>
                <w:sz w:val="20"/>
              </w:rPr>
              <w:t>3.64</w:t>
            </w:r>
          </w:p>
        </w:tc>
        <w:tc>
          <w:tcPr>
            <w:tcW w:w="974" w:type="dxa"/>
            <w:gridSpan w:val="2"/>
            <w:vAlign w:val="center"/>
          </w:tcPr>
          <w:p w:rsidR="007D46DA" w:rsidRDefault="007D46DA" w:rsidP="006B1499">
            <w:pPr>
              <w:jc w:val="center"/>
              <w:rPr>
                <w:rFonts w:ascii="Arial" w:hAnsi="Arial" w:cs="Arial"/>
                <w:sz w:val="20"/>
              </w:rPr>
            </w:pPr>
            <w:r>
              <w:rPr>
                <w:rFonts w:ascii="Arial" w:hAnsi="Arial" w:cs="Arial"/>
                <w:sz w:val="20"/>
              </w:rPr>
              <w:t>0.46</w:t>
            </w:r>
          </w:p>
        </w:tc>
        <w:tc>
          <w:tcPr>
            <w:tcW w:w="1003" w:type="dxa"/>
            <w:gridSpan w:val="2"/>
            <w:vAlign w:val="center"/>
          </w:tcPr>
          <w:p w:rsidR="007D46DA" w:rsidRDefault="007D46DA" w:rsidP="006B1499">
            <w:pPr>
              <w:jc w:val="center"/>
              <w:rPr>
                <w:rFonts w:ascii="Arial" w:hAnsi="Arial" w:cs="Arial"/>
                <w:sz w:val="20"/>
              </w:rPr>
            </w:pPr>
            <w:r>
              <w:rPr>
                <w:rFonts w:ascii="Arial" w:hAnsi="Arial" w:cs="Arial"/>
                <w:sz w:val="20"/>
              </w:rPr>
              <w:t>0.59</w:t>
            </w:r>
          </w:p>
        </w:tc>
        <w:tc>
          <w:tcPr>
            <w:tcW w:w="1110" w:type="dxa"/>
            <w:shd w:val="clear" w:color="auto" w:fill="auto"/>
            <w:vAlign w:val="center"/>
          </w:tcPr>
          <w:p w:rsidR="007D46DA" w:rsidRDefault="007D46DA" w:rsidP="006B1499">
            <w:pPr>
              <w:jc w:val="center"/>
              <w:rPr>
                <w:rFonts w:ascii="Arial" w:hAnsi="Arial" w:cs="Arial"/>
                <w:sz w:val="20"/>
              </w:rPr>
            </w:pPr>
            <w:r>
              <w:rPr>
                <w:rFonts w:ascii="Arial" w:hAnsi="Arial" w:cs="Arial"/>
                <w:sz w:val="20"/>
              </w:rPr>
              <w:t>0.59</w:t>
            </w:r>
          </w:p>
        </w:tc>
      </w:tr>
      <w:tr w:rsidR="007D46DA" w:rsidRPr="00CA4EF3">
        <w:trPr>
          <w:trHeight w:val="305"/>
          <w:jc w:val="center"/>
        </w:trPr>
        <w:tc>
          <w:tcPr>
            <w:tcW w:w="3210" w:type="dxa"/>
          </w:tcPr>
          <w:p w:rsidR="007D46DA" w:rsidRPr="00CA4EF3" w:rsidRDefault="007D46DA" w:rsidP="006B1499">
            <w:pPr>
              <w:autoSpaceDE w:val="0"/>
              <w:autoSpaceDN w:val="0"/>
              <w:adjustRightInd w:val="0"/>
              <w:rPr>
                <w:color w:val="000000"/>
                <w:sz w:val="22"/>
                <w:szCs w:val="22"/>
              </w:rPr>
            </w:pPr>
            <w:r w:rsidRPr="00CA4EF3">
              <w:rPr>
                <w:color w:val="000000"/>
                <w:sz w:val="22"/>
                <w:szCs w:val="22"/>
              </w:rPr>
              <w:t>Middle East and North Africa</w:t>
            </w:r>
          </w:p>
        </w:tc>
        <w:tc>
          <w:tcPr>
            <w:tcW w:w="1230" w:type="dxa"/>
            <w:gridSpan w:val="2"/>
            <w:vAlign w:val="center"/>
          </w:tcPr>
          <w:p w:rsidR="007D46DA" w:rsidRDefault="007D46DA" w:rsidP="006B1499">
            <w:pPr>
              <w:jc w:val="center"/>
              <w:rPr>
                <w:rFonts w:ascii="Arial" w:hAnsi="Arial" w:cs="Arial"/>
                <w:sz w:val="20"/>
              </w:rPr>
            </w:pPr>
            <w:r>
              <w:rPr>
                <w:rFonts w:ascii="Arial" w:hAnsi="Arial" w:cs="Arial"/>
                <w:sz w:val="20"/>
              </w:rPr>
              <w:t>1.92</w:t>
            </w:r>
          </w:p>
        </w:tc>
        <w:tc>
          <w:tcPr>
            <w:tcW w:w="990" w:type="dxa"/>
            <w:gridSpan w:val="2"/>
            <w:vAlign w:val="center"/>
          </w:tcPr>
          <w:p w:rsidR="007D46DA" w:rsidRDefault="007D46DA" w:rsidP="006B1499">
            <w:pPr>
              <w:jc w:val="center"/>
              <w:rPr>
                <w:rFonts w:ascii="Arial" w:hAnsi="Arial" w:cs="Arial"/>
                <w:sz w:val="20"/>
              </w:rPr>
            </w:pPr>
            <w:r>
              <w:rPr>
                <w:rFonts w:ascii="Arial" w:hAnsi="Arial" w:cs="Arial"/>
                <w:sz w:val="20"/>
              </w:rPr>
              <w:t>2.13</w:t>
            </w:r>
          </w:p>
        </w:tc>
        <w:tc>
          <w:tcPr>
            <w:tcW w:w="903" w:type="dxa"/>
            <w:shd w:val="clear" w:color="auto" w:fill="auto"/>
            <w:vAlign w:val="center"/>
          </w:tcPr>
          <w:p w:rsidR="007D46DA" w:rsidRDefault="007D46DA" w:rsidP="006B1499">
            <w:pPr>
              <w:jc w:val="center"/>
              <w:rPr>
                <w:rFonts w:ascii="Arial" w:hAnsi="Arial" w:cs="Arial"/>
                <w:sz w:val="20"/>
              </w:rPr>
            </w:pPr>
            <w:r>
              <w:rPr>
                <w:rFonts w:ascii="Arial" w:hAnsi="Arial" w:cs="Arial"/>
                <w:sz w:val="20"/>
              </w:rPr>
              <w:t>2.10</w:t>
            </w:r>
          </w:p>
        </w:tc>
        <w:tc>
          <w:tcPr>
            <w:tcW w:w="974" w:type="dxa"/>
            <w:gridSpan w:val="2"/>
            <w:vAlign w:val="center"/>
          </w:tcPr>
          <w:p w:rsidR="007D46DA" w:rsidRDefault="007D46DA" w:rsidP="006B1499">
            <w:pPr>
              <w:jc w:val="center"/>
              <w:rPr>
                <w:rFonts w:ascii="Arial" w:hAnsi="Arial" w:cs="Arial"/>
                <w:sz w:val="20"/>
              </w:rPr>
            </w:pPr>
            <w:r>
              <w:rPr>
                <w:rFonts w:ascii="Arial" w:hAnsi="Arial" w:cs="Arial"/>
                <w:sz w:val="20"/>
              </w:rPr>
              <w:t>0.81</w:t>
            </w:r>
          </w:p>
        </w:tc>
        <w:tc>
          <w:tcPr>
            <w:tcW w:w="1003" w:type="dxa"/>
            <w:gridSpan w:val="2"/>
            <w:vAlign w:val="center"/>
          </w:tcPr>
          <w:p w:rsidR="007D46DA" w:rsidRDefault="007D46DA" w:rsidP="006B1499">
            <w:pPr>
              <w:jc w:val="center"/>
              <w:rPr>
                <w:rFonts w:ascii="Arial" w:hAnsi="Arial" w:cs="Arial"/>
                <w:sz w:val="20"/>
              </w:rPr>
            </w:pPr>
            <w:r>
              <w:rPr>
                <w:rFonts w:ascii="Arial" w:hAnsi="Arial" w:cs="Arial"/>
                <w:sz w:val="20"/>
              </w:rPr>
              <w:t>1.18</w:t>
            </w:r>
          </w:p>
        </w:tc>
        <w:tc>
          <w:tcPr>
            <w:tcW w:w="1110" w:type="dxa"/>
            <w:shd w:val="clear" w:color="auto" w:fill="auto"/>
            <w:vAlign w:val="center"/>
          </w:tcPr>
          <w:p w:rsidR="007D46DA" w:rsidRDefault="007D46DA" w:rsidP="006B1499">
            <w:pPr>
              <w:jc w:val="center"/>
              <w:rPr>
                <w:rFonts w:ascii="Arial" w:hAnsi="Arial" w:cs="Arial"/>
                <w:sz w:val="20"/>
              </w:rPr>
            </w:pPr>
            <w:r>
              <w:rPr>
                <w:rFonts w:ascii="Arial" w:hAnsi="Arial" w:cs="Arial"/>
                <w:sz w:val="20"/>
              </w:rPr>
              <w:t>1.64</w:t>
            </w:r>
          </w:p>
        </w:tc>
      </w:tr>
      <w:tr w:rsidR="007D46DA" w:rsidRPr="00CA4EF3">
        <w:trPr>
          <w:trHeight w:val="305"/>
          <w:jc w:val="center"/>
        </w:trPr>
        <w:tc>
          <w:tcPr>
            <w:tcW w:w="3210" w:type="dxa"/>
          </w:tcPr>
          <w:p w:rsidR="007D46DA" w:rsidRPr="00CA4EF3" w:rsidRDefault="007D46DA" w:rsidP="006B1499">
            <w:pPr>
              <w:autoSpaceDE w:val="0"/>
              <w:autoSpaceDN w:val="0"/>
              <w:adjustRightInd w:val="0"/>
              <w:rPr>
                <w:color w:val="000000"/>
                <w:sz w:val="22"/>
                <w:szCs w:val="22"/>
              </w:rPr>
            </w:pPr>
            <w:r w:rsidRPr="00CA4EF3">
              <w:rPr>
                <w:color w:val="000000"/>
                <w:sz w:val="22"/>
                <w:szCs w:val="22"/>
              </w:rPr>
              <w:t>South Asia</w:t>
            </w:r>
          </w:p>
        </w:tc>
        <w:tc>
          <w:tcPr>
            <w:tcW w:w="1230" w:type="dxa"/>
            <w:gridSpan w:val="2"/>
            <w:vAlign w:val="center"/>
          </w:tcPr>
          <w:p w:rsidR="007D46DA" w:rsidRDefault="007D46DA" w:rsidP="006B1499">
            <w:pPr>
              <w:jc w:val="center"/>
              <w:rPr>
                <w:rFonts w:ascii="Arial" w:hAnsi="Arial" w:cs="Arial"/>
                <w:sz w:val="20"/>
              </w:rPr>
            </w:pPr>
            <w:r>
              <w:rPr>
                <w:rFonts w:ascii="Arial" w:hAnsi="Arial" w:cs="Arial"/>
                <w:sz w:val="20"/>
              </w:rPr>
              <w:t>1.80</w:t>
            </w:r>
          </w:p>
        </w:tc>
        <w:tc>
          <w:tcPr>
            <w:tcW w:w="990" w:type="dxa"/>
            <w:gridSpan w:val="2"/>
            <w:vAlign w:val="center"/>
          </w:tcPr>
          <w:p w:rsidR="007D46DA" w:rsidRDefault="007D46DA" w:rsidP="006B1499">
            <w:pPr>
              <w:jc w:val="center"/>
              <w:rPr>
                <w:rFonts w:ascii="Arial" w:hAnsi="Arial" w:cs="Arial"/>
                <w:sz w:val="20"/>
              </w:rPr>
            </w:pPr>
            <w:r>
              <w:rPr>
                <w:rFonts w:ascii="Arial" w:hAnsi="Arial" w:cs="Arial"/>
                <w:sz w:val="20"/>
              </w:rPr>
              <w:t>2.20</w:t>
            </w:r>
          </w:p>
        </w:tc>
        <w:tc>
          <w:tcPr>
            <w:tcW w:w="903" w:type="dxa"/>
            <w:shd w:val="clear" w:color="auto" w:fill="auto"/>
            <w:vAlign w:val="center"/>
          </w:tcPr>
          <w:p w:rsidR="007D46DA" w:rsidRDefault="007D46DA" w:rsidP="006B1499">
            <w:pPr>
              <w:jc w:val="center"/>
              <w:rPr>
                <w:rFonts w:ascii="Arial" w:hAnsi="Arial" w:cs="Arial"/>
                <w:sz w:val="20"/>
              </w:rPr>
            </w:pPr>
            <w:r>
              <w:rPr>
                <w:rFonts w:ascii="Arial" w:hAnsi="Arial" w:cs="Arial"/>
                <w:sz w:val="20"/>
              </w:rPr>
              <w:t>3.31</w:t>
            </w:r>
          </w:p>
        </w:tc>
        <w:tc>
          <w:tcPr>
            <w:tcW w:w="974" w:type="dxa"/>
            <w:gridSpan w:val="2"/>
            <w:vAlign w:val="center"/>
          </w:tcPr>
          <w:p w:rsidR="007D46DA" w:rsidRDefault="007D46DA" w:rsidP="006B1499">
            <w:pPr>
              <w:jc w:val="center"/>
              <w:rPr>
                <w:rFonts w:ascii="Arial" w:hAnsi="Arial" w:cs="Arial"/>
                <w:sz w:val="20"/>
              </w:rPr>
            </w:pPr>
            <w:r>
              <w:rPr>
                <w:rFonts w:ascii="Arial" w:hAnsi="Arial" w:cs="Arial"/>
                <w:sz w:val="20"/>
              </w:rPr>
              <w:t>0.72</w:t>
            </w:r>
          </w:p>
        </w:tc>
        <w:tc>
          <w:tcPr>
            <w:tcW w:w="1003" w:type="dxa"/>
            <w:gridSpan w:val="2"/>
            <w:vAlign w:val="center"/>
          </w:tcPr>
          <w:p w:rsidR="007D46DA" w:rsidRDefault="007D46DA" w:rsidP="006B1499">
            <w:pPr>
              <w:jc w:val="center"/>
              <w:rPr>
                <w:rFonts w:ascii="Arial" w:hAnsi="Arial" w:cs="Arial"/>
                <w:sz w:val="20"/>
              </w:rPr>
            </w:pPr>
            <w:r>
              <w:rPr>
                <w:rFonts w:ascii="Arial" w:hAnsi="Arial" w:cs="Arial"/>
                <w:sz w:val="20"/>
              </w:rPr>
              <w:t>1.08</w:t>
            </w:r>
          </w:p>
        </w:tc>
        <w:tc>
          <w:tcPr>
            <w:tcW w:w="1110" w:type="dxa"/>
            <w:shd w:val="clear" w:color="auto" w:fill="auto"/>
            <w:vAlign w:val="center"/>
          </w:tcPr>
          <w:p w:rsidR="007D46DA" w:rsidRDefault="007D46DA" w:rsidP="006B1499">
            <w:pPr>
              <w:jc w:val="center"/>
              <w:rPr>
                <w:rFonts w:ascii="Arial" w:hAnsi="Arial" w:cs="Arial"/>
                <w:sz w:val="20"/>
              </w:rPr>
            </w:pPr>
            <w:r>
              <w:rPr>
                <w:rFonts w:ascii="Arial" w:hAnsi="Arial" w:cs="Arial"/>
                <w:sz w:val="20"/>
              </w:rPr>
              <w:t>1.66</w:t>
            </w:r>
          </w:p>
        </w:tc>
      </w:tr>
      <w:tr w:rsidR="007D46DA" w:rsidRPr="00CA4EF3">
        <w:trPr>
          <w:trHeight w:val="305"/>
          <w:jc w:val="center"/>
        </w:trPr>
        <w:tc>
          <w:tcPr>
            <w:tcW w:w="3210" w:type="dxa"/>
          </w:tcPr>
          <w:p w:rsidR="007D46DA" w:rsidRPr="00CA4EF3" w:rsidRDefault="007D46DA" w:rsidP="006B1499">
            <w:pPr>
              <w:autoSpaceDE w:val="0"/>
              <w:autoSpaceDN w:val="0"/>
              <w:adjustRightInd w:val="0"/>
              <w:rPr>
                <w:color w:val="000000"/>
                <w:sz w:val="22"/>
                <w:szCs w:val="22"/>
              </w:rPr>
            </w:pPr>
            <w:r w:rsidRPr="00CA4EF3">
              <w:rPr>
                <w:color w:val="000000"/>
                <w:sz w:val="22"/>
                <w:szCs w:val="22"/>
              </w:rPr>
              <w:t>Sub-Saharan Africa</w:t>
            </w:r>
          </w:p>
        </w:tc>
        <w:tc>
          <w:tcPr>
            <w:tcW w:w="1230" w:type="dxa"/>
            <w:gridSpan w:val="2"/>
            <w:vAlign w:val="center"/>
          </w:tcPr>
          <w:p w:rsidR="007D46DA" w:rsidRDefault="007D46DA" w:rsidP="006B1499">
            <w:pPr>
              <w:jc w:val="center"/>
              <w:rPr>
                <w:rFonts w:ascii="Arial" w:hAnsi="Arial" w:cs="Arial"/>
                <w:sz w:val="20"/>
              </w:rPr>
            </w:pPr>
            <w:r>
              <w:rPr>
                <w:rFonts w:ascii="Arial" w:hAnsi="Arial" w:cs="Arial"/>
                <w:sz w:val="20"/>
              </w:rPr>
              <w:t>3.69</w:t>
            </w:r>
          </w:p>
        </w:tc>
        <w:tc>
          <w:tcPr>
            <w:tcW w:w="990" w:type="dxa"/>
            <w:gridSpan w:val="2"/>
            <w:vAlign w:val="center"/>
          </w:tcPr>
          <w:p w:rsidR="007D46DA" w:rsidRDefault="007D46DA" w:rsidP="006B1499">
            <w:pPr>
              <w:jc w:val="center"/>
              <w:rPr>
                <w:rFonts w:ascii="Arial" w:hAnsi="Arial" w:cs="Arial"/>
                <w:sz w:val="20"/>
              </w:rPr>
            </w:pPr>
            <w:r>
              <w:rPr>
                <w:rFonts w:ascii="Arial" w:hAnsi="Arial" w:cs="Arial"/>
                <w:sz w:val="20"/>
              </w:rPr>
              <w:t>2.75</w:t>
            </w:r>
          </w:p>
        </w:tc>
        <w:tc>
          <w:tcPr>
            <w:tcW w:w="903" w:type="dxa"/>
            <w:shd w:val="clear" w:color="auto" w:fill="auto"/>
            <w:vAlign w:val="center"/>
          </w:tcPr>
          <w:p w:rsidR="007D46DA" w:rsidRDefault="007D46DA" w:rsidP="006B1499">
            <w:pPr>
              <w:jc w:val="center"/>
              <w:rPr>
                <w:rFonts w:ascii="Arial" w:hAnsi="Arial" w:cs="Arial"/>
                <w:sz w:val="20"/>
              </w:rPr>
            </w:pPr>
            <w:r>
              <w:rPr>
                <w:rFonts w:ascii="Arial" w:hAnsi="Arial" w:cs="Arial"/>
                <w:sz w:val="20"/>
              </w:rPr>
              <w:t>2.41</w:t>
            </w:r>
          </w:p>
        </w:tc>
        <w:tc>
          <w:tcPr>
            <w:tcW w:w="974" w:type="dxa"/>
            <w:gridSpan w:val="2"/>
            <w:vAlign w:val="center"/>
          </w:tcPr>
          <w:p w:rsidR="007D46DA" w:rsidRDefault="007D46DA" w:rsidP="006B1499">
            <w:pPr>
              <w:jc w:val="center"/>
              <w:rPr>
                <w:rFonts w:ascii="Arial" w:hAnsi="Arial" w:cs="Arial"/>
                <w:sz w:val="20"/>
              </w:rPr>
            </w:pPr>
            <w:r>
              <w:rPr>
                <w:rFonts w:ascii="Arial" w:hAnsi="Arial" w:cs="Arial"/>
                <w:sz w:val="20"/>
              </w:rPr>
              <w:t>0.43</w:t>
            </w:r>
          </w:p>
        </w:tc>
        <w:tc>
          <w:tcPr>
            <w:tcW w:w="1003" w:type="dxa"/>
            <w:gridSpan w:val="2"/>
            <w:vAlign w:val="center"/>
          </w:tcPr>
          <w:p w:rsidR="007D46DA" w:rsidRDefault="007D46DA" w:rsidP="006B1499">
            <w:pPr>
              <w:jc w:val="center"/>
              <w:rPr>
                <w:rFonts w:ascii="Arial" w:hAnsi="Arial" w:cs="Arial"/>
                <w:sz w:val="20"/>
              </w:rPr>
            </w:pPr>
            <w:r>
              <w:rPr>
                <w:rFonts w:ascii="Arial" w:hAnsi="Arial" w:cs="Arial"/>
                <w:sz w:val="20"/>
              </w:rPr>
              <w:t>0.43</w:t>
            </w:r>
          </w:p>
        </w:tc>
        <w:tc>
          <w:tcPr>
            <w:tcW w:w="1110" w:type="dxa"/>
            <w:shd w:val="clear" w:color="auto" w:fill="auto"/>
            <w:vAlign w:val="center"/>
          </w:tcPr>
          <w:p w:rsidR="007D46DA" w:rsidRDefault="007D46DA" w:rsidP="006B1499">
            <w:pPr>
              <w:jc w:val="center"/>
              <w:rPr>
                <w:rFonts w:ascii="Arial" w:hAnsi="Arial" w:cs="Arial"/>
                <w:sz w:val="20"/>
              </w:rPr>
            </w:pPr>
            <w:r>
              <w:rPr>
                <w:rFonts w:ascii="Arial" w:hAnsi="Arial" w:cs="Arial"/>
                <w:sz w:val="20"/>
              </w:rPr>
              <w:t>0.41</w:t>
            </w:r>
          </w:p>
        </w:tc>
      </w:tr>
      <w:tr w:rsidR="007D46DA" w:rsidRPr="00CA4EF3">
        <w:trPr>
          <w:trHeight w:val="305"/>
          <w:jc w:val="center"/>
        </w:trPr>
        <w:tc>
          <w:tcPr>
            <w:tcW w:w="3210" w:type="dxa"/>
          </w:tcPr>
          <w:p w:rsidR="007D46DA" w:rsidRPr="00CA4EF3" w:rsidRDefault="007D46DA" w:rsidP="006B1499">
            <w:pPr>
              <w:autoSpaceDE w:val="0"/>
              <w:autoSpaceDN w:val="0"/>
              <w:adjustRightInd w:val="0"/>
              <w:rPr>
                <w:color w:val="000000"/>
                <w:sz w:val="22"/>
                <w:szCs w:val="22"/>
              </w:rPr>
            </w:pPr>
            <w:r w:rsidRPr="00CA4EF3">
              <w:rPr>
                <w:color w:val="000000"/>
                <w:sz w:val="22"/>
                <w:szCs w:val="22"/>
              </w:rPr>
              <w:t>High-income countries</w:t>
            </w:r>
          </w:p>
        </w:tc>
        <w:tc>
          <w:tcPr>
            <w:tcW w:w="1230" w:type="dxa"/>
            <w:gridSpan w:val="2"/>
            <w:vAlign w:val="center"/>
          </w:tcPr>
          <w:p w:rsidR="007D46DA" w:rsidRDefault="007D46DA" w:rsidP="006B1499">
            <w:pPr>
              <w:jc w:val="center"/>
              <w:rPr>
                <w:rFonts w:ascii="Arial" w:hAnsi="Arial" w:cs="Arial"/>
                <w:sz w:val="20"/>
              </w:rPr>
            </w:pPr>
            <w:r>
              <w:rPr>
                <w:rFonts w:ascii="Arial" w:hAnsi="Arial" w:cs="Arial"/>
                <w:sz w:val="20"/>
              </w:rPr>
              <w:t>19.44</w:t>
            </w:r>
          </w:p>
        </w:tc>
        <w:tc>
          <w:tcPr>
            <w:tcW w:w="990" w:type="dxa"/>
            <w:gridSpan w:val="2"/>
            <w:vAlign w:val="center"/>
          </w:tcPr>
          <w:p w:rsidR="007D46DA" w:rsidRDefault="007D46DA" w:rsidP="006B1499">
            <w:pPr>
              <w:jc w:val="center"/>
              <w:rPr>
                <w:rFonts w:ascii="Arial" w:hAnsi="Arial" w:cs="Arial"/>
                <w:sz w:val="20"/>
              </w:rPr>
            </w:pPr>
            <w:r>
              <w:rPr>
                <w:rFonts w:ascii="Arial" w:hAnsi="Arial" w:cs="Arial"/>
                <w:sz w:val="20"/>
              </w:rPr>
              <w:t>18.96</w:t>
            </w:r>
          </w:p>
        </w:tc>
        <w:tc>
          <w:tcPr>
            <w:tcW w:w="903" w:type="dxa"/>
            <w:shd w:val="clear" w:color="auto" w:fill="auto"/>
            <w:vAlign w:val="center"/>
          </w:tcPr>
          <w:p w:rsidR="007D46DA" w:rsidRDefault="007D46DA" w:rsidP="006B1499">
            <w:pPr>
              <w:jc w:val="center"/>
              <w:rPr>
                <w:rFonts w:ascii="Arial" w:hAnsi="Arial" w:cs="Arial"/>
                <w:sz w:val="20"/>
              </w:rPr>
            </w:pPr>
            <w:r>
              <w:rPr>
                <w:rFonts w:ascii="Arial" w:hAnsi="Arial" w:cs="Arial"/>
                <w:sz w:val="20"/>
              </w:rPr>
              <w:t>20.06</w:t>
            </w:r>
          </w:p>
        </w:tc>
        <w:tc>
          <w:tcPr>
            <w:tcW w:w="974" w:type="dxa"/>
            <w:gridSpan w:val="2"/>
            <w:vAlign w:val="center"/>
          </w:tcPr>
          <w:p w:rsidR="007D46DA" w:rsidRDefault="007D46DA" w:rsidP="006B1499">
            <w:pPr>
              <w:jc w:val="center"/>
              <w:rPr>
                <w:rFonts w:ascii="Arial" w:hAnsi="Arial" w:cs="Arial"/>
                <w:sz w:val="20"/>
              </w:rPr>
            </w:pPr>
            <w:r>
              <w:rPr>
                <w:rFonts w:ascii="Arial" w:hAnsi="Arial" w:cs="Arial"/>
                <w:sz w:val="20"/>
              </w:rPr>
              <w:t>10.66</w:t>
            </w:r>
          </w:p>
        </w:tc>
        <w:tc>
          <w:tcPr>
            <w:tcW w:w="1003" w:type="dxa"/>
            <w:gridSpan w:val="2"/>
            <w:vAlign w:val="center"/>
          </w:tcPr>
          <w:p w:rsidR="007D46DA" w:rsidRDefault="007D46DA" w:rsidP="006B1499">
            <w:pPr>
              <w:jc w:val="center"/>
              <w:rPr>
                <w:rFonts w:ascii="Arial" w:hAnsi="Arial" w:cs="Arial"/>
                <w:sz w:val="20"/>
              </w:rPr>
            </w:pPr>
            <w:r>
              <w:rPr>
                <w:rFonts w:ascii="Arial" w:hAnsi="Arial" w:cs="Arial"/>
                <w:sz w:val="20"/>
              </w:rPr>
              <w:t>12.63</w:t>
            </w:r>
          </w:p>
        </w:tc>
        <w:tc>
          <w:tcPr>
            <w:tcW w:w="1110" w:type="dxa"/>
            <w:shd w:val="clear" w:color="auto" w:fill="auto"/>
            <w:vAlign w:val="center"/>
          </w:tcPr>
          <w:p w:rsidR="007D46DA" w:rsidRDefault="007D46DA" w:rsidP="006B1499">
            <w:pPr>
              <w:jc w:val="center"/>
              <w:rPr>
                <w:rFonts w:ascii="Arial" w:hAnsi="Arial" w:cs="Arial"/>
                <w:sz w:val="20"/>
              </w:rPr>
            </w:pPr>
            <w:r>
              <w:rPr>
                <w:rFonts w:ascii="Arial" w:hAnsi="Arial" w:cs="Arial"/>
                <w:sz w:val="20"/>
              </w:rPr>
              <w:t>14.50</w:t>
            </w:r>
          </w:p>
        </w:tc>
      </w:tr>
      <w:tr w:rsidR="007D46DA" w:rsidRPr="008A4D8E">
        <w:trPr>
          <w:trHeight w:val="305"/>
          <w:jc w:val="center"/>
        </w:trPr>
        <w:tc>
          <w:tcPr>
            <w:tcW w:w="9420" w:type="dxa"/>
            <w:gridSpan w:val="11"/>
            <w:shd w:val="clear" w:color="auto" w:fill="D9D9D9" w:themeFill="background1" w:themeFillShade="D9"/>
            <w:vAlign w:val="center"/>
          </w:tcPr>
          <w:p w:rsidR="007D46DA" w:rsidRPr="008A4D8E" w:rsidRDefault="007D46DA" w:rsidP="006B1499">
            <w:pPr>
              <w:autoSpaceDE w:val="0"/>
              <w:autoSpaceDN w:val="0"/>
              <w:adjustRightInd w:val="0"/>
              <w:jc w:val="center"/>
              <w:rPr>
                <w:bCs/>
                <w:color w:val="000000"/>
                <w:sz w:val="22"/>
                <w:szCs w:val="22"/>
              </w:rPr>
            </w:pPr>
            <w:r w:rsidRPr="008A4D8E">
              <w:rPr>
                <w:bCs/>
                <w:color w:val="000000"/>
                <w:sz w:val="22"/>
                <w:szCs w:val="22"/>
              </w:rPr>
              <w:t xml:space="preserve">By </w:t>
            </w:r>
            <w:r>
              <w:rPr>
                <w:bCs/>
                <w:color w:val="000000"/>
                <w:sz w:val="22"/>
                <w:szCs w:val="22"/>
              </w:rPr>
              <w:t>i</w:t>
            </w:r>
            <w:r w:rsidRPr="008A4D8E">
              <w:rPr>
                <w:bCs/>
                <w:color w:val="000000"/>
                <w:sz w:val="22"/>
                <w:szCs w:val="22"/>
              </w:rPr>
              <w:t xml:space="preserve">ncome </w:t>
            </w:r>
            <w:r>
              <w:rPr>
                <w:bCs/>
                <w:color w:val="000000"/>
                <w:sz w:val="22"/>
                <w:szCs w:val="22"/>
              </w:rPr>
              <w:t>group</w:t>
            </w:r>
          </w:p>
        </w:tc>
      </w:tr>
      <w:tr w:rsidR="007D46DA" w:rsidRPr="00CA4EF3">
        <w:trPr>
          <w:trHeight w:val="305"/>
          <w:jc w:val="center"/>
        </w:trPr>
        <w:tc>
          <w:tcPr>
            <w:tcW w:w="3210" w:type="dxa"/>
            <w:vAlign w:val="bottom"/>
          </w:tcPr>
          <w:p w:rsidR="007D46DA" w:rsidRPr="00CA4EF3" w:rsidRDefault="007D46DA" w:rsidP="006B1499">
            <w:pPr>
              <w:rPr>
                <w:color w:val="000000"/>
                <w:sz w:val="22"/>
                <w:szCs w:val="22"/>
              </w:rPr>
            </w:pPr>
            <w:r w:rsidRPr="00CA4EF3">
              <w:rPr>
                <w:color w:val="000000"/>
                <w:sz w:val="22"/>
                <w:szCs w:val="22"/>
              </w:rPr>
              <w:t>Low-income</w:t>
            </w:r>
          </w:p>
        </w:tc>
        <w:tc>
          <w:tcPr>
            <w:tcW w:w="1230" w:type="dxa"/>
            <w:gridSpan w:val="2"/>
            <w:vAlign w:val="center"/>
          </w:tcPr>
          <w:p w:rsidR="007D46DA" w:rsidRDefault="007D46DA" w:rsidP="006B1499">
            <w:pPr>
              <w:jc w:val="center"/>
              <w:rPr>
                <w:rFonts w:ascii="Arial" w:hAnsi="Arial" w:cs="Arial"/>
                <w:sz w:val="20"/>
              </w:rPr>
            </w:pPr>
            <w:r>
              <w:rPr>
                <w:rFonts w:ascii="Arial" w:hAnsi="Arial" w:cs="Arial"/>
                <w:sz w:val="20"/>
              </w:rPr>
              <w:t>2.89</w:t>
            </w:r>
          </w:p>
        </w:tc>
        <w:tc>
          <w:tcPr>
            <w:tcW w:w="990" w:type="dxa"/>
            <w:gridSpan w:val="2"/>
            <w:vAlign w:val="center"/>
          </w:tcPr>
          <w:p w:rsidR="007D46DA" w:rsidRDefault="007D46DA" w:rsidP="006B1499">
            <w:pPr>
              <w:jc w:val="center"/>
              <w:rPr>
                <w:rFonts w:ascii="Arial" w:hAnsi="Arial" w:cs="Arial"/>
                <w:sz w:val="20"/>
              </w:rPr>
            </w:pPr>
            <w:r>
              <w:rPr>
                <w:rFonts w:ascii="Arial" w:hAnsi="Arial" w:cs="Arial"/>
                <w:sz w:val="20"/>
              </w:rPr>
              <w:t>2.24</w:t>
            </w:r>
          </w:p>
        </w:tc>
        <w:tc>
          <w:tcPr>
            <w:tcW w:w="903" w:type="dxa"/>
            <w:shd w:val="clear" w:color="auto" w:fill="auto"/>
            <w:vAlign w:val="center"/>
          </w:tcPr>
          <w:p w:rsidR="007D46DA" w:rsidRDefault="007D46DA" w:rsidP="006B1499">
            <w:pPr>
              <w:jc w:val="center"/>
              <w:rPr>
                <w:rFonts w:ascii="Arial" w:hAnsi="Arial" w:cs="Arial"/>
                <w:sz w:val="20"/>
              </w:rPr>
            </w:pPr>
            <w:r>
              <w:rPr>
                <w:rFonts w:ascii="Arial" w:hAnsi="Arial" w:cs="Arial"/>
                <w:sz w:val="20"/>
              </w:rPr>
              <w:t>1.81</w:t>
            </w:r>
          </w:p>
        </w:tc>
        <w:tc>
          <w:tcPr>
            <w:tcW w:w="974" w:type="dxa"/>
            <w:gridSpan w:val="2"/>
            <w:vAlign w:val="center"/>
          </w:tcPr>
          <w:p w:rsidR="007D46DA" w:rsidRDefault="007D46DA" w:rsidP="006B1499">
            <w:pPr>
              <w:jc w:val="center"/>
              <w:rPr>
                <w:rFonts w:ascii="Arial" w:hAnsi="Arial" w:cs="Arial"/>
                <w:sz w:val="20"/>
              </w:rPr>
            </w:pPr>
            <w:r>
              <w:rPr>
                <w:rFonts w:ascii="Arial" w:hAnsi="Arial" w:cs="Arial"/>
                <w:sz w:val="20"/>
              </w:rPr>
              <w:t>0.25</w:t>
            </w:r>
          </w:p>
        </w:tc>
        <w:tc>
          <w:tcPr>
            <w:tcW w:w="1003" w:type="dxa"/>
            <w:gridSpan w:val="2"/>
            <w:vAlign w:val="center"/>
          </w:tcPr>
          <w:p w:rsidR="007D46DA" w:rsidRDefault="007D46DA" w:rsidP="006B1499">
            <w:pPr>
              <w:jc w:val="center"/>
              <w:rPr>
                <w:rFonts w:ascii="Arial" w:hAnsi="Arial" w:cs="Arial"/>
                <w:sz w:val="20"/>
              </w:rPr>
            </w:pPr>
            <w:r>
              <w:rPr>
                <w:rFonts w:ascii="Arial" w:hAnsi="Arial" w:cs="Arial"/>
                <w:sz w:val="20"/>
              </w:rPr>
              <w:t>0.38</w:t>
            </w:r>
          </w:p>
        </w:tc>
        <w:tc>
          <w:tcPr>
            <w:tcW w:w="1110" w:type="dxa"/>
            <w:shd w:val="clear" w:color="auto" w:fill="auto"/>
            <w:vAlign w:val="center"/>
          </w:tcPr>
          <w:p w:rsidR="007D46DA" w:rsidRDefault="007D46DA" w:rsidP="006B1499">
            <w:pPr>
              <w:jc w:val="center"/>
              <w:rPr>
                <w:rFonts w:ascii="Arial" w:hAnsi="Arial" w:cs="Arial"/>
                <w:sz w:val="20"/>
              </w:rPr>
            </w:pPr>
            <w:r>
              <w:rPr>
                <w:rFonts w:ascii="Arial" w:hAnsi="Arial" w:cs="Arial"/>
                <w:sz w:val="20"/>
              </w:rPr>
              <w:t>0.32</w:t>
            </w:r>
          </w:p>
        </w:tc>
      </w:tr>
      <w:tr w:rsidR="007D46DA" w:rsidRPr="00CA4EF3">
        <w:trPr>
          <w:trHeight w:val="305"/>
          <w:jc w:val="center"/>
        </w:trPr>
        <w:tc>
          <w:tcPr>
            <w:tcW w:w="3210" w:type="dxa"/>
            <w:vAlign w:val="bottom"/>
          </w:tcPr>
          <w:p w:rsidR="007D46DA" w:rsidRPr="00CA4EF3" w:rsidRDefault="007D46DA" w:rsidP="006B1499">
            <w:pPr>
              <w:rPr>
                <w:color w:val="000000"/>
                <w:sz w:val="22"/>
                <w:szCs w:val="22"/>
              </w:rPr>
            </w:pPr>
            <w:r w:rsidRPr="00CA4EF3">
              <w:rPr>
                <w:color w:val="000000"/>
                <w:sz w:val="22"/>
                <w:szCs w:val="22"/>
              </w:rPr>
              <w:t>Lower-middle-income</w:t>
            </w:r>
          </w:p>
        </w:tc>
        <w:tc>
          <w:tcPr>
            <w:tcW w:w="1230" w:type="dxa"/>
            <w:gridSpan w:val="2"/>
            <w:vAlign w:val="center"/>
          </w:tcPr>
          <w:p w:rsidR="007D46DA" w:rsidRDefault="007D46DA" w:rsidP="006B1499">
            <w:pPr>
              <w:jc w:val="center"/>
              <w:rPr>
                <w:rFonts w:ascii="Arial" w:hAnsi="Arial" w:cs="Arial"/>
                <w:sz w:val="20"/>
              </w:rPr>
            </w:pPr>
            <w:r>
              <w:rPr>
                <w:rFonts w:ascii="Arial" w:hAnsi="Arial" w:cs="Arial"/>
                <w:sz w:val="20"/>
              </w:rPr>
              <w:t>1.97</w:t>
            </w:r>
          </w:p>
        </w:tc>
        <w:tc>
          <w:tcPr>
            <w:tcW w:w="990" w:type="dxa"/>
            <w:gridSpan w:val="2"/>
            <w:vAlign w:val="center"/>
          </w:tcPr>
          <w:p w:rsidR="007D46DA" w:rsidRDefault="007D46DA" w:rsidP="006B1499">
            <w:pPr>
              <w:jc w:val="center"/>
              <w:rPr>
                <w:rFonts w:ascii="Arial" w:hAnsi="Arial" w:cs="Arial"/>
                <w:sz w:val="20"/>
              </w:rPr>
            </w:pPr>
            <w:r>
              <w:rPr>
                <w:rFonts w:ascii="Arial" w:hAnsi="Arial" w:cs="Arial"/>
                <w:sz w:val="20"/>
              </w:rPr>
              <w:t>2.25</w:t>
            </w:r>
          </w:p>
        </w:tc>
        <w:tc>
          <w:tcPr>
            <w:tcW w:w="903" w:type="dxa"/>
            <w:shd w:val="clear" w:color="auto" w:fill="auto"/>
            <w:vAlign w:val="center"/>
          </w:tcPr>
          <w:p w:rsidR="007D46DA" w:rsidRDefault="007D46DA" w:rsidP="006B1499">
            <w:pPr>
              <w:jc w:val="center"/>
              <w:rPr>
                <w:rFonts w:ascii="Arial" w:hAnsi="Arial" w:cs="Arial"/>
                <w:sz w:val="20"/>
              </w:rPr>
            </w:pPr>
            <w:r>
              <w:rPr>
                <w:rFonts w:ascii="Arial" w:hAnsi="Arial" w:cs="Arial"/>
                <w:sz w:val="20"/>
              </w:rPr>
              <w:t>2.86</w:t>
            </w:r>
          </w:p>
        </w:tc>
        <w:tc>
          <w:tcPr>
            <w:tcW w:w="974" w:type="dxa"/>
            <w:gridSpan w:val="2"/>
            <w:vAlign w:val="center"/>
          </w:tcPr>
          <w:p w:rsidR="007D46DA" w:rsidRDefault="007D46DA" w:rsidP="006B1499">
            <w:pPr>
              <w:jc w:val="center"/>
              <w:rPr>
                <w:rFonts w:ascii="Arial" w:hAnsi="Arial" w:cs="Arial"/>
                <w:sz w:val="20"/>
              </w:rPr>
            </w:pPr>
            <w:r>
              <w:rPr>
                <w:rFonts w:ascii="Arial" w:hAnsi="Arial" w:cs="Arial"/>
                <w:sz w:val="20"/>
              </w:rPr>
              <w:t>0.58</w:t>
            </w:r>
          </w:p>
        </w:tc>
        <w:tc>
          <w:tcPr>
            <w:tcW w:w="1003" w:type="dxa"/>
            <w:gridSpan w:val="2"/>
            <w:vAlign w:val="center"/>
          </w:tcPr>
          <w:p w:rsidR="007D46DA" w:rsidRDefault="007D46DA" w:rsidP="006B1499">
            <w:pPr>
              <w:jc w:val="center"/>
              <w:rPr>
                <w:rFonts w:ascii="Arial" w:hAnsi="Arial" w:cs="Arial"/>
                <w:sz w:val="20"/>
              </w:rPr>
            </w:pPr>
            <w:r>
              <w:rPr>
                <w:rFonts w:ascii="Arial" w:hAnsi="Arial" w:cs="Arial"/>
                <w:sz w:val="20"/>
              </w:rPr>
              <w:t>1.03</w:t>
            </w:r>
          </w:p>
        </w:tc>
        <w:tc>
          <w:tcPr>
            <w:tcW w:w="1110" w:type="dxa"/>
            <w:shd w:val="clear" w:color="auto" w:fill="auto"/>
            <w:vAlign w:val="center"/>
          </w:tcPr>
          <w:p w:rsidR="007D46DA" w:rsidRDefault="007D46DA" w:rsidP="006B1499">
            <w:pPr>
              <w:jc w:val="center"/>
              <w:rPr>
                <w:rFonts w:ascii="Arial" w:hAnsi="Arial" w:cs="Arial"/>
                <w:sz w:val="20"/>
              </w:rPr>
            </w:pPr>
            <w:r>
              <w:rPr>
                <w:rFonts w:ascii="Arial" w:hAnsi="Arial" w:cs="Arial"/>
                <w:sz w:val="20"/>
              </w:rPr>
              <w:t>1.44</w:t>
            </w:r>
          </w:p>
        </w:tc>
      </w:tr>
      <w:tr w:rsidR="007D46DA" w:rsidRPr="00CA4EF3">
        <w:trPr>
          <w:trHeight w:val="305"/>
          <w:jc w:val="center"/>
        </w:trPr>
        <w:tc>
          <w:tcPr>
            <w:tcW w:w="3210" w:type="dxa"/>
            <w:vAlign w:val="bottom"/>
          </w:tcPr>
          <w:p w:rsidR="007D46DA" w:rsidRPr="00CA4EF3" w:rsidRDefault="007D46DA" w:rsidP="006B1499">
            <w:pPr>
              <w:rPr>
                <w:color w:val="000000"/>
                <w:sz w:val="22"/>
                <w:szCs w:val="22"/>
              </w:rPr>
            </w:pPr>
            <w:r w:rsidRPr="00CA4EF3">
              <w:rPr>
                <w:color w:val="000000"/>
                <w:sz w:val="22"/>
                <w:szCs w:val="22"/>
              </w:rPr>
              <w:t>Upper-middle-income</w:t>
            </w:r>
          </w:p>
        </w:tc>
        <w:tc>
          <w:tcPr>
            <w:tcW w:w="1230" w:type="dxa"/>
            <w:gridSpan w:val="2"/>
            <w:vAlign w:val="center"/>
          </w:tcPr>
          <w:p w:rsidR="007D46DA" w:rsidRDefault="007D46DA" w:rsidP="006B1499">
            <w:pPr>
              <w:jc w:val="center"/>
              <w:rPr>
                <w:rFonts w:ascii="Arial" w:hAnsi="Arial" w:cs="Arial"/>
                <w:sz w:val="20"/>
              </w:rPr>
            </w:pPr>
            <w:r>
              <w:rPr>
                <w:rFonts w:ascii="Arial" w:hAnsi="Arial" w:cs="Arial"/>
                <w:sz w:val="20"/>
              </w:rPr>
              <w:t>2.77</w:t>
            </w:r>
          </w:p>
        </w:tc>
        <w:tc>
          <w:tcPr>
            <w:tcW w:w="990" w:type="dxa"/>
            <w:gridSpan w:val="2"/>
            <w:vAlign w:val="center"/>
          </w:tcPr>
          <w:p w:rsidR="007D46DA" w:rsidRDefault="007D46DA" w:rsidP="006B1499">
            <w:pPr>
              <w:jc w:val="center"/>
              <w:rPr>
                <w:rFonts w:ascii="Arial" w:hAnsi="Arial" w:cs="Arial"/>
                <w:sz w:val="20"/>
              </w:rPr>
            </w:pPr>
            <w:r>
              <w:rPr>
                <w:rFonts w:ascii="Arial" w:hAnsi="Arial" w:cs="Arial"/>
                <w:sz w:val="20"/>
              </w:rPr>
              <w:t>2.74</w:t>
            </w:r>
          </w:p>
        </w:tc>
        <w:tc>
          <w:tcPr>
            <w:tcW w:w="903" w:type="dxa"/>
            <w:shd w:val="clear" w:color="auto" w:fill="auto"/>
            <w:vAlign w:val="center"/>
          </w:tcPr>
          <w:p w:rsidR="007D46DA" w:rsidRDefault="007D46DA" w:rsidP="006B1499">
            <w:pPr>
              <w:jc w:val="center"/>
              <w:rPr>
                <w:rFonts w:ascii="Arial" w:hAnsi="Arial" w:cs="Arial"/>
                <w:sz w:val="20"/>
              </w:rPr>
            </w:pPr>
            <w:r>
              <w:rPr>
                <w:rFonts w:ascii="Arial" w:hAnsi="Arial" w:cs="Arial"/>
                <w:sz w:val="20"/>
              </w:rPr>
              <w:t>3.52</w:t>
            </w:r>
          </w:p>
        </w:tc>
        <w:tc>
          <w:tcPr>
            <w:tcW w:w="974" w:type="dxa"/>
            <w:gridSpan w:val="2"/>
            <w:vAlign w:val="center"/>
          </w:tcPr>
          <w:p w:rsidR="007D46DA" w:rsidRDefault="007D46DA" w:rsidP="006B1499">
            <w:pPr>
              <w:jc w:val="center"/>
              <w:rPr>
                <w:rFonts w:ascii="Arial" w:hAnsi="Arial" w:cs="Arial"/>
                <w:sz w:val="20"/>
              </w:rPr>
            </w:pPr>
            <w:r>
              <w:rPr>
                <w:rFonts w:ascii="Arial" w:hAnsi="Arial" w:cs="Arial"/>
                <w:sz w:val="20"/>
              </w:rPr>
              <w:t>0.29</w:t>
            </w:r>
          </w:p>
        </w:tc>
        <w:tc>
          <w:tcPr>
            <w:tcW w:w="1003" w:type="dxa"/>
            <w:gridSpan w:val="2"/>
            <w:vAlign w:val="center"/>
          </w:tcPr>
          <w:p w:rsidR="007D46DA" w:rsidRDefault="007D46DA" w:rsidP="006B1499">
            <w:pPr>
              <w:jc w:val="center"/>
              <w:rPr>
                <w:rFonts w:ascii="Arial" w:hAnsi="Arial" w:cs="Arial"/>
                <w:sz w:val="20"/>
              </w:rPr>
            </w:pPr>
            <w:r>
              <w:rPr>
                <w:rFonts w:ascii="Arial" w:hAnsi="Arial" w:cs="Arial"/>
                <w:sz w:val="20"/>
              </w:rPr>
              <w:t>0.85</w:t>
            </w:r>
          </w:p>
        </w:tc>
        <w:tc>
          <w:tcPr>
            <w:tcW w:w="1110" w:type="dxa"/>
            <w:shd w:val="clear" w:color="auto" w:fill="auto"/>
            <w:vAlign w:val="center"/>
          </w:tcPr>
          <w:p w:rsidR="007D46DA" w:rsidRDefault="007D46DA" w:rsidP="006B1499">
            <w:pPr>
              <w:jc w:val="center"/>
              <w:rPr>
                <w:rFonts w:ascii="Arial" w:hAnsi="Arial" w:cs="Arial"/>
                <w:sz w:val="20"/>
              </w:rPr>
            </w:pPr>
            <w:r>
              <w:rPr>
                <w:rFonts w:ascii="Arial" w:hAnsi="Arial" w:cs="Arial"/>
                <w:sz w:val="20"/>
              </w:rPr>
              <w:t>1.52</w:t>
            </w:r>
          </w:p>
        </w:tc>
      </w:tr>
      <w:tr w:rsidR="007D46DA" w:rsidRPr="00CA4EF3">
        <w:trPr>
          <w:trHeight w:val="305"/>
          <w:jc w:val="center"/>
        </w:trPr>
        <w:tc>
          <w:tcPr>
            <w:tcW w:w="3210" w:type="dxa"/>
            <w:vAlign w:val="bottom"/>
          </w:tcPr>
          <w:p w:rsidR="007D46DA" w:rsidRPr="00CA4EF3" w:rsidRDefault="007D46DA" w:rsidP="006B1499">
            <w:pPr>
              <w:rPr>
                <w:color w:val="000000"/>
                <w:sz w:val="22"/>
                <w:szCs w:val="22"/>
              </w:rPr>
            </w:pPr>
            <w:r w:rsidRPr="00CA4EF3">
              <w:rPr>
                <w:color w:val="000000"/>
                <w:sz w:val="22"/>
                <w:szCs w:val="22"/>
              </w:rPr>
              <w:t>High-income</w:t>
            </w:r>
          </w:p>
        </w:tc>
        <w:tc>
          <w:tcPr>
            <w:tcW w:w="1230" w:type="dxa"/>
            <w:gridSpan w:val="2"/>
            <w:vAlign w:val="center"/>
          </w:tcPr>
          <w:p w:rsidR="007D46DA" w:rsidRDefault="007D46DA" w:rsidP="006B1499">
            <w:pPr>
              <w:jc w:val="center"/>
              <w:rPr>
                <w:rFonts w:ascii="Arial" w:hAnsi="Arial" w:cs="Arial"/>
                <w:sz w:val="20"/>
              </w:rPr>
            </w:pPr>
            <w:r>
              <w:rPr>
                <w:rFonts w:ascii="Arial" w:hAnsi="Arial" w:cs="Arial"/>
                <w:sz w:val="20"/>
              </w:rPr>
              <w:t>19.44</w:t>
            </w:r>
          </w:p>
        </w:tc>
        <w:tc>
          <w:tcPr>
            <w:tcW w:w="990" w:type="dxa"/>
            <w:gridSpan w:val="2"/>
            <w:vAlign w:val="center"/>
          </w:tcPr>
          <w:p w:rsidR="007D46DA" w:rsidRDefault="007D46DA" w:rsidP="006B1499">
            <w:pPr>
              <w:jc w:val="center"/>
              <w:rPr>
                <w:rFonts w:ascii="Arial" w:hAnsi="Arial" w:cs="Arial"/>
                <w:sz w:val="20"/>
              </w:rPr>
            </w:pPr>
            <w:r>
              <w:rPr>
                <w:rFonts w:ascii="Arial" w:hAnsi="Arial" w:cs="Arial"/>
                <w:sz w:val="20"/>
              </w:rPr>
              <w:t>18.96</w:t>
            </w:r>
          </w:p>
        </w:tc>
        <w:tc>
          <w:tcPr>
            <w:tcW w:w="903" w:type="dxa"/>
            <w:shd w:val="clear" w:color="auto" w:fill="auto"/>
            <w:vAlign w:val="center"/>
          </w:tcPr>
          <w:p w:rsidR="007D46DA" w:rsidRDefault="007D46DA" w:rsidP="006B1499">
            <w:pPr>
              <w:jc w:val="center"/>
              <w:rPr>
                <w:rFonts w:ascii="Arial" w:hAnsi="Arial" w:cs="Arial"/>
                <w:sz w:val="20"/>
              </w:rPr>
            </w:pPr>
            <w:r>
              <w:rPr>
                <w:rFonts w:ascii="Arial" w:hAnsi="Arial" w:cs="Arial"/>
                <w:sz w:val="20"/>
              </w:rPr>
              <w:t>20.06</w:t>
            </w:r>
          </w:p>
        </w:tc>
        <w:tc>
          <w:tcPr>
            <w:tcW w:w="974" w:type="dxa"/>
            <w:gridSpan w:val="2"/>
            <w:vAlign w:val="center"/>
          </w:tcPr>
          <w:p w:rsidR="007D46DA" w:rsidRDefault="007D46DA" w:rsidP="006B1499">
            <w:pPr>
              <w:jc w:val="center"/>
              <w:rPr>
                <w:rFonts w:ascii="Arial" w:hAnsi="Arial" w:cs="Arial"/>
                <w:sz w:val="20"/>
              </w:rPr>
            </w:pPr>
            <w:r>
              <w:rPr>
                <w:rFonts w:ascii="Arial" w:hAnsi="Arial" w:cs="Arial"/>
                <w:sz w:val="20"/>
              </w:rPr>
              <w:t>10.66</w:t>
            </w:r>
          </w:p>
        </w:tc>
        <w:tc>
          <w:tcPr>
            <w:tcW w:w="1003" w:type="dxa"/>
            <w:gridSpan w:val="2"/>
            <w:vAlign w:val="center"/>
          </w:tcPr>
          <w:p w:rsidR="007D46DA" w:rsidRDefault="007D46DA" w:rsidP="006B1499">
            <w:pPr>
              <w:jc w:val="center"/>
              <w:rPr>
                <w:rFonts w:ascii="Arial" w:hAnsi="Arial" w:cs="Arial"/>
                <w:sz w:val="20"/>
              </w:rPr>
            </w:pPr>
            <w:r>
              <w:rPr>
                <w:rFonts w:ascii="Arial" w:hAnsi="Arial" w:cs="Arial"/>
                <w:sz w:val="20"/>
              </w:rPr>
              <w:t>12.63</w:t>
            </w:r>
          </w:p>
        </w:tc>
        <w:tc>
          <w:tcPr>
            <w:tcW w:w="1110" w:type="dxa"/>
            <w:shd w:val="clear" w:color="auto" w:fill="auto"/>
            <w:vAlign w:val="center"/>
          </w:tcPr>
          <w:p w:rsidR="007D46DA" w:rsidRDefault="007D46DA" w:rsidP="006B1499">
            <w:pPr>
              <w:jc w:val="center"/>
              <w:rPr>
                <w:rFonts w:ascii="Arial" w:hAnsi="Arial" w:cs="Arial"/>
                <w:sz w:val="20"/>
              </w:rPr>
            </w:pPr>
            <w:r>
              <w:rPr>
                <w:rFonts w:ascii="Arial" w:hAnsi="Arial" w:cs="Arial"/>
                <w:sz w:val="20"/>
              </w:rPr>
              <w:t>14.50</w:t>
            </w:r>
          </w:p>
        </w:tc>
      </w:tr>
      <w:tr w:rsidR="007D46DA" w:rsidRPr="008A4D8E">
        <w:trPr>
          <w:trHeight w:val="305"/>
          <w:jc w:val="center"/>
        </w:trPr>
        <w:tc>
          <w:tcPr>
            <w:tcW w:w="9420" w:type="dxa"/>
            <w:gridSpan w:val="11"/>
            <w:shd w:val="clear" w:color="auto" w:fill="D9D9D9" w:themeFill="background1" w:themeFillShade="D9"/>
            <w:vAlign w:val="center"/>
          </w:tcPr>
          <w:p w:rsidR="007D46DA" w:rsidRPr="008A4D8E" w:rsidRDefault="007D46DA" w:rsidP="006B1499">
            <w:pPr>
              <w:jc w:val="center"/>
              <w:rPr>
                <w:rFonts w:ascii="Arial" w:hAnsi="Arial" w:cs="Arial"/>
                <w:sz w:val="20"/>
              </w:rPr>
            </w:pPr>
          </w:p>
        </w:tc>
      </w:tr>
      <w:tr w:rsidR="007D46DA" w:rsidRPr="008A4D8E">
        <w:trPr>
          <w:trHeight w:val="305"/>
          <w:jc w:val="center"/>
        </w:trPr>
        <w:tc>
          <w:tcPr>
            <w:tcW w:w="3210" w:type="dxa"/>
            <w:vAlign w:val="center"/>
          </w:tcPr>
          <w:p w:rsidR="007D46DA" w:rsidRPr="008A4D8E" w:rsidRDefault="007D46DA" w:rsidP="006B1499">
            <w:pPr>
              <w:autoSpaceDE w:val="0"/>
              <w:autoSpaceDN w:val="0"/>
              <w:adjustRightInd w:val="0"/>
              <w:rPr>
                <w:color w:val="000000"/>
                <w:sz w:val="22"/>
                <w:szCs w:val="22"/>
              </w:rPr>
            </w:pPr>
            <w:r w:rsidRPr="008A4D8E">
              <w:rPr>
                <w:color w:val="000000"/>
                <w:sz w:val="22"/>
                <w:szCs w:val="22"/>
              </w:rPr>
              <w:t>World</w:t>
            </w:r>
          </w:p>
        </w:tc>
        <w:tc>
          <w:tcPr>
            <w:tcW w:w="1230" w:type="dxa"/>
            <w:gridSpan w:val="2"/>
            <w:vAlign w:val="center"/>
          </w:tcPr>
          <w:p w:rsidR="007D46DA" w:rsidRPr="008A4D8E" w:rsidRDefault="007D46DA" w:rsidP="006B1499">
            <w:pPr>
              <w:jc w:val="center"/>
              <w:rPr>
                <w:rFonts w:ascii="Arial" w:hAnsi="Arial" w:cs="Arial"/>
                <w:sz w:val="20"/>
              </w:rPr>
            </w:pPr>
            <w:r w:rsidRPr="008A4D8E">
              <w:rPr>
                <w:rFonts w:ascii="Arial" w:hAnsi="Arial" w:cs="Arial"/>
                <w:sz w:val="20"/>
              </w:rPr>
              <w:t>5.30</w:t>
            </w:r>
          </w:p>
        </w:tc>
        <w:tc>
          <w:tcPr>
            <w:tcW w:w="990" w:type="dxa"/>
            <w:gridSpan w:val="2"/>
            <w:vAlign w:val="center"/>
          </w:tcPr>
          <w:p w:rsidR="007D46DA" w:rsidRPr="008A4D8E" w:rsidRDefault="007D46DA" w:rsidP="006B1499">
            <w:pPr>
              <w:jc w:val="center"/>
              <w:rPr>
                <w:rFonts w:ascii="Arial" w:hAnsi="Arial" w:cs="Arial"/>
                <w:sz w:val="20"/>
              </w:rPr>
            </w:pPr>
            <w:r w:rsidRPr="008A4D8E">
              <w:rPr>
                <w:rFonts w:ascii="Arial" w:hAnsi="Arial" w:cs="Arial"/>
                <w:sz w:val="20"/>
              </w:rPr>
              <w:t>2.24</w:t>
            </w:r>
          </w:p>
        </w:tc>
        <w:tc>
          <w:tcPr>
            <w:tcW w:w="903" w:type="dxa"/>
            <w:shd w:val="clear" w:color="auto" w:fill="auto"/>
            <w:vAlign w:val="center"/>
          </w:tcPr>
          <w:p w:rsidR="007D46DA" w:rsidRPr="008A4D8E" w:rsidRDefault="007D46DA" w:rsidP="006B1499">
            <w:pPr>
              <w:jc w:val="center"/>
              <w:rPr>
                <w:rFonts w:ascii="Arial" w:hAnsi="Arial" w:cs="Arial"/>
                <w:sz w:val="20"/>
              </w:rPr>
            </w:pPr>
            <w:r w:rsidRPr="008A4D8E">
              <w:rPr>
                <w:rFonts w:ascii="Arial" w:hAnsi="Arial" w:cs="Arial"/>
                <w:sz w:val="20"/>
              </w:rPr>
              <w:t>5.15</w:t>
            </w:r>
          </w:p>
        </w:tc>
        <w:tc>
          <w:tcPr>
            <w:tcW w:w="974" w:type="dxa"/>
            <w:gridSpan w:val="2"/>
            <w:vAlign w:val="center"/>
          </w:tcPr>
          <w:p w:rsidR="007D46DA" w:rsidRPr="008A4D8E" w:rsidRDefault="007D46DA" w:rsidP="006B1499">
            <w:pPr>
              <w:jc w:val="center"/>
              <w:rPr>
                <w:rFonts w:ascii="Arial" w:hAnsi="Arial" w:cs="Arial"/>
                <w:sz w:val="20"/>
              </w:rPr>
            </w:pPr>
            <w:r w:rsidRPr="008A4D8E">
              <w:rPr>
                <w:rFonts w:ascii="Arial" w:hAnsi="Arial" w:cs="Arial"/>
                <w:sz w:val="20"/>
              </w:rPr>
              <w:t>2.10</w:t>
            </w:r>
          </w:p>
        </w:tc>
        <w:tc>
          <w:tcPr>
            <w:tcW w:w="1003" w:type="dxa"/>
            <w:gridSpan w:val="2"/>
            <w:vAlign w:val="center"/>
          </w:tcPr>
          <w:p w:rsidR="007D46DA" w:rsidRPr="008A4D8E" w:rsidRDefault="007D46DA" w:rsidP="006B1499">
            <w:pPr>
              <w:jc w:val="center"/>
              <w:rPr>
                <w:rFonts w:ascii="Arial" w:hAnsi="Arial" w:cs="Arial"/>
                <w:sz w:val="20"/>
              </w:rPr>
            </w:pPr>
            <w:r w:rsidRPr="008A4D8E">
              <w:rPr>
                <w:rFonts w:ascii="Arial" w:hAnsi="Arial" w:cs="Arial"/>
                <w:sz w:val="20"/>
              </w:rPr>
              <w:t>2.55</w:t>
            </w:r>
          </w:p>
        </w:tc>
        <w:tc>
          <w:tcPr>
            <w:tcW w:w="1110" w:type="dxa"/>
            <w:shd w:val="clear" w:color="auto" w:fill="auto"/>
            <w:vAlign w:val="center"/>
          </w:tcPr>
          <w:p w:rsidR="007D46DA" w:rsidRPr="008A4D8E" w:rsidRDefault="007D46DA" w:rsidP="006B1499">
            <w:pPr>
              <w:jc w:val="center"/>
              <w:rPr>
                <w:rFonts w:ascii="Arial" w:hAnsi="Arial" w:cs="Arial"/>
                <w:sz w:val="20"/>
              </w:rPr>
            </w:pPr>
            <w:r w:rsidRPr="008A4D8E">
              <w:rPr>
                <w:rFonts w:ascii="Arial" w:hAnsi="Arial" w:cs="Arial"/>
                <w:sz w:val="20"/>
              </w:rPr>
              <w:t>2.97</w:t>
            </w:r>
          </w:p>
        </w:tc>
      </w:tr>
      <w:tr w:rsidR="007D46DA" w:rsidRPr="00CA4EF3">
        <w:trPr>
          <w:trHeight w:val="305"/>
          <w:jc w:val="center"/>
        </w:trPr>
        <w:tc>
          <w:tcPr>
            <w:tcW w:w="9420" w:type="dxa"/>
            <w:gridSpan w:val="11"/>
            <w:vAlign w:val="center"/>
          </w:tcPr>
          <w:p w:rsidR="007D46DA" w:rsidRPr="00CA4EF3" w:rsidRDefault="007D46DA" w:rsidP="006B1499">
            <w:pPr>
              <w:rPr>
                <w:color w:val="000000"/>
                <w:sz w:val="22"/>
                <w:szCs w:val="22"/>
              </w:rPr>
            </w:pPr>
            <w:r w:rsidRPr="00CA4EF3">
              <w:rPr>
                <w:color w:val="000000"/>
                <w:sz w:val="22"/>
                <w:szCs w:val="22"/>
              </w:rPr>
              <w:t xml:space="preserve">* </w:t>
            </w:r>
            <w:r>
              <w:rPr>
                <w:color w:val="000000"/>
                <w:sz w:val="22"/>
                <w:szCs w:val="22"/>
              </w:rPr>
              <w:t>No data for Europe and Central Asia prior to 1990</w:t>
            </w:r>
            <w:r w:rsidRPr="00CA4EF3">
              <w:rPr>
                <w:color w:val="000000"/>
                <w:sz w:val="22"/>
                <w:szCs w:val="22"/>
              </w:rPr>
              <w:t>.</w:t>
            </w:r>
          </w:p>
          <w:p w:rsidR="007D46DA" w:rsidRPr="00CA4EF3" w:rsidRDefault="007D46DA" w:rsidP="006B1499">
            <w:pPr>
              <w:rPr>
                <w:color w:val="000000"/>
                <w:sz w:val="22"/>
                <w:szCs w:val="22"/>
              </w:rPr>
            </w:pPr>
            <w:r w:rsidRPr="00CA4EF3">
              <w:rPr>
                <w:color w:val="000000"/>
                <w:sz w:val="22"/>
                <w:szCs w:val="22"/>
              </w:rPr>
              <w:t xml:space="preserve">Source: </w:t>
            </w:r>
            <w:r>
              <w:t xml:space="preserve">Data compiled by authors from </w:t>
            </w:r>
            <w:r w:rsidRPr="00231D5C">
              <w:t>Calderón (personal communication),</w:t>
            </w:r>
            <w:r>
              <w:t xml:space="preserve"> Canning </w:t>
            </w:r>
            <w:fldSimple w:instr=" ADDIN ZOTERO_ITEM {&quot;citationID&quot;:&quot;oP0fe9lx&quot;,&quot;properties&quot;:{&quot;formattedCitation&quot;:&quot;(1998)&quot;,&quot;plainCitation&quot;:&quot;(1998)&quot;},&quot;citationItems&quot;:[{&quot;id&quot;:1067,&quot;uris&quot;:[&quot;http://zotero.org/groups/4482/items/59NKURMC&quot;],&quot;uri&quot;:[&quot;http://zotero.org/groups/4482/items/59NKURMC&quot;],&quot;suppress-author&quot;:true}]} ">
              <w:r w:rsidRPr="00AA7B30">
                <w:rPr>
                  <w:szCs w:val="21"/>
                </w:rPr>
                <w:t>(1998)</w:t>
              </w:r>
            </w:fldSimple>
            <w:r>
              <w:t xml:space="preserve">, Canning and Farahani </w:t>
            </w:r>
            <w:fldSimple w:instr=" ADDIN ZOTERO_ITEM {&quot;citationID&quot;:&quot;hXfMOQT9&quot;,&quot;properties&quot;:{&quot;formattedCitation&quot;:&quot;(2007)&quot;,&quot;plainCitation&quot;:&quot;(2007)&quot;},&quot;citationItems&quot;:[{&quot;id&quot;:500,&quot;uris&quot;:[&quot;http://zotero.org/groups/4482/items/MSM7T659&quot;],&quot;uri&quot;:[&quot;http://zotero.org/groups/4482/items/MSM7T659&quot;],&quot;suppress-author&quot;:true}]} ">
              <w:r w:rsidRPr="00AA7B30">
                <w:rPr>
                  <w:szCs w:val="21"/>
                </w:rPr>
                <w:t>(2007)</w:t>
              </w:r>
            </w:fldSimple>
            <w:r>
              <w:t xml:space="preserve">, and various editions of the World Bank’s </w:t>
            </w:r>
            <w:r>
              <w:rPr>
                <w:i/>
              </w:rPr>
              <w:t>World Development Indicators</w:t>
            </w:r>
            <w:r>
              <w:t>.</w:t>
            </w:r>
          </w:p>
        </w:tc>
      </w:tr>
    </w:tbl>
    <w:p w:rsidR="007D46DA" w:rsidRPr="00CA4EF3" w:rsidRDefault="007D46DA" w:rsidP="007D46DA">
      <w:pPr>
        <w:rPr>
          <w:noProof/>
        </w:rPr>
      </w:pPr>
    </w:p>
    <w:p w:rsidR="007D46DA" w:rsidRPr="00CA4EF3" w:rsidRDefault="007D46DA" w:rsidP="007D46DA">
      <w:r w:rsidRPr="00CA4EF3">
        <w:t xml:space="preserve">The Rural Access Index (RAI) </w:t>
      </w:r>
      <w:r>
        <w:t xml:space="preserve">was defined by </w:t>
      </w:r>
      <w:r w:rsidRPr="00CA4EF3">
        <w:t xml:space="preserve">Roberts, KC, and Rastogi </w:t>
      </w:r>
      <w:r w:rsidR="00F7383F" w:rsidRPr="00CA4EF3">
        <w:fldChar w:fldCharType="begin"/>
      </w:r>
      <w:r>
        <w:instrText xml:space="preserve"> ADDIN ZOTERO_ITEM {"citationID":"ArFllCde","properties":{"formattedCitation":"(2006, 2)","plainCitation":"(2006, 2)"},"citationItems":[{"id":679,"uris":["http://zotero.org/groups/4482/items/XWNS3UM5"],"uri":["http://zotero.org/groups/4482/items/XWNS3UM5"],"locator":"2","label":"page","suppress-author":true}]} </w:instrText>
      </w:r>
      <w:r w:rsidR="00F7383F" w:rsidRPr="00CA4EF3">
        <w:fldChar w:fldCharType="separate"/>
      </w:r>
      <w:r w:rsidRPr="004B53C9">
        <w:rPr>
          <w:szCs w:val="21"/>
        </w:rPr>
        <w:t>(2006, 2)</w:t>
      </w:r>
      <w:r w:rsidR="00F7383F" w:rsidRPr="00CA4EF3">
        <w:fldChar w:fldCharType="end"/>
      </w:r>
      <w:r>
        <w:t xml:space="preserve"> </w:t>
      </w:r>
      <w:r w:rsidRPr="00CA4EF3">
        <w:t>as “the number of rural people who live within two kilometers (typically equivalent to a walk of 20-25 minutes) of an all-season road as a proportion of the total rural population.” Figure 2</w:t>
      </w:r>
      <w:r>
        <w:t>.3</w:t>
      </w:r>
      <w:r w:rsidRPr="00CA4EF3">
        <w:t xml:space="preserve"> shows the wide range of access across countries based upon the most recent data available. </w:t>
      </w:r>
    </w:p>
    <w:p w:rsidR="007D46DA" w:rsidRPr="00CA4EF3" w:rsidRDefault="007D46DA" w:rsidP="007D46DA"/>
    <w:p w:rsidR="007D46DA" w:rsidRPr="00C076D0" w:rsidRDefault="007D46DA" w:rsidP="007D46DA">
      <w:pPr>
        <w:rPr>
          <w:b/>
        </w:rPr>
      </w:pPr>
      <w:r w:rsidRPr="00C076D0">
        <w:rPr>
          <w:b/>
          <w:noProof/>
        </w:rPr>
        <w:drawing>
          <wp:anchor distT="0" distB="0" distL="114300" distR="114300" simplePos="0" relativeHeight="251662336" behindDoc="0" locked="1" layoutInCell="1" allowOverlap="1">
            <wp:simplePos x="0" y="0"/>
            <wp:positionH relativeFrom="column">
              <wp:align>center</wp:align>
            </wp:positionH>
            <wp:positionV relativeFrom="paragraph">
              <wp:posOffset>0</wp:posOffset>
            </wp:positionV>
            <wp:extent cx="5937885" cy="3206115"/>
            <wp:effectExtent l="25400" t="0" r="5715" b="0"/>
            <wp:wrapTopAndBottom/>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5937885" cy="3206115"/>
                    </a:xfrm>
                    <a:prstGeom prst="rect">
                      <a:avLst/>
                    </a:prstGeom>
                    <a:noFill/>
                  </pic:spPr>
                </pic:pic>
              </a:graphicData>
            </a:graphic>
          </wp:anchor>
        </w:drawing>
      </w:r>
      <w:r w:rsidRPr="00C076D0">
        <w:rPr>
          <w:b/>
        </w:rPr>
        <w:t>Figure</w:t>
      </w:r>
      <w:r>
        <w:rPr>
          <w:b/>
        </w:rPr>
        <w:t xml:space="preserve"> </w:t>
      </w:r>
      <w:r w:rsidRPr="00C076D0">
        <w:rPr>
          <w:b/>
        </w:rPr>
        <w:t>2.</w:t>
      </w:r>
      <w:r>
        <w:rPr>
          <w:b/>
        </w:rPr>
        <w:t>3</w:t>
      </w:r>
      <w:r w:rsidRPr="00C076D0">
        <w:rPr>
          <w:b/>
        </w:rPr>
        <w:t xml:space="preserve"> Current </w:t>
      </w:r>
      <w:r>
        <w:rPr>
          <w:b/>
        </w:rPr>
        <w:t>e</w:t>
      </w:r>
      <w:r w:rsidRPr="00C076D0">
        <w:rPr>
          <w:b/>
        </w:rPr>
        <w:t xml:space="preserve">stimates of </w:t>
      </w:r>
      <w:r>
        <w:rPr>
          <w:b/>
        </w:rPr>
        <w:t>r</w:t>
      </w:r>
      <w:r w:rsidRPr="00C076D0">
        <w:rPr>
          <w:b/>
        </w:rPr>
        <w:t xml:space="preserve">ural </w:t>
      </w:r>
      <w:r>
        <w:rPr>
          <w:b/>
        </w:rPr>
        <w:t>a</w:t>
      </w:r>
      <w:r w:rsidRPr="00C076D0">
        <w:rPr>
          <w:b/>
        </w:rPr>
        <w:t xml:space="preserve">ccess </w:t>
      </w:r>
      <w:r>
        <w:rPr>
          <w:b/>
        </w:rPr>
        <w:t>i</w:t>
      </w:r>
      <w:r w:rsidRPr="00C076D0">
        <w:rPr>
          <w:b/>
        </w:rPr>
        <w:t>ndex</w:t>
      </w:r>
      <w:r>
        <w:rPr>
          <w:b/>
        </w:rPr>
        <w:t>, circa 1997</w:t>
      </w:r>
    </w:p>
    <w:p w:rsidR="007D46DA" w:rsidRPr="00EF5D3E" w:rsidRDefault="007D46DA" w:rsidP="007D46DA">
      <w:pPr>
        <w:rPr>
          <w:i/>
        </w:rPr>
      </w:pPr>
      <w:r w:rsidRPr="003779E3">
        <w:rPr>
          <w:i/>
        </w:rPr>
        <w:t xml:space="preserve">Source: Figure available from the World Bank at </w:t>
      </w:r>
      <w:hyperlink r:id="rId26" w:history="1">
        <w:r w:rsidRPr="003779E3">
          <w:rPr>
            <w:rStyle w:val="Hyperlink"/>
            <w:i/>
          </w:rPr>
          <w:t>http://www.worldbank.org/transport/transportresults/headline/rural-access/rai-map-20070305.pdf</w:t>
        </w:r>
      </w:hyperlink>
      <w:r w:rsidRPr="003779E3">
        <w:rPr>
          <w:i/>
        </w:rPr>
        <w:t xml:space="preserve"> </w:t>
      </w:r>
    </w:p>
    <w:p w:rsidR="007D46DA" w:rsidRPr="00CA4EF3" w:rsidRDefault="007D46DA" w:rsidP="007D46DA"/>
    <w:p w:rsidR="007D46DA" w:rsidRPr="00B40E6A" w:rsidRDefault="007D46DA" w:rsidP="007D46DA">
      <w:pPr>
        <w:pStyle w:val="Heading4"/>
      </w:pPr>
      <w:bookmarkStart w:id="47" w:name="_Toc199580844"/>
      <w:bookmarkStart w:id="48" w:name="_Toc200095270"/>
      <w:r>
        <w:t xml:space="preserve">2.3.1.2 </w:t>
      </w:r>
      <w:r w:rsidRPr="00B40E6A">
        <w:t>Water</w:t>
      </w:r>
      <w:bookmarkEnd w:id="47"/>
      <w:bookmarkEnd w:id="48"/>
    </w:p>
    <w:p w:rsidR="007D46DA" w:rsidRDefault="007D46DA" w:rsidP="007D46DA">
      <w:r>
        <w:t xml:space="preserve">Water is a vital resource, not only because life on Earth depends on it but also because it makes civilization possible, from basic activities like growing food and removing waste, to advanced processes like manufacturing and electricity generation. Cooking and cleaning, cooling and heating, fire protection, transportation, and recreation—they all require the use and management of water. Indeed, managing water resources was at the heart of ancient civilizations. In Egypt, the Nile’s annual floods determined everything from the size of the year’s harvests to the amount of taxes levied. Each year, Egyptian priests would use the Nilometer, a simple stone column used to measure water depth, to make what were perhaps the first forecasts in history: whether it would be a year of plenty or a year of hardship and hunger </w:t>
      </w:r>
      <w:r w:rsidR="00F7383F" w:rsidRPr="00CA4EF3">
        <w:fldChar w:fldCharType="begin"/>
      </w:r>
      <w:r>
        <w:instrText xml:space="preserve"> ADDIN ZOTERO_ITEM {"citationID":"2i28s5alup","properties":{"formattedCitation":"(Eltahir and Wang 1999)","plainCitation":"(Eltahir and Wang 1999)"},"citationItems":[{"id":358,"uris":["http://zotero.org/groups/4482/items/CD9I9HDG"],"uri":["http://zotero.org/groups/4482/items/CD9I9HDG"]}]} </w:instrText>
      </w:r>
      <w:r w:rsidR="00F7383F" w:rsidRPr="00CA4EF3">
        <w:fldChar w:fldCharType="separate"/>
      </w:r>
      <w:r w:rsidRPr="00AA7B30">
        <w:rPr>
          <w:szCs w:val="21"/>
        </w:rPr>
        <w:t>(Eltahir and Wang 1999)</w:t>
      </w:r>
      <w:r w:rsidR="00F7383F" w:rsidRPr="00CA4EF3">
        <w:fldChar w:fldCharType="end"/>
      </w:r>
      <w:r>
        <w:t>. Water remains just as important today, and the level of access to clean drinking water is seen as a central measure of quality of life.</w:t>
      </w:r>
    </w:p>
    <w:p w:rsidR="007D46DA" w:rsidRDefault="007D46DA" w:rsidP="007D46DA"/>
    <w:p w:rsidR="007D46DA" w:rsidRDefault="007D46DA" w:rsidP="007D46DA">
      <w:r>
        <w:t>Civilizations throughout history have altered and augmented natural hydrological systems through the creation of intricate networks of canals, dams, reservoirs, pumps, wells, sewers, etc., all in order to harness the benefits of water. These infrastructure networks can be seen as part of an overall water management system (Figure 2.4) that performs three general functions:</w:t>
      </w:r>
    </w:p>
    <w:p w:rsidR="007D46DA" w:rsidRDefault="007D46DA" w:rsidP="007D46DA">
      <w:pPr>
        <w:pStyle w:val="ListParagraph"/>
        <w:numPr>
          <w:ilvl w:val="0"/>
          <w:numId w:val="12"/>
        </w:numPr>
      </w:pPr>
      <w:r w:rsidRPr="00940BE9">
        <w:rPr>
          <w:i/>
        </w:rPr>
        <w:t>Water storage and distribution systems</w:t>
      </w:r>
      <w:r>
        <w:t xml:space="preserve"> to provide better control over the spatial and temporal allocation of water resources, and also to treat freshwater for certain uses</w:t>
      </w:r>
    </w:p>
    <w:p w:rsidR="007D46DA" w:rsidRDefault="007D46DA" w:rsidP="007D46DA">
      <w:pPr>
        <w:pStyle w:val="ListParagraph"/>
        <w:numPr>
          <w:ilvl w:val="0"/>
          <w:numId w:val="12"/>
        </w:numPr>
      </w:pPr>
      <w:r>
        <w:rPr>
          <w:i/>
        </w:rPr>
        <w:t xml:space="preserve">Post-use collection and treatment systems </w:t>
      </w:r>
      <w:r>
        <w:t>to manage and treat water after it has been used but before it is returned to the natural environment or made available for other uses</w:t>
      </w:r>
    </w:p>
    <w:p w:rsidR="007D46DA" w:rsidRPr="00940BE9" w:rsidRDefault="007D46DA" w:rsidP="007D46DA">
      <w:pPr>
        <w:pStyle w:val="ListParagraph"/>
        <w:numPr>
          <w:ilvl w:val="0"/>
          <w:numId w:val="12"/>
        </w:numPr>
      </w:pPr>
      <w:r>
        <w:rPr>
          <w:i/>
        </w:rPr>
        <w:t>Stormwater management systems</w:t>
      </w:r>
      <w:r>
        <w:t xml:space="preserve"> to redirect water during floods and storms</w:t>
      </w:r>
    </w:p>
    <w:p w:rsidR="007D46DA" w:rsidRDefault="007D46DA" w:rsidP="007D46DA"/>
    <w:p w:rsidR="007D46DA" w:rsidDel="00160113" w:rsidRDefault="007D46DA" w:rsidP="007D46DA">
      <w:r>
        <w:rPr>
          <w:noProof/>
        </w:rPr>
        <w:drawing>
          <wp:inline distT="0" distB="0" distL="0" distR="0">
            <wp:extent cx="5939790" cy="4402667"/>
            <wp:effectExtent l="2540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srcRect/>
                    <a:stretch>
                      <a:fillRect/>
                    </a:stretch>
                  </pic:blipFill>
                  <pic:spPr bwMode="auto">
                    <a:xfrm>
                      <a:off x="0" y="0"/>
                      <a:ext cx="5939790" cy="4399280"/>
                    </a:xfrm>
                    <a:prstGeom prst="rect">
                      <a:avLst/>
                    </a:prstGeom>
                    <a:noFill/>
                    <a:ln w="9525">
                      <a:noFill/>
                      <a:miter lim="800000"/>
                      <a:headEnd/>
                      <a:tailEnd/>
                    </a:ln>
                  </pic:spPr>
                </pic:pic>
              </a:graphicData>
            </a:graphic>
          </wp:inline>
        </w:drawing>
      </w:r>
    </w:p>
    <w:p w:rsidR="007D46DA" w:rsidRDefault="007D46DA" w:rsidP="007D46DA">
      <w:pPr>
        <w:rPr>
          <w:b/>
        </w:rPr>
      </w:pPr>
      <w:r w:rsidRPr="00CA4EF3">
        <w:rPr>
          <w:b/>
        </w:rPr>
        <w:t>Figure 2.4 Water resources and water infrastructure</w:t>
      </w:r>
    </w:p>
    <w:p w:rsidR="007D46DA" w:rsidRPr="000F00C5" w:rsidRDefault="007D46DA" w:rsidP="007D46DA">
      <w:pPr>
        <w:rPr>
          <w:i/>
        </w:rPr>
      </w:pPr>
      <w:r w:rsidRPr="000F00C5">
        <w:rPr>
          <w:i/>
        </w:rPr>
        <w:t>Source: Created by authors</w:t>
      </w:r>
    </w:p>
    <w:p w:rsidR="007D46DA" w:rsidRPr="002A5092" w:rsidRDefault="007D46DA" w:rsidP="007D46DA">
      <w:pPr>
        <w:rPr>
          <w:i/>
        </w:rPr>
      </w:pPr>
      <w:r w:rsidRPr="00726638">
        <w:rPr>
          <w:i/>
        </w:rPr>
        <w:t xml:space="preserve">Note: </w:t>
      </w:r>
      <w:r>
        <w:rPr>
          <w:i/>
        </w:rPr>
        <w:t xml:space="preserve">Blue water refers to water in lakes, rivers, and groundwater aquifers. Green water refers to rainfall stored in the soil and available for the growth of plants. Non-conventional sources include desalinated sea or brackish water, adequately treated domestic or industrial wastewater, and agricultural drainage water. </w:t>
      </w:r>
      <w:r w:rsidRPr="00726638">
        <w:rPr>
          <w:i/>
        </w:rPr>
        <w:t>Does not include stormwater management.</w:t>
      </w:r>
      <w:r>
        <w:rPr>
          <w:i/>
        </w:rPr>
        <w:t xml:space="preserve"> Definitions taken from FAO Aquastat glossary available at </w:t>
      </w:r>
      <w:hyperlink r:id="rId28" w:history="1">
        <w:r w:rsidRPr="00653B7C">
          <w:rPr>
            <w:rStyle w:val="Hyperlink"/>
            <w:i/>
          </w:rPr>
          <w:t>http://www.fao.org/nr/water/aquastat/data/glossary/search.html?lang=en</w:t>
        </w:r>
      </w:hyperlink>
      <w:r>
        <w:rPr>
          <w:i/>
        </w:rPr>
        <w:t xml:space="preserve"> (accessed 23 June 2010)</w:t>
      </w:r>
    </w:p>
    <w:p w:rsidR="007D46DA" w:rsidRDefault="007D46DA" w:rsidP="007D46DA"/>
    <w:p w:rsidR="007D46DA" w:rsidRDefault="007D46DA" w:rsidP="007D46DA">
      <w:pPr>
        <w:rPr>
          <w:noProof/>
        </w:rPr>
      </w:pPr>
      <w:r>
        <w:t>These networks continue to expand as people strive to make greater use of this precious resource. The largest user of water is for irrigated agriculture, accounting for more than 70 percent of global water extraction.</w:t>
      </w:r>
      <w:r w:rsidRPr="000E4C4E">
        <w:rPr>
          <w:rStyle w:val="FootnoteReference"/>
        </w:rPr>
        <w:footnoteReference w:id="18"/>
      </w:r>
      <w:r>
        <w:t xml:space="preserve"> The </w:t>
      </w:r>
      <w:r w:rsidRPr="00CA4EF3">
        <w:t>total area equipped for irrigation globally has nearly doubled in the past half century</w:t>
      </w:r>
      <w:r>
        <w:t>, growing</w:t>
      </w:r>
      <w:r w:rsidRPr="00CA4EF3">
        <w:t xml:space="preserve"> from 156 million hectares in 1961 to 312 million hectares in 2009 (Figure 2.</w:t>
      </w:r>
      <w:r>
        <w:t>5</w:t>
      </w:r>
      <w:r w:rsidRPr="00CA4EF3">
        <w:t xml:space="preserve">). </w:t>
      </w:r>
    </w:p>
    <w:p w:rsidR="007D46DA" w:rsidRDefault="007D46DA" w:rsidP="007D46DA">
      <w:pPr>
        <w:rPr>
          <w:noProof/>
        </w:rPr>
      </w:pPr>
    </w:p>
    <w:p w:rsidR="007D46DA" w:rsidRPr="00CA4EF3" w:rsidRDefault="007D46DA" w:rsidP="007D46DA">
      <w:pPr>
        <w:rPr>
          <w:noProof/>
        </w:rPr>
      </w:pPr>
    </w:p>
    <w:p w:rsidR="007D46DA" w:rsidRDefault="007D46DA" w:rsidP="007D46DA">
      <w:pPr>
        <w:jc w:val="center"/>
        <w:rPr>
          <w:b/>
          <w:noProof/>
        </w:rPr>
      </w:pPr>
      <w:r w:rsidRPr="00137772">
        <w:rPr>
          <w:b/>
          <w:noProof/>
        </w:rPr>
        <w:drawing>
          <wp:inline distT="0" distB="0" distL="0" distR="0">
            <wp:extent cx="5082540" cy="2591435"/>
            <wp:effectExtent l="25400" t="25400" r="22860" b="0"/>
            <wp:docPr id="14"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D46DA" w:rsidRPr="00CA4EF3" w:rsidRDefault="007D46DA" w:rsidP="007D46DA">
      <w:pPr>
        <w:rPr>
          <w:b/>
          <w:noProof/>
        </w:rPr>
      </w:pPr>
      <w:r w:rsidRPr="00CA4EF3">
        <w:rPr>
          <w:b/>
          <w:noProof/>
        </w:rPr>
        <w:t>Figure 2.</w:t>
      </w:r>
      <w:r>
        <w:rPr>
          <w:b/>
          <w:noProof/>
        </w:rPr>
        <w:t>5</w:t>
      </w:r>
      <w:r w:rsidRPr="00CA4EF3">
        <w:rPr>
          <w:b/>
          <w:noProof/>
        </w:rPr>
        <w:t xml:space="preserve"> Global area equipped for irrigation</w:t>
      </w:r>
    </w:p>
    <w:p w:rsidR="007D46DA" w:rsidRPr="001000BF" w:rsidRDefault="007D46DA" w:rsidP="007D46DA">
      <w:pPr>
        <w:rPr>
          <w:i/>
          <w:noProof/>
        </w:rPr>
      </w:pPr>
      <w:r w:rsidRPr="00726638">
        <w:rPr>
          <w:i/>
          <w:noProof/>
        </w:rPr>
        <w:t xml:space="preserve">Source: FAOSTAT online database </w:t>
      </w:r>
      <w:r>
        <w:rPr>
          <w:i/>
          <w:noProof/>
        </w:rPr>
        <w:t xml:space="preserve">available at </w:t>
      </w:r>
      <w:r w:rsidRPr="00726638">
        <w:rPr>
          <w:i/>
        </w:rPr>
        <w:t>http://faostat.fao.org</w:t>
      </w:r>
      <w:r>
        <w:rPr>
          <w:i/>
        </w:rPr>
        <w:t>.</w:t>
      </w:r>
    </w:p>
    <w:p w:rsidR="007D46DA" w:rsidRPr="00CA4EF3" w:rsidRDefault="007D46DA" w:rsidP="007D46DA">
      <w:pPr>
        <w:rPr>
          <w:noProof/>
        </w:rPr>
      </w:pPr>
    </w:p>
    <w:p w:rsidR="007D46DA" w:rsidRDefault="007D46DA" w:rsidP="007D46DA">
      <w:r>
        <w:t xml:space="preserve">This growth has slowed from </w:t>
      </w:r>
      <w:r w:rsidRPr="00CA4EF3">
        <w:t>two percent per year in the 1970s</w:t>
      </w:r>
      <w:r>
        <w:t xml:space="preserve"> to less than</w:t>
      </w:r>
      <w:r w:rsidRPr="00CA4EF3">
        <w:t xml:space="preserve"> one percent per year over the past decade</w:t>
      </w:r>
      <w:r>
        <w:t>. This is,</w:t>
      </w:r>
      <w:r w:rsidRPr="00CA4EF3">
        <w:t xml:space="preserve"> in part, </w:t>
      </w:r>
      <w:r>
        <w:t xml:space="preserve">due </w:t>
      </w:r>
      <w:r w:rsidRPr="00CA4EF3">
        <w:t>to a decline in the overall expansion of agricultural area</w:t>
      </w:r>
      <w:r>
        <w:t xml:space="preserve">, but also reflects natural limits on irrigation. </w:t>
      </w:r>
      <w:r>
        <w:rPr>
          <w:noProof/>
        </w:rPr>
        <w:t>S</w:t>
      </w:r>
      <w:r w:rsidRPr="00CA4EF3">
        <w:rPr>
          <w:noProof/>
        </w:rPr>
        <w:t>ome regions, notably East Asia and Pacific, and Middle East and North Africa</w:t>
      </w:r>
      <w:r>
        <w:rPr>
          <w:noProof/>
        </w:rPr>
        <w:t>,</w:t>
      </w:r>
      <w:r w:rsidRPr="00CA4EF3">
        <w:rPr>
          <w:noProof/>
        </w:rPr>
        <w:t xml:space="preserve"> have already equipped more than 70 percent of their potentially irrigable area</w:t>
      </w:r>
      <w:r>
        <w:rPr>
          <w:noProof/>
        </w:rPr>
        <w:t xml:space="preserve"> (Figure 2.6)</w:t>
      </w:r>
      <w:r w:rsidRPr="00CA4EF3">
        <w:rPr>
          <w:noProof/>
        </w:rPr>
        <w:t xml:space="preserve">. Sub-Saharan Africa, and </w:t>
      </w:r>
      <w:r>
        <w:rPr>
          <w:noProof/>
        </w:rPr>
        <w:t>l</w:t>
      </w:r>
      <w:r w:rsidRPr="00CA4EF3">
        <w:rPr>
          <w:noProof/>
        </w:rPr>
        <w:t>ow</w:t>
      </w:r>
      <w:r>
        <w:rPr>
          <w:noProof/>
        </w:rPr>
        <w:t>-i</w:t>
      </w:r>
      <w:r w:rsidRPr="00CA4EF3">
        <w:rPr>
          <w:noProof/>
        </w:rPr>
        <w:t xml:space="preserve">ncome </w:t>
      </w:r>
      <w:r>
        <w:rPr>
          <w:noProof/>
        </w:rPr>
        <w:t>c</w:t>
      </w:r>
      <w:r w:rsidRPr="00CA4EF3">
        <w:rPr>
          <w:noProof/>
        </w:rPr>
        <w:t xml:space="preserve">ountries more generally, have a larger share of their area remaining to be irrigated, but they also have less total area overall that potentially </w:t>
      </w:r>
      <w:r>
        <w:rPr>
          <w:noProof/>
        </w:rPr>
        <w:t xml:space="preserve">could </w:t>
      </w:r>
      <w:r w:rsidRPr="00CA4EF3">
        <w:rPr>
          <w:noProof/>
        </w:rPr>
        <w:t xml:space="preserve">be irrigated. </w:t>
      </w:r>
      <w:r w:rsidRPr="00CA4EF3">
        <w:t>Not all of the area that can potentially be irrigated will necessarily be equipped for irrigation</w:t>
      </w:r>
      <w:r>
        <w:t>, however</w:t>
      </w:r>
      <w:r w:rsidRPr="00CA4EF3">
        <w:t xml:space="preserve">. This can be for a number of reasons, including adequate natural rainfall or unfavorable rates of return to irrigation infrastructure </w:t>
      </w:r>
      <w:r w:rsidR="00F7383F" w:rsidRPr="00F7383F">
        <w:rPr>
          <w:szCs w:val="24"/>
        </w:rPr>
        <w:fldChar w:fldCharType="begin"/>
      </w:r>
      <w:r>
        <w:instrText xml:space="preserve"> ADDIN ZOTERO_ITEM {"citationID":"1uvg89r5vf","properties":{"formattedCitation":"(You et al. 2010)","plainCitation":"(You et al. 2010)"},"citationItems":[{"id":1042,"uris":["http://zotero.org/groups/4482/items/DDP4FK3X"],"uri":["http://zotero.org/groups/4482/items/DDP4FK3X"]}]} </w:instrText>
      </w:r>
      <w:r w:rsidR="00F7383F" w:rsidRPr="00F7383F">
        <w:rPr>
          <w:szCs w:val="24"/>
        </w:rPr>
        <w:fldChar w:fldCharType="separate"/>
      </w:r>
      <w:r w:rsidRPr="00AA7B30">
        <w:rPr>
          <w:szCs w:val="21"/>
        </w:rPr>
        <w:t>(You et al. 2010)</w:t>
      </w:r>
      <w:r w:rsidR="00F7383F">
        <w:rPr>
          <w:szCs w:val="21"/>
        </w:rPr>
        <w:fldChar w:fldCharType="end"/>
      </w:r>
      <w:r w:rsidRPr="00CA4EF3">
        <w:t>.</w:t>
      </w:r>
    </w:p>
    <w:p w:rsidR="007D46DA" w:rsidRDefault="007D46DA" w:rsidP="007D46DA">
      <w:pPr>
        <w:jc w:val="center"/>
        <w:rPr>
          <w:noProof/>
        </w:rPr>
      </w:pPr>
      <w:r>
        <w:rPr>
          <w:noProof/>
        </w:rPr>
        <w:drawing>
          <wp:inline distT="0" distB="0" distL="0" distR="0">
            <wp:extent cx="4546600" cy="3456705"/>
            <wp:effectExtent l="25400" t="25400" r="0" b="0"/>
            <wp:docPr id="15" name="C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D46DA" w:rsidRDefault="007D46DA" w:rsidP="007D46DA">
      <w:pPr>
        <w:jc w:val="center"/>
        <w:rPr>
          <w:b/>
          <w:noProof/>
        </w:rPr>
      </w:pPr>
      <w:r>
        <w:rPr>
          <w:b/>
          <w:noProof/>
        </w:rPr>
        <w:drawing>
          <wp:inline distT="0" distB="0" distL="0" distR="0">
            <wp:extent cx="4546600" cy="3442196"/>
            <wp:effectExtent l="25400" t="25400" r="0" b="12204"/>
            <wp:docPr id="16" name="C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D46DA" w:rsidRPr="00CA4EF3" w:rsidRDefault="007D46DA" w:rsidP="007D46DA">
      <w:pPr>
        <w:rPr>
          <w:b/>
          <w:noProof/>
        </w:rPr>
      </w:pPr>
      <w:r w:rsidRPr="00CA4EF3">
        <w:rPr>
          <w:b/>
          <w:noProof/>
        </w:rPr>
        <w:t>Figure 2.</w:t>
      </w:r>
      <w:r>
        <w:rPr>
          <w:b/>
          <w:noProof/>
        </w:rPr>
        <w:t>6</w:t>
      </w:r>
      <w:r w:rsidRPr="00CA4EF3">
        <w:rPr>
          <w:b/>
          <w:noProof/>
        </w:rPr>
        <w:t xml:space="preserve"> Area potentially irrigated and percentage equipped by </w:t>
      </w:r>
      <w:r>
        <w:rPr>
          <w:b/>
          <w:noProof/>
        </w:rPr>
        <w:t>income group</w:t>
      </w:r>
      <w:r w:rsidRPr="00CA4EF3">
        <w:rPr>
          <w:b/>
          <w:noProof/>
        </w:rPr>
        <w:t xml:space="preserve"> and </w:t>
      </w:r>
      <w:r>
        <w:rPr>
          <w:b/>
          <w:noProof/>
        </w:rPr>
        <w:t>region (2007)</w:t>
      </w:r>
    </w:p>
    <w:p w:rsidR="007D46DA" w:rsidRPr="00CA4EF3" w:rsidDel="00A62C50" w:rsidRDefault="007D46DA" w:rsidP="007D46DA">
      <w:pPr>
        <w:rPr>
          <w:noProof/>
        </w:rPr>
      </w:pPr>
      <w:r w:rsidRPr="00726638">
        <w:rPr>
          <w:i/>
          <w:noProof/>
        </w:rPr>
        <w:t>Source: FAOSTAT and AQUASTAT, aggregation by authors. We only include countries with data on both potentially irrigable area and area equipped with irrigation. This excludes more than 70 countries, including a large-number of high-income countries</w:t>
      </w:r>
      <w:r w:rsidRPr="00CA4EF3">
        <w:rPr>
          <w:noProof/>
        </w:rPr>
        <w:t>.</w:t>
      </w:r>
    </w:p>
    <w:p w:rsidR="007D46DA" w:rsidRDefault="007D46DA" w:rsidP="007D46DA">
      <w:pPr>
        <w:rPr>
          <w:noProof/>
        </w:rPr>
      </w:pPr>
      <w:r>
        <w:rPr>
          <w:noProof/>
        </w:rPr>
        <w:br w:type="page"/>
      </w:r>
    </w:p>
    <w:p w:rsidR="007D46DA" w:rsidRDefault="007D46DA" w:rsidP="007D46DA"/>
    <w:p w:rsidR="007D46DA" w:rsidRDefault="007D46DA" w:rsidP="007D46DA">
      <w:r>
        <w:t xml:space="preserve">Although a much smaller user of water in absolute terms than irrigation, the provision of clean drinking water and sanitation are key factors in human health and a significant measure of human development. As such, Target 7.c of the Millennium Development Goals calls for countries to “Reduce by half the proportion of people without sustainable access to safe drinking water and basic sanitation” between 1990 and 2015 (Box 2.2). </w:t>
      </w:r>
    </w:p>
    <w:p w:rsidR="007D46DA" w:rsidRDefault="007D46DA" w:rsidP="007D46DA"/>
    <w:p w:rsidR="007D46DA" w:rsidRPr="002A4784" w:rsidRDefault="007D46DA" w:rsidP="007D46DA">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2A4784">
        <w:rPr>
          <w:b/>
        </w:rPr>
        <w:t>Box 2.</w:t>
      </w:r>
      <w:r>
        <w:rPr>
          <w:b/>
        </w:rPr>
        <w:t>2</w:t>
      </w:r>
      <w:r w:rsidRPr="002A4784">
        <w:rPr>
          <w:b/>
        </w:rPr>
        <w:t xml:space="preserve"> </w:t>
      </w:r>
      <w:r>
        <w:rPr>
          <w:b/>
        </w:rPr>
        <w:t>Defining improved water and sanitation</w:t>
      </w:r>
    </w:p>
    <w:p w:rsidR="007D46DA" w:rsidRPr="007305C1" w:rsidRDefault="007D46DA" w:rsidP="007D46DA">
      <w:pPr>
        <w:pBdr>
          <w:top w:val="single" w:sz="4" w:space="1" w:color="auto"/>
          <w:left w:val="single" w:sz="4" w:space="4" w:color="auto"/>
          <w:bottom w:val="single" w:sz="4" w:space="1" w:color="auto"/>
          <w:right w:val="single" w:sz="4" w:space="4" w:color="auto"/>
        </w:pBdr>
        <w:shd w:val="clear" w:color="auto" w:fill="D9D9D9" w:themeFill="background1" w:themeFillShade="D9"/>
      </w:pPr>
      <w:r>
        <w:t xml:space="preserve">The Joint Monitoring Programme of the </w:t>
      </w:r>
      <w:r w:rsidRPr="00E04D31">
        <w:t>W</w:t>
      </w:r>
      <w:r>
        <w:t xml:space="preserve">orld </w:t>
      </w:r>
      <w:r w:rsidRPr="00E04D31">
        <w:t>H</w:t>
      </w:r>
      <w:r>
        <w:t xml:space="preserve">ealth </w:t>
      </w:r>
      <w:r w:rsidRPr="00E04D31">
        <w:t>O</w:t>
      </w:r>
      <w:r>
        <w:t>rganization</w:t>
      </w:r>
      <w:r w:rsidRPr="00E04D31">
        <w:t xml:space="preserve"> and the United Nations Children’s Fund </w:t>
      </w:r>
      <w:r>
        <w:t xml:space="preserve">defines separate ‘ladders’ of sources of access to drinking water and sanitation and drinking water. The steps on the ladder for drinking water are “surface water”, “other unimproved,” “other improved,” and “piped into dwelling, plot or yard.” Persons that are on either of the latter two rungs are considered to have access to improved drinking water. For sanitation, the steps on the ladder are “open defecation,” “unimproved facilities,” “shared facilities,” and “improved facilities.” Only persons on the final rung are considered to have access to improved sanitation. See </w:t>
      </w:r>
      <w:r w:rsidRPr="00FF2F70">
        <w:t xml:space="preserve">WHO and UNICEF </w:t>
      </w:r>
      <w:r w:rsidR="00F7383F" w:rsidRPr="00FF2F70">
        <w:fldChar w:fldCharType="begin"/>
      </w:r>
      <w:r w:rsidRPr="00FF2F70">
        <w:instrText xml:space="preserve"> ADDIN ZOTERO_ITEM {"citationID":"A37TaKT9","properties":{"formattedCitation":"(WHO/UNICEF Joint Monitoring Programme for Supply and Sanitation 2010)","plainCitation":"(WHO/UNICEF Joint Monitoring Programme for Supply and Sanitation 2010)"},"citationItems":[{"id":223,"uris":["http://zotero.org/groups/4482/items/3S44CEZK"],"uri":["http://zotero.org/groups/4482/items/3S44CEZK"]}]} </w:instrText>
      </w:r>
      <w:r w:rsidR="00F7383F" w:rsidRPr="00FF2F70">
        <w:fldChar w:fldCharType="separate"/>
      </w:r>
      <w:r w:rsidRPr="00FF2F70">
        <w:rPr>
          <w:noProof/>
        </w:rPr>
        <w:t>(2010)</w:t>
      </w:r>
      <w:r w:rsidR="00F7383F" w:rsidRPr="00FF2F70">
        <w:fldChar w:fldCharType="end"/>
      </w:r>
      <w:r w:rsidRPr="00FF2F70">
        <w:t>: 12-13</w:t>
      </w:r>
      <w:r>
        <w:t xml:space="preserve"> for further explanation of terms. </w:t>
      </w:r>
    </w:p>
    <w:p w:rsidR="007D46DA" w:rsidRDefault="007D46DA" w:rsidP="007D46DA"/>
    <w:p w:rsidR="007D46DA" w:rsidRDefault="007D46DA" w:rsidP="007D46DA">
      <w:r w:rsidRPr="00CA4EF3">
        <w:t>In 1990, nearly 1.2 billion people, or just under a quarter of the global population</w:t>
      </w:r>
      <w:r>
        <w:t>,</w:t>
      </w:r>
      <w:r w:rsidRPr="00CA4EF3">
        <w:t xml:space="preserve"> </w:t>
      </w:r>
      <w:r>
        <w:t xml:space="preserve">were without </w:t>
      </w:r>
      <w:r w:rsidRPr="00CA4EF3">
        <w:t>access to safe drinking water</w:t>
      </w:r>
      <w:r>
        <w:t xml:space="preserve"> (Table 2.5)</w:t>
      </w:r>
      <w:r w:rsidRPr="00CA4EF3">
        <w:t>. Nearly half of the</w:t>
      </w:r>
      <w:r>
        <w:t xml:space="preserve"> world’s</w:t>
      </w:r>
      <w:r w:rsidRPr="00CA4EF3">
        <w:t xml:space="preserve"> population </w:t>
      </w:r>
      <w:r>
        <w:t>(</w:t>
      </w:r>
      <w:r w:rsidRPr="00CA4EF3">
        <w:t>around 2.4 billion people</w:t>
      </w:r>
      <w:r>
        <w:t>)</w:t>
      </w:r>
      <w:r w:rsidRPr="00CA4EF3">
        <w:t xml:space="preserve"> did not have access to improved sanitation.</w:t>
      </w:r>
      <w:r>
        <w:t xml:space="preserve"> </w:t>
      </w:r>
      <w:r w:rsidRPr="00CA4EF3">
        <w:t xml:space="preserve">Based upon data as of 2008, the world </w:t>
      </w:r>
      <w:r>
        <w:t xml:space="preserve">as a whole </w:t>
      </w:r>
      <w:r w:rsidRPr="00CA4EF3">
        <w:t>is on a path to meet the drinking water target, but not the sanitation target (see Table 2.</w:t>
      </w:r>
      <w:r>
        <w:t>4</w:t>
      </w:r>
      <w:r w:rsidRPr="00CA4EF3">
        <w:t>)</w:t>
      </w:r>
      <w:r>
        <w:t>, but with large</w:t>
      </w:r>
      <w:r w:rsidRPr="00CA4EF3">
        <w:t xml:space="preserve"> differ</w:t>
      </w:r>
      <w:r>
        <w:t>ences</w:t>
      </w:r>
      <w:r w:rsidRPr="00CA4EF3">
        <w:t xml:space="preserve"> </w:t>
      </w:r>
      <w:r>
        <w:t>remaining between</w:t>
      </w:r>
      <w:r w:rsidRPr="00CA4EF3">
        <w:t xml:space="preserve"> region</w:t>
      </w:r>
      <w:r>
        <w:t>s</w:t>
      </w:r>
      <w:r w:rsidRPr="00CA4EF3">
        <w:t xml:space="preserve"> and income class</w:t>
      </w:r>
      <w:r>
        <w:t>es</w:t>
      </w:r>
      <w:r w:rsidRPr="00CA4EF3">
        <w:t xml:space="preserve">. Sub-Saharan Africa, and </w:t>
      </w:r>
      <w:r>
        <w:t>l</w:t>
      </w:r>
      <w:r w:rsidRPr="00CA4EF3">
        <w:t xml:space="preserve">ow-income countries in general, are not on a path to meet either target. In fact, even as the percentages </w:t>
      </w:r>
      <w:r>
        <w:t xml:space="preserve">of their populations without access to improved drinking water and sanitation </w:t>
      </w:r>
      <w:r w:rsidRPr="00CA4EF3">
        <w:t xml:space="preserve">fell, the absolute numbers of persons in these groups </w:t>
      </w:r>
      <w:r>
        <w:t xml:space="preserve">without access </w:t>
      </w:r>
      <w:r w:rsidRPr="00CA4EF3">
        <w:t xml:space="preserve">actually increased between 1990 and 2008, </w:t>
      </w:r>
      <w:r>
        <w:t>primarily due to population growth</w:t>
      </w:r>
      <w:r w:rsidRPr="00CA4EF3">
        <w:t>. The only other region not on a path to meet the drinking water target is Middle East and North Africa. Somewhat surprisingly, it is one of only two developing regions, the other being Latin America and the Caribbean, that is on a path to meet the sanitation target.</w:t>
      </w:r>
    </w:p>
    <w:p w:rsidR="007D46DA" w:rsidRDefault="007D46DA" w:rsidP="007D46DA"/>
    <w:p w:rsidR="007D46DA" w:rsidRDefault="007D46DA" w:rsidP="007D46DA"/>
    <w:tbl>
      <w:tblPr>
        <w:tblW w:w="93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439"/>
        <w:gridCol w:w="6"/>
        <w:gridCol w:w="963"/>
        <w:gridCol w:w="32"/>
        <w:gridCol w:w="933"/>
        <w:gridCol w:w="57"/>
        <w:gridCol w:w="903"/>
        <w:gridCol w:w="9"/>
        <w:gridCol w:w="965"/>
        <w:gridCol w:w="966"/>
        <w:gridCol w:w="37"/>
        <w:gridCol w:w="990"/>
      </w:tblGrid>
      <w:tr w:rsidR="007D46DA" w:rsidRPr="00CA4EF3">
        <w:trPr>
          <w:trHeight w:val="305"/>
          <w:jc w:val="center"/>
        </w:trPr>
        <w:tc>
          <w:tcPr>
            <w:tcW w:w="9300" w:type="dxa"/>
            <w:gridSpan w:val="12"/>
          </w:tcPr>
          <w:p w:rsidR="007D46DA" w:rsidRPr="00CA4EF3" w:rsidRDefault="007D46DA" w:rsidP="006B1499">
            <w:pPr>
              <w:autoSpaceDE w:val="0"/>
              <w:autoSpaceDN w:val="0"/>
              <w:adjustRightInd w:val="0"/>
              <w:rPr>
                <w:b/>
                <w:bCs/>
                <w:color w:val="000000"/>
                <w:sz w:val="22"/>
                <w:szCs w:val="22"/>
              </w:rPr>
            </w:pPr>
            <w:r w:rsidRPr="00CA4EF3">
              <w:rPr>
                <w:b/>
                <w:bCs/>
                <w:color w:val="000000"/>
                <w:sz w:val="22"/>
                <w:szCs w:val="22"/>
              </w:rPr>
              <w:t>Table 2.</w:t>
            </w:r>
            <w:r>
              <w:rPr>
                <w:b/>
                <w:bCs/>
                <w:color w:val="000000"/>
                <w:sz w:val="22"/>
                <w:szCs w:val="22"/>
              </w:rPr>
              <w:t>5</w:t>
            </w:r>
            <w:r w:rsidRPr="00CA4EF3">
              <w:rPr>
                <w:b/>
                <w:bCs/>
                <w:color w:val="000000"/>
                <w:sz w:val="22"/>
                <w:szCs w:val="22"/>
              </w:rPr>
              <w:t xml:space="preserve"> Population </w:t>
            </w:r>
            <w:r>
              <w:rPr>
                <w:b/>
                <w:bCs/>
                <w:color w:val="000000"/>
                <w:sz w:val="22"/>
                <w:szCs w:val="22"/>
              </w:rPr>
              <w:t>w</w:t>
            </w:r>
            <w:r w:rsidRPr="00CA4EF3">
              <w:rPr>
                <w:b/>
                <w:bCs/>
                <w:color w:val="000000"/>
                <w:sz w:val="22"/>
                <w:szCs w:val="22"/>
              </w:rPr>
              <w:t xml:space="preserve">ithout </w:t>
            </w:r>
            <w:r>
              <w:rPr>
                <w:b/>
                <w:bCs/>
                <w:color w:val="000000"/>
                <w:sz w:val="22"/>
                <w:szCs w:val="22"/>
              </w:rPr>
              <w:t>a</w:t>
            </w:r>
            <w:r w:rsidRPr="00CA4EF3">
              <w:rPr>
                <w:b/>
                <w:bCs/>
                <w:color w:val="000000"/>
                <w:sz w:val="22"/>
                <w:szCs w:val="22"/>
              </w:rPr>
              <w:t xml:space="preserve">ccess to </w:t>
            </w:r>
            <w:r>
              <w:rPr>
                <w:b/>
                <w:bCs/>
                <w:color w:val="000000"/>
                <w:sz w:val="22"/>
                <w:szCs w:val="22"/>
              </w:rPr>
              <w:t>i</w:t>
            </w:r>
            <w:r w:rsidRPr="00CA4EF3">
              <w:rPr>
                <w:b/>
                <w:bCs/>
                <w:color w:val="000000"/>
                <w:sz w:val="22"/>
                <w:szCs w:val="22"/>
              </w:rPr>
              <w:t xml:space="preserve">mproved </w:t>
            </w:r>
            <w:r>
              <w:rPr>
                <w:b/>
                <w:bCs/>
                <w:color w:val="000000"/>
                <w:sz w:val="22"/>
                <w:szCs w:val="22"/>
              </w:rPr>
              <w:t>d</w:t>
            </w:r>
            <w:r w:rsidRPr="00CA4EF3">
              <w:rPr>
                <w:b/>
                <w:bCs/>
                <w:color w:val="000000"/>
                <w:sz w:val="22"/>
                <w:szCs w:val="22"/>
              </w:rPr>
              <w:t xml:space="preserve">rinking </w:t>
            </w:r>
            <w:r>
              <w:rPr>
                <w:b/>
                <w:bCs/>
                <w:color w:val="000000"/>
                <w:sz w:val="22"/>
                <w:szCs w:val="22"/>
              </w:rPr>
              <w:t>w</w:t>
            </w:r>
            <w:r w:rsidRPr="00CA4EF3">
              <w:rPr>
                <w:b/>
                <w:bCs/>
                <w:color w:val="000000"/>
                <w:sz w:val="22"/>
                <w:szCs w:val="22"/>
              </w:rPr>
              <w:t xml:space="preserve">ater and </w:t>
            </w:r>
            <w:r>
              <w:rPr>
                <w:b/>
                <w:bCs/>
                <w:color w:val="000000"/>
                <w:sz w:val="22"/>
                <w:szCs w:val="22"/>
              </w:rPr>
              <w:t>s</w:t>
            </w:r>
            <w:r w:rsidRPr="00CA4EF3">
              <w:rPr>
                <w:b/>
                <w:bCs/>
                <w:color w:val="000000"/>
                <w:sz w:val="22"/>
                <w:szCs w:val="22"/>
              </w:rPr>
              <w:t>anitation (%)</w:t>
            </w:r>
          </w:p>
        </w:tc>
      </w:tr>
      <w:tr w:rsidR="007D46DA" w:rsidRPr="00CA4EF3">
        <w:trPr>
          <w:trHeight w:val="305"/>
          <w:jc w:val="center"/>
        </w:trPr>
        <w:tc>
          <w:tcPr>
            <w:tcW w:w="3445" w:type="dxa"/>
            <w:gridSpan w:val="2"/>
          </w:tcPr>
          <w:p w:rsidR="007D46DA" w:rsidRPr="00CA4EF3" w:rsidRDefault="007D46DA" w:rsidP="006B1499">
            <w:pPr>
              <w:autoSpaceDE w:val="0"/>
              <w:autoSpaceDN w:val="0"/>
              <w:adjustRightInd w:val="0"/>
              <w:rPr>
                <w:b/>
                <w:bCs/>
                <w:color w:val="000000"/>
                <w:sz w:val="22"/>
                <w:szCs w:val="22"/>
              </w:rPr>
            </w:pPr>
          </w:p>
        </w:tc>
        <w:tc>
          <w:tcPr>
            <w:tcW w:w="2897" w:type="dxa"/>
            <w:gridSpan w:val="6"/>
          </w:tcPr>
          <w:p w:rsidR="007D46DA" w:rsidRPr="00140942" w:rsidRDefault="007D46DA" w:rsidP="006B1499">
            <w:pPr>
              <w:autoSpaceDE w:val="0"/>
              <w:autoSpaceDN w:val="0"/>
              <w:adjustRightInd w:val="0"/>
              <w:jc w:val="center"/>
              <w:rPr>
                <w:bCs/>
                <w:color w:val="000000"/>
                <w:sz w:val="22"/>
                <w:szCs w:val="22"/>
              </w:rPr>
            </w:pPr>
            <w:r w:rsidRPr="00726638">
              <w:rPr>
                <w:bCs/>
                <w:color w:val="000000"/>
                <w:sz w:val="22"/>
                <w:szCs w:val="22"/>
              </w:rPr>
              <w:t xml:space="preserve">Improved </w:t>
            </w:r>
            <w:r>
              <w:rPr>
                <w:bCs/>
                <w:color w:val="000000"/>
                <w:sz w:val="22"/>
                <w:szCs w:val="22"/>
              </w:rPr>
              <w:t>d</w:t>
            </w:r>
            <w:r w:rsidRPr="00726638">
              <w:rPr>
                <w:bCs/>
                <w:color w:val="000000"/>
                <w:sz w:val="22"/>
                <w:szCs w:val="22"/>
              </w:rPr>
              <w:t xml:space="preserve">rinking </w:t>
            </w:r>
            <w:r>
              <w:rPr>
                <w:bCs/>
                <w:color w:val="000000"/>
                <w:sz w:val="22"/>
                <w:szCs w:val="22"/>
              </w:rPr>
              <w:t>w</w:t>
            </w:r>
            <w:r w:rsidRPr="00140942">
              <w:rPr>
                <w:bCs/>
                <w:color w:val="000000"/>
                <w:sz w:val="22"/>
                <w:szCs w:val="22"/>
              </w:rPr>
              <w:t>ater</w:t>
            </w:r>
          </w:p>
        </w:tc>
        <w:tc>
          <w:tcPr>
            <w:tcW w:w="2958" w:type="dxa"/>
            <w:gridSpan w:val="4"/>
          </w:tcPr>
          <w:p w:rsidR="007D46DA" w:rsidRPr="00140942" w:rsidRDefault="007D46DA" w:rsidP="006B1499">
            <w:pPr>
              <w:autoSpaceDE w:val="0"/>
              <w:autoSpaceDN w:val="0"/>
              <w:adjustRightInd w:val="0"/>
              <w:jc w:val="center"/>
              <w:rPr>
                <w:bCs/>
                <w:color w:val="000000"/>
                <w:sz w:val="22"/>
                <w:szCs w:val="22"/>
              </w:rPr>
            </w:pPr>
            <w:r w:rsidRPr="00140942">
              <w:rPr>
                <w:bCs/>
                <w:color w:val="000000"/>
                <w:sz w:val="22"/>
                <w:szCs w:val="22"/>
              </w:rPr>
              <w:t xml:space="preserve">Improved </w:t>
            </w:r>
            <w:r>
              <w:rPr>
                <w:bCs/>
                <w:color w:val="000000"/>
                <w:sz w:val="22"/>
                <w:szCs w:val="22"/>
              </w:rPr>
              <w:t>s</w:t>
            </w:r>
            <w:r w:rsidRPr="00140942">
              <w:rPr>
                <w:bCs/>
                <w:color w:val="000000"/>
                <w:sz w:val="22"/>
                <w:szCs w:val="22"/>
              </w:rPr>
              <w:t>anitation</w:t>
            </w:r>
          </w:p>
        </w:tc>
      </w:tr>
      <w:tr w:rsidR="007D46DA" w:rsidRPr="00CA4EF3">
        <w:trPr>
          <w:trHeight w:val="305"/>
          <w:jc w:val="center"/>
        </w:trPr>
        <w:tc>
          <w:tcPr>
            <w:tcW w:w="3445" w:type="dxa"/>
            <w:gridSpan w:val="2"/>
          </w:tcPr>
          <w:p w:rsidR="007D46DA" w:rsidRPr="00CA4EF3" w:rsidRDefault="007D46DA" w:rsidP="006B1499">
            <w:pPr>
              <w:autoSpaceDE w:val="0"/>
              <w:autoSpaceDN w:val="0"/>
              <w:adjustRightInd w:val="0"/>
              <w:rPr>
                <w:b/>
                <w:bCs/>
                <w:color w:val="000000"/>
                <w:sz w:val="22"/>
                <w:szCs w:val="22"/>
              </w:rPr>
            </w:pPr>
          </w:p>
        </w:tc>
        <w:tc>
          <w:tcPr>
            <w:tcW w:w="963" w:type="dxa"/>
            <w:vAlign w:val="bottom"/>
          </w:tcPr>
          <w:p w:rsidR="007D46DA" w:rsidRPr="00140942" w:rsidRDefault="007D46DA" w:rsidP="006B1499">
            <w:pPr>
              <w:autoSpaceDE w:val="0"/>
              <w:autoSpaceDN w:val="0"/>
              <w:adjustRightInd w:val="0"/>
              <w:jc w:val="center"/>
              <w:rPr>
                <w:bCs/>
                <w:color w:val="000000"/>
                <w:sz w:val="22"/>
                <w:szCs w:val="22"/>
              </w:rPr>
            </w:pPr>
            <w:r w:rsidRPr="00140942">
              <w:rPr>
                <w:bCs/>
                <w:color w:val="000000"/>
                <w:sz w:val="22"/>
                <w:szCs w:val="22"/>
              </w:rPr>
              <w:t>1990</w:t>
            </w:r>
          </w:p>
        </w:tc>
        <w:tc>
          <w:tcPr>
            <w:tcW w:w="965" w:type="dxa"/>
            <w:gridSpan w:val="2"/>
            <w:vAlign w:val="bottom"/>
          </w:tcPr>
          <w:p w:rsidR="007D46DA" w:rsidRPr="00140942" w:rsidRDefault="007D46DA" w:rsidP="006B1499">
            <w:pPr>
              <w:autoSpaceDE w:val="0"/>
              <w:autoSpaceDN w:val="0"/>
              <w:adjustRightInd w:val="0"/>
              <w:jc w:val="center"/>
              <w:rPr>
                <w:bCs/>
                <w:color w:val="000000"/>
                <w:sz w:val="22"/>
                <w:szCs w:val="22"/>
              </w:rPr>
            </w:pPr>
            <w:r w:rsidRPr="00140942">
              <w:rPr>
                <w:bCs/>
                <w:color w:val="000000"/>
                <w:sz w:val="22"/>
                <w:szCs w:val="22"/>
              </w:rPr>
              <w:t>2008</w:t>
            </w:r>
          </w:p>
        </w:tc>
        <w:tc>
          <w:tcPr>
            <w:tcW w:w="969" w:type="dxa"/>
            <w:gridSpan w:val="3"/>
            <w:vAlign w:val="bottom"/>
          </w:tcPr>
          <w:p w:rsidR="007D46DA" w:rsidRPr="00140942" w:rsidRDefault="007D46DA" w:rsidP="006B1499">
            <w:pPr>
              <w:autoSpaceDE w:val="0"/>
              <w:autoSpaceDN w:val="0"/>
              <w:adjustRightInd w:val="0"/>
              <w:jc w:val="center"/>
              <w:rPr>
                <w:bCs/>
                <w:color w:val="000000"/>
                <w:sz w:val="22"/>
                <w:szCs w:val="22"/>
              </w:rPr>
            </w:pPr>
            <w:r w:rsidRPr="00140942">
              <w:rPr>
                <w:bCs/>
                <w:color w:val="000000"/>
                <w:sz w:val="22"/>
                <w:szCs w:val="22"/>
              </w:rPr>
              <w:t>2015 Goal</w:t>
            </w:r>
          </w:p>
        </w:tc>
        <w:tc>
          <w:tcPr>
            <w:tcW w:w="965" w:type="dxa"/>
            <w:vAlign w:val="bottom"/>
          </w:tcPr>
          <w:p w:rsidR="007D46DA" w:rsidRPr="00140942" w:rsidRDefault="007D46DA" w:rsidP="006B1499">
            <w:pPr>
              <w:autoSpaceDE w:val="0"/>
              <w:autoSpaceDN w:val="0"/>
              <w:adjustRightInd w:val="0"/>
              <w:jc w:val="center"/>
              <w:rPr>
                <w:bCs/>
                <w:color w:val="000000"/>
                <w:sz w:val="22"/>
                <w:szCs w:val="22"/>
              </w:rPr>
            </w:pPr>
            <w:r w:rsidRPr="00140942">
              <w:rPr>
                <w:bCs/>
                <w:color w:val="000000"/>
                <w:sz w:val="22"/>
                <w:szCs w:val="22"/>
              </w:rPr>
              <w:t>1990</w:t>
            </w:r>
          </w:p>
        </w:tc>
        <w:tc>
          <w:tcPr>
            <w:tcW w:w="966" w:type="dxa"/>
            <w:vAlign w:val="bottom"/>
          </w:tcPr>
          <w:p w:rsidR="007D46DA" w:rsidRPr="00140942" w:rsidRDefault="007D46DA" w:rsidP="006B1499">
            <w:pPr>
              <w:autoSpaceDE w:val="0"/>
              <w:autoSpaceDN w:val="0"/>
              <w:adjustRightInd w:val="0"/>
              <w:jc w:val="center"/>
              <w:rPr>
                <w:bCs/>
                <w:color w:val="000000"/>
                <w:sz w:val="22"/>
                <w:szCs w:val="22"/>
              </w:rPr>
            </w:pPr>
            <w:r w:rsidRPr="00140942">
              <w:rPr>
                <w:bCs/>
                <w:color w:val="000000"/>
                <w:sz w:val="22"/>
                <w:szCs w:val="22"/>
              </w:rPr>
              <w:t>2008</w:t>
            </w:r>
          </w:p>
        </w:tc>
        <w:tc>
          <w:tcPr>
            <w:tcW w:w="1027" w:type="dxa"/>
            <w:gridSpan w:val="2"/>
            <w:vAlign w:val="bottom"/>
          </w:tcPr>
          <w:p w:rsidR="007D46DA" w:rsidRPr="00140942" w:rsidRDefault="007D46DA" w:rsidP="006B1499">
            <w:pPr>
              <w:autoSpaceDE w:val="0"/>
              <w:autoSpaceDN w:val="0"/>
              <w:adjustRightInd w:val="0"/>
              <w:jc w:val="center"/>
              <w:rPr>
                <w:bCs/>
                <w:color w:val="000000"/>
                <w:sz w:val="22"/>
                <w:szCs w:val="22"/>
              </w:rPr>
            </w:pPr>
            <w:r w:rsidRPr="00140942">
              <w:rPr>
                <w:bCs/>
                <w:color w:val="000000"/>
                <w:sz w:val="22"/>
                <w:szCs w:val="22"/>
              </w:rPr>
              <w:t>2015 Goal</w:t>
            </w:r>
          </w:p>
        </w:tc>
      </w:tr>
      <w:tr w:rsidR="007D46DA" w:rsidRPr="00CA4EF3">
        <w:trPr>
          <w:trHeight w:val="305"/>
          <w:jc w:val="center"/>
        </w:trPr>
        <w:tc>
          <w:tcPr>
            <w:tcW w:w="9300" w:type="dxa"/>
            <w:gridSpan w:val="12"/>
            <w:shd w:val="clear" w:color="auto" w:fill="D9D9D9" w:themeFill="background1" w:themeFillShade="D9"/>
            <w:vAlign w:val="center"/>
          </w:tcPr>
          <w:p w:rsidR="007D46DA" w:rsidRPr="003D2EB5" w:rsidRDefault="007D46DA" w:rsidP="006B1499">
            <w:pPr>
              <w:autoSpaceDE w:val="0"/>
              <w:autoSpaceDN w:val="0"/>
              <w:adjustRightInd w:val="0"/>
              <w:jc w:val="center"/>
              <w:rPr>
                <w:color w:val="000000"/>
                <w:sz w:val="22"/>
                <w:szCs w:val="22"/>
              </w:rPr>
            </w:pPr>
            <w:r w:rsidRPr="00726638">
              <w:rPr>
                <w:bCs/>
                <w:color w:val="000000"/>
                <w:sz w:val="22"/>
                <w:szCs w:val="22"/>
              </w:rPr>
              <w:t xml:space="preserve">By </w:t>
            </w:r>
            <w:r>
              <w:rPr>
                <w:bCs/>
                <w:color w:val="000000"/>
                <w:sz w:val="22"/>
                <w:szCs w:val="22"/>
              </w:rPr>
              <w:t>r</w:t>
            </w:r>
            <w:r w:rsidRPr="00726638">
              <w:rPr>
                <w:bCs/>
                <w:color w:val="000000"/>
                <w:sz w:val="22"/>
                <w:szCs w:val="22"/>
              </w:rPr>
              <w:t>egion</w:t>
            </w:r>
          </w:p>
        </w:tc>
      </w:tr>
      <w:tr w:rsidR="007D46DA" w:rsidRPr="00CA4EF3">
        <w:trPr>
          <w:trHeight w:val="305"/>
          <w:jc w:val="center"/>
        </w:trPr>
        <w:tc>
          <w:tcPr>
            <w:tcW w:w="3439" w:type="dxa"/>
          </w:tcPr>
          <w:p w:rsidR="007D46DA" w:rsidRPr="00CA4EF3" w:rsidRDefault="007D46DA" w:rsidP="006B1499">
            <w:pPr>
              <w:autoSpaceDE w:val="0"/>
              <w:autoSpaceDN w:val="0"/>
              <w:adjustRightInd w:val="0"/>
              <w:rPr>
                <w:color w:val="000000"/>
                <w:sz w:val="22"/>
                <w:szCs w:val="22"/>
              </w:rPr>
            </w:pPr>
            <w:r w:rsidRPr="00CA4EF3">
              <w:rPr>
                <w:color w:val="000000"/>
                <w:sz w:val="22"/>
                <w:szCs w:val="22"/>
              </w:rPr>
              <w:t>East Asia and Pacific</w:t>
            </w:r>
          </w:p>
        </w:tc>
        <w:tc>
          <w:tcPr>
            <w:tcW w:w="1001" w:type="dxa"/>
            <w:gridSpan w:val="3"/>
            <w:vAlign w:val="center"/>
          </w:tcPr>
          <w:p w:rsidR="007D46DA" w:rsidRPr="00CA4EF3" w:rsidRDefault="007D46DA" w:rsidP="006B1499">
            <w:pPr>
              <w:autoSpaceDE w:val="0"/>
              <w:autoSpaceDN w:val="0"/>
              <w:adjustRightInd w:val="0"/>
              <w:jc w:val="center"/>
              <w:rPr>
                <w:color w:val="000000"/>
                <w:sz w:val="22"/>
                <w:szCs w:val="22"/>
              </w:rPr>
            </w:pPr>
            <w:r w:rsidRPr="00CA4EF3">
              <w:rPr>
                <w:color w:val="000000"/>
                <w:sz w:val="22"/>
                <w:szCs w:val="22"/>
              </w:rPr>
              <w:t>31.4%</w:t>
            </w:r>
          </w:p>
        </w:tc>
        <w:tc>
          <w:tcPr>
            <w:tcW w:w="990" w:type="dxa"/>
            <w:gridSpan w:val="2"/>
            <w:vAlign w:val="center"/>
          </w:tcPr>
          <w:p w:rsidR="007D46DA" w:rsidRPr="00CA4EF3" w:rsidRDefault="007D46DA" w:rsidP="006B1499">
            <w:pPr>
              <w:autoSpaceDE w:val="0"/>
              <w:autoSpaceDN w:val="0"/>
              <w:adjustRightInd w:val="0"/>
              <w:jc w:val="center"/>
              <w:rPr>
                <w:color w:val="000000"/>
                <w:sz w:val="22"/>
                <w:szCs w:val="22"/>
              </w:rPr>
            </w:pPr>
            <w:r w:rsidRPr="00CA4EF3">
              <w:rPr>
                <w:color w:val="000000"/>
                <w:sz w:val="22"/>
                <w:szCs w:val="22"/>
              </w:rPr>
              <w:t>12.2%</w:t>
            </w:r>
          </w:p>
        </w:tc>
        <w:tc>
          <w:tcPr>
            <w:tcW w:w="903" w:type="dxa"/>
            <w:shd w:val="clear" w:color="auto" w:fill="92D050"/>
            <w:vAlign w:val="center"/>
          </w:tcPr>
          <w:p w:rsidR="007D46DA" w:rsidRPr="00CA4EF3" w:rsidRDefault="007D46DA" w:rsidP="006B1499">
            <w:pPr>
              <w:jc w:val="center"/>
              <w:rPr>
                <w:color w:val="000000"/>
                <w:sz w:val="22"/>
                <w:szCs w:val="22"/>
              </w:rPr>
            </w:pPr>
            <w:r w:rsidRPr="00CA4EF3">
              <w:rPr>
                <w:color w:val="000000"/>
                <w:sz w:val="22"/>
                <w:szCs w:val="22"/>
              </w:rPr>
              <w:t>15.7%</w:t>
            </w:r>
          </w:p>
        </w:tc>
        <w:tc>
          <w:tcPr>
            <w:tcW w:w="974" w:type="dxa"/>
            <w:gridSpan w:val="2"/>
            <w:vAlign w:val="center"/>
          </w:tcPr>
          <w:p w:rsidR="007D46DA" w:rsidRPr="00CA4EF3" w:rsidRDefault="007D46DA" w:rsidP="006B1499">
            <w:pPr>
              <w:jc w:val="center"/>
              <w:rPr>
                <w:sz w:val="22"/>
                <w:szCs w:val="22"/>
              </w:rPr>
            </w:pPr>
            <w:r w:rsidRPr="00CA4EF3">
              <w:rPr>
                <w:sz w:val="22"/>
                <w:szCs w:val="22"/>
              </w:rPr>
              <w:t>57.7%</w:t>
            </w:r>
          </w:p>
        </w:tc>
        <w:tc>
          <w:tcPr>
            <w:tcW w:w="1003" w:type="dxa"/>
            <w:gridSpan w:val="2"/>
            <w:vAlign w:val="center"/>
          </w:tcPr>
          <w:p w:rsidR="007D46DA" w:rsidRPr="00CA4EF3" w:rsidRDefault="007D46DA" w:rsidP="006B1499">
            <w:pPr>
              <w:jc w:val="center"/>
              <w:rPr>
                <w:sz w:val="22"/>
                <w:szCs w:val="22"/>
              </w:rPr>
            </w:pPr>
            <w:r w:rsidRPr="00CA4EF3">
              <w:rPr>
                <w:sz w:val="22"/>
                <w:szCs w:val="22"/>
              </w:rPr>
              <w:t>41.1%</w:t>
            </w:r>
          </w:p>
        </w:tc>
        <w:tc>
          <w:tcPr>
            <w:tcW w:w="990" w:type="dxa"/>
            <w:shd w:val="clear" w:color="auto" w:fill="FF0000"/>
            <w:vAlign w:val="center"/>
          </w:tcPr>
          <w:p w:rsidR="007D46DA" w:rsidRPr="00CA4EF3" w:rsidRDefault="007D46DA" w:rsidP="006B1499">
            <w:pPr>
              <w:jc w:val="center"/>
              <w:rPr>
                <w:color w:val="000000"/>
                <w:sz w:val="22"/>
                <w:szCs w:val="22"/>
              </w:rPr>
            </w:pPr>
            <w:r w:rsidRPr="00CA4EF3">
              <w:rPr>
                <w:color w:val="000000"/>
                <w:sz w:val="22"/>
                <w:szCs w:val="22"/>
              </w:rPr>
              <w:t>28.8%</w:t>
            </w:r>
          </w:p>
        </w:tc>
      </w:tr>
      <w:tr w:rsidR="007D46DA" w:rsidRPr="00CA4EF3">
        <w:trPr>
          <w:trHeight w:val="305"/>
          <w:jc w:val="center"/>
        </w:trPr>
        <w:tc>
          <w:tcPr>
            <w:tcW w:w="3439" w:type="dxa"/>
          </w:tcPr>
          <w:p w:rsidR="007D46DA" w:rsidRPr="00CA4EF3" w:rsidRDefault="007D46DA" w:rsidP="006B1499">
            <w:pPr>
              <w:autoSpaceDE w:val="0"/>
              <w:autoSpaceDN w:val="0"/>
              <w:adjustRightInd w:val="0"/>
              <w:rPr>
                <w:color w:val="000000"/>
                <w:sz w:val="22"/>
                <w:szCs w:val="22"/>
              </w:rPr>
            </w:pPr>
            <w:r w:rsidRPr="00CA4EF3">
              <w:rPr>
                <w:color w:val="000000"/>
                <w:sz w:val="22"/>
                <w:szCs w:val="22"/>
              </w:rPr>
              <w:t>Europe and Central Asia</w:t>
            </w:r>
          </w:p>
        </w:tc>
        <w:tc>
          <w:tcPr>
            <w:tcW w:w="1001" w:type="dxa"/>
            <w:gridSpan w:val="3"/>
            <w:vAlign w:val="center"/>
          </w:tcPr>
          <w:p w:rsidR="007D46DA" w:rsidRPr="00CA4EF3" w:rsidRDefault="007D46DA" w:rsidP="006B1499">
            <w:pPr>
              <w:autoSpaceDE w:val="0"/>
              <w:autoSpaceDN w:val="0"/>
              <w:adjustRightInd w:val="0"/>
              <w:jc w:val="center"/>
              <w:rPr>
                <w:color w:val="000000"/>
                <w:sz w:val="22"/>
                <w:szCs w:val="22"/>
              </w:rPr>
            </w:pPr>
            <w:r>
              <w:rPr>
                <w:color w:val="000000"/>
                <w:sz w:val="22"/>
                <w:szCs w:val="22"/>
              </w:rPr>
              <w:t xml:space="preserve">  </w:t>
            </w:r>
            <w:r w:rsidRPr="00CA4EF3">
              <w:rPr>
                <w:color w:val="000000"/>
                <w:sz w:val="22"/>
                <w:szCs w:val="22"/>
              </w:rPr>
              <w:t>8.8%</w:t>
            </w:r>
          </w:p>
        </w:tc>
        <w:tc>
          <w:tcPr>
            <w:tcW w:w="990" w:type="dxa"/>
            <w:gridSpan w:val="2"/>
            <w:vAlign w:val="center"/>
          </w:tcPr>
          <w:p w:rsidR="007D46DA" w:rsidRPr="00CA4EF3" w:rsidRDefault="007D46DA" w:rsidP="006B1499">
            <w:pPr>
              <w:autoSpaceDE w:val="0"/>
              <w:autoSpaceDN w:val="0"/>
              <w:adjustRightInd w:val="0"/>
              <w:jc w:val="center"/>
              <w:rPr>
                <w:color w:val="000000"/>
                <w:sz w:val="22"/>
                <w:szCs w:val="22"/>
              </w:rPr>
            </w:pPr>
            <w:r>
              <w:rPr>
                <w:color w:val="000000"/>
                <w:sz w:val="22"/>
                <w:szCs w:val="22"/>
              </w:rPr>
              <w:t xml:space="preserve">  </w:t>
            </w:r>
            <w:r w:rsidRPr="00CA4EF3">
              <w:rPr>
                <w:color w:val="000000"/>
                <w:sz w:val="22"/>
                <w:szCs w:val="22"/>
              </w:rPr>
              <w:t>4.8%</w:t>
            </w:r>
          </w:p>
        </w:tc>
        <w:tc>
          <w:tcPr>
            <w:tcW w:w="903" w:type="dxa"/>
            <w:shd w:val="clear" w:color="auto" w:fill="92D050"/>
            <w:vAlign w:val="center"/>
          </w:tcPr>
          <w:p w:rsidR="007D46DA" w:rsidRPr="00CA4EF3" w:rsidRDefault="007D46DA" w:rsidP="006B1499">
            <w:pPr>
              <w:jc w:val="center"/>
              <w:rPr>
                <w:color w:val="000000"/>
                <w:sz w:val="22"/>
                <w:szCs w:val="22"/>
              </w:rPr>
            </w:pPr>
            <w:r>
              <w:rPr>
                <w:color w:val="000000"/>
                <w:sz w:val="22"/>
                <w:szCs w:val="22"/>
              </w:rPr>
              <w:t xml:space="preserve">  </w:t>
            </w:r>
            <w:r w:rsidRPr="00CA4EF3">
              <w:rPr>
                <w:color w:val="000000"/>
                <w:sz w:val="22"/>
                <w:szCs w:val="22"/>
              </w:rPr>
              <w:t>4.4%</w:t>
            </w:r>
          </w:p>
        </w:tc>
        <w:tc>
          <w:tcPr>
            <w:tcW w:w="974" w:type="dxa"/>
            <w:gridSpan w:val="2"/>
            <w:vAlign w:val="center"/>
          </w:tcPr>
          <w:p w:rsidR="007D46DA" w:rsidRPr="00CA4EF3" w:rsidRDefault="007D46DA" w:rsidP="006B1499">
            <w:pPr>
              <w:jc w:val="center"/>
              <w:rPr>
                <w:sz w:val="22"/>
                <w:szCs w:val="22"/>
              </w:rPr>
            </w:pPr>
            <w:r w:rsidRPr="00CA4EF3">
              <w:rPr>
                <w:sz w:val="22"/>
                <w:szCs w:val="22"/>
              </w:rPr>
              <w:t>13.0%</w:t>
            </w:r>
          </w:p>
        </w:tc>
        <w:tc>
          <w:tcPr>
            <w:tcW w:w="1003" w:type="dxa"/>
            <w:gridSpan w:val="2"/>
            <w:vAlign w:val="center"/>
          </w:tcPr>
          <w:p w:rsidR="007D46DA" w:rsidRPr="00CA4EF3" w:rsidRDefault="007D46DA" w:rsidP="006B1499">
            <w:pPr>
              <w:jc w:val="center"/>
              <w:rPr>
                <w:sz w:val="22"/>
                <w:szCs w:val="22"/>
              </w:rPr>
            </w:pPr>
            <w:r w:rsidRPr="00CA4EF3">
              <w:rPr>
                <w:sz w:val="22"/>
                <w:szCs w:val="22"/>
              </w:rPr>
              <w:t>10.9%</w:t>
            </w:r>
          </w:p>
        </w:tc>
        <w:tc>
          <w:tcPr>
            <w:tcW w:w="990" w:type="dxa"/>
            <w:shd w:val="clear" w:color="auto" w:fill="FF0000"/>
            <w:vAlign w:val="center"/>
          </w:tcPr>
          <w:p w:rsidR="007D46DA" w:rsidRPr="00CA4EF3" w:rsidRDefault="007D46DA" w:rsidP="006B1499">
            <w:pPr>
              <w:jc w:val="center"/>
              <w:rPr>
                <w:color w:val="000000"/>
                <w:sz w:val="22"/>
                <w:szCs w:val="22"/>
              </w:rPr>
            </w:pPr>
            <w:r>
              <w:rPr>
                <w:color w:val="000000"/>
                <w:sz w:val="22"/>
                <w:szCs w:val="22"/>
              </w:rPr>
              <w:t xml:space="preserve">  </w:t>
            </w:r>
            <w:r w:rsidRPr="00CA4EF3">
              <w:rPr>
                <w:color w:val="000000"/>
                <w:sz w:val="22"/>
                <w:szCs w:val="22"/>
              </w:rPr>
              <w:t>6.5%</w:t>
            </w:r>
          </w:p>
        </w:tc>
      </w:tr>
      <w:tr w:rsidR="007D46DA" w:rsidRPr="00CA4EF3">
        <w:trPr>
          <w:trHeight w:val="305"/>
          <w:jc w:val="center"/>
        </w:trPr>
        <w:tc>
          <w:tcPr>
            <w:tcW w:w="3439" w:type="dxa"/>
          </w:tcPr>
          <w:p w:rsidR="007D46DA" w:rsidRPr="00CA4EF3" w:rsidRDefault="007D46DA" w:rsidP="006B1499">
            <w:pPr>
              <w:autoSpaceDE w:val="0"/>
              <w:autoSpaceDN w:val="0"/>
              <w:adjustRightInd w:val="0"/>
              <w:rPr>
                <w:color w:val="000000"/>
                <w:sz w:val="22"/>
                <w:szCs w:val="22"/>
              </w:rPr>
            </w:pPr>
            <w:r w:rsidRPr="00CA4EF3">
              <w:rPr>
                <w:color w:val="000000"/>
                <w:sz w:val="22"/>
                <w:szCs w:val="22"/>
              </w:rPr>
              <w:t>Latin America and the Caribbean</w:t>
            </w:r>
          </w:p>
        </w:tc>
        <w:tc>
          <w:tcPr>
            <w:tcW w:w="1001" w:type="dxa"/>
            <w:gridSpan w:val="3"/>
            <w:vAlign w:val="center"/>
          </w:tcPr>
          <w:p w:rsidR="007D46DA" w:rsidRPr="00CA4EF3" w:rsidRDefault="007D46DA" w:rsidP="006B1499">
            <w:pPr>
              <w:autoSpaceDE w:val="0"/>
              <w:autoSpaceDN w:val="0"/>
              <w:adjustRightInd w:val="0"/>
              <w:jc w:val="center"/>
              <w:rPr>
                <w:color w:val="000000"/>
                <w:sz w:val="22"/>
                <w:szCs w:val="22"/>
              </w:rPr>
            </w:pPr>
            <w:r w:rsidRPr="00CA4EF3">
              <w:rPr>
                <w:color w:val="000000"/>
                <w:sz w:val="22"/>
                <w:szCs w:val="22"/>
              </w:rPr>
              <w:t>14.9%</w:t>
            </w:r>
          </w:p>
        </w:tc>
        <w:tc>
          <w:tcPr>
            <w:tcW w:w="990" w:type="dxa"/>
            <w:gridSpan w:val="2"/>
            <w:vAlign w:val="center"/>
          </w:tcPr>
          <w:p w:rsidR="007D46DA" w:rsidRPr="00CA4EF3" w:rsidRDefault="007D46DA" w:rsidP="006B1499">
            <w:pPr>
              <w:autoSpaceDE w:val="0"/>
              <w:autoSpaceDN w:val="0"/>
              <w:adjustRightInd w:val="0"/>
              <w:jc w:val="center"/>
              <w:rPr>
                <w:color w:val="000000"/>
                <w:sz w:val="22"/>
                <w:szCs w:val="22"/>
              </w:rPr>
            </w:pPr>
            <w:r>
              <w:rPr>
                <w:color w:val="000000"/>
                <w:sz w:val="22"/>
                <w:szCs w:val="22"/>
              </w:rPr>
              <w:t xml:space="preserve">  </w:t>
            </w:r>
            <w:r w:rsidRPr="00CA4EF3">
              <w:rPr>
                <w:color w:val="000000"/>
                <w:sz w:val="22"/>
                <w:szCs w:val="22"/>
              </w:rPr>
              <w:t>6.6%</w:t>
            </w:r>
          </w:p>
        </w:tc>
        <w:tc>
          <w:tcPr>
            <w:tcW w:w="903" w:type="dxa"/>
            <w:shd w:val="clear" w:color="auto" w:fill="92D050"/>
            <w:vAlign w:val="center"/>
          </w:tcPr>
          <w:p w:rsidR="007D46DA" w:rsidRPr="00CA4EF3" w:rsidRDefault="007D46DA" w:rsidP="006B1499">
            <w:pPr>
              <w:jc w:val="center"/>
              <w:rPr>
                <w:color w:val="000000"/>
                <w:sz w:val="22"/>
                <w:szCs w:val="22"/>
              </w:rPr>
            </w:pPr>
            <w:r>
              <w:rPr>
                <w:color w:val="000000"/>
                <w:sz w:val="22"/>
                <w:szCs w:val="22"/>
              </w:rPr>
              <w:t xml:space="preserve">  </w:t>
            </w:r>
            <w:r w:rsidRPr="00CA4EF3">
              <w:rPr>
                <w:color w:val="000000"/>
                <w:sz w:val="22"/>
                <w:szCs w:val="22"/>
              </w:rPr>
              <w:t>7.5%</w:t>
            </w:r>
          </w:p>
        </w:tc>
        <w:tc>
          <w:tcPr>
            <w:tcW w:w="974" w:type="dxa"/>
            <w:gridSpan w:val="2"/>
            <w:vAlign w:val="center"/>
          </w:tcPr>
          <w:p w:rsidR="007D46DA" w:rsidRPr="00CA4EF3" w:rsidRDefault="007D46DA" w:rsidP="006B1499">
            <w:pPr>
              <w:jc w:val="center"/>
              <w:rPr>
                <w:sz w:val="22"/>
                <w:szCs w:val="22"/>
              </w:rPr>
            </w:pPr>
            <w:r w:rsidRPr="00CA4EF3">
              <w:rPr>
                <w:sz w:val="22"/>
                <w:szCs w:val="22"/>
              </w:rPr>
              <w:t>31.4%</w:t>
            </w:r>
          </w:p>
        </w:tc>
        <w:tc>
          <w:tcPr>
            <w:tcW w:w="1003" w:type="dxa"/>
            <w:gridSpan w:val="2"/>
            <w:vAlign w:val="center"/>
          </w:tcPr>
          <w:p w:rsidR="007D46DA" w:rsidRPr="00CA4EF3" w:rsidRDefault="007D46DA" w:rsidP="006B1499">
            <w:pPr>
              <w:jc w:val="center"/>
              <w:rPr>
                <w:sz w:val="22"/>
                <w:szCs w:val="22"/>
              </w:rPr>
            </w:pPr>
            <w:r w:rsidRPr="00CA4EF3">
              <w:rPr>
                <w:sz w:val="22"/>
                <w:szCs w:val="22"/>
              </w:rPr>
              <w:t>20.0%</w:t>
            </w:r>
          </w:p>
        </w:tc>
        <w:tc>
          <w:tcPr>
            <w:tcW w:w="990" w:type="dxa"/>
            <w:shd w:val="clear" w:color="auto" w:fill="92D050"/>
            <w:vAlign w:val="center"/>
          </w:tcPr>
          <w:p w:rsidR="007D46DA" w:rsidRPr="00CA4EF3" w:rsidRDefault="007D46DA" w:rsidP="006B1499">
            <w:pPr>
              <w:jc w:val="center"/>
              <w:rPr>
                <w:color w:val="000000"/>
                <w:sz w:val="22"/>
                <w:szCs w:val="22"/>
              </w:rPr>
            </w:pPr>
            <w:r w:rsidRPr="00CA4EF3">
              <w:rPr>
                <w:color w:val="000000"/>
                <w:sz w:val="22"/>
                <w:szCs w:val="22"/>
              </w:rPr>
              <w:t>15.7%</w:t>
            </w:r>
          </w:p>
        </w:tc>
      </w:tr>
      <w:tr w:rsidR="007D46DA" w:rsidRPr="00CA4EF3">
        <w:trPr>
          <w:trHeight w:val="305"/>
          <w:jc w:val="center"/>
        </w:trPr>
        <w:tc>
          <w:tcPr>
            <w:tcW w:w="3439" w:type="dxa"/>
          </w:tcPr>
          <w:p w:rsidR="007D46DA" w:rsidRPr="00CA4EF3" w:rsidRDefault="007D46DA" w:rsidP="006B1499">
            <w:pPr>
              <w:autoSpaceDE w:val="0"/>
              <w:autoSpaceDN w:val="0"/>
              <w:adjustRightInd w:val="0"/>
              <w:rPr>
                <w:color w:val="000000"/>
                <w:sz w:val="22"/>
                <w:szCs w:val="22"/>
              </w:rPr>
            </w:pPr>
            <w:r w:rsidRPr="00CA4EF3">
              <w:rPr>
                <w:color w:val="000000"/>
                <w:sz w:val="22"/>
                <w:szCs w:val="22"/>
              </w:rPr>
              <w:t>Middle East and North Africa</w:t>
            </w:r>
          </w:p>
        </w:tc>
        <w:tc>
          <w:tcPr>
            <w:tcW w:w="1001" w:type="dxa"/>
            <w:gridSpan w:val="3"/>
            <w:vAlign w:val="center"/>
          </w:tcPr>
          <w:p w:rsidR="007D46DA" w:rsidRPr="00CA4EF3" w:rsidRDefault="007D46DA" w:rsidP="006B1499">
            <w:pPr>
              <w:autoSpaceDE w:val="0"/>
              <w:autoSpaceDN w:val="0"/>
              <w:adjustRightInd w:val="0"/>
              <w:jc w:val="center"/>
              <w:rPr>
                <w:color w:val="000000"/>
                <w:sz w:val="22"/>
                <w:szCs w:val="22"/>
              </w:rPr>
            </w:pPr>
            <w:r w:rsidRPr="00CA4EF3">
              <w:rPr>
                <w:color w:val="000000"/>
                <w:sz w:val="22"/>
                <w:szCs w:val="22"/>
              </w:rPr>
              <w:t>14.9%</w:t>
            </w:r>
          </w:p>
        </w:tc>
        <w:tc>
          <w:tcPr>
            <w:tcW w:w="990" w:type="dxa"/>
            <w:gridSpan w:val="2"/>
            <w:vAlign w:val="center"/>
          </w:tcPr>
          <w:p w:rsidR="007D46DA" w:rsidRPr="00CA4EF3" w:rsidRDefault="007D46DA" w:rsidP="006B1499">
            <w:pPr>
              <w:autoSpaceDE w:val="0"/>
              <w:autoSpaceDN w:val="0"/>
              <w:adjustRightInd w:val="0"/>
              <w:jc w:val="center"/>
              <w:rPr>
                <w:color w:val="000000"/>
                <w:sz w:val="22"/>
                <w:szCs w:val="22"/>
              </w:rPr>
            </w:pPr>
            <w:r w:rsidRPr="00CA4EF3">
              <w:rPr>
                <w:color w:val="000000"/>
                <w:sz w:val="22"/>
                <w:szCs w:val="22"/>
              </w:rPr>
              <w:t>12.8%</w:t>
            </w:r>
          </w:p>
        </w:tc>
        <w:tc>
          <w:tcPr>
            <w:tcW w:w="903" w:type="dxa"/>
            <w:shd w:val="clear" w:color="auto" w:fill="FF0000"/>
            <w:vAlign w:val="center"/>
          </w:tcPr>
          <w:p w:rsidR="007D46DA" w:rsidRPr="00CA4EF3" w:rsidRDefault="007D46DA" w:rsidP="006B1499">
            <w:pPr>
              <w:jc w:val="center"/>
              <w:rPr>
                <w:color w:val="000000"/>
                <w:sz w:val="22"/>
                <w:szCs w:val="22"/>
              </w:rPr>
            </w:pPr>
            <w:r>
              <w:rPr>
                <w:color w:val="000000"/>
                <w:sz w:val="22"/>
                <w:szCs w:val="22"/>
              </w:rPr>
              <w:t xml:space="preserve">  </w:t>
            </w:r>
            <w:r w:rsidRPr="00CA4EF3">
              <w:rPr>
                <w:color w:val="000000"/>
                <w:sz w:val="22"/>
                <w:szCs w:val="22"/>
              </w:rPr>
              <w:t>7.5%</w:t>
            </w:r>
          </w:p>
        </w:tc>
        <w:tc>
          <w:tcPr>
            <w:tcW w:w="974" w:type="dxa"/>
            <w:gridSpan w:val="2"/>
            <w:vAlign w:val="center"/>
          </w:tcPr>
          <w:p w:rsidR="007D46DA" w:rsidRPr="00CA4EF3" w:rsidRDefault="007D46DA" w:rsidP="006B1499">
            <w:pPr>
              <w:jc w:val="center"/>
              <w:rPr>
                <w:sz w:val="22"/>
                <w:szCs w:val="22"/>
              </w:rPr>
            </w:pPr>
            <w:r w:rsidRPr="00CA4EF3">
              <w:rPr>
                <w:sz w:val="22"/>
                <w:szCs w:val="22"/>
              </w:rPr>
              <w:t>30.1%</w:t>
            </w:r>
          </w:p>
        </w:tc>
        <w:tc>
          <w:tcPr>
            <w:tcW w:w="1003" w:type="dxa"/>
            <w:gridSpan w:val="2"/>
            <w:vAlign w:val="center"/>
          </w:tcPr>
          <w:p w:rsidR="007D46DA" w:rsidRPr="00CA4EF3" w:rsidRDefault="007D46DA" w:rsidP="006B1499">
            <w:pPr>
              <w:jc w:val="center"/>
              <w:rPr>
                <w:sz w:val="22"/>
                <w:szCs w:val="22"/>
              </w:rPr>
            </w:pPr>
            <w:r w:rsidRPr="00CA4EF3">
              <w:rPr>
                <w:sz w:val="22"/>
                <w:szCs w:val="22"/>
              </w:rPr>
              <w:t>15.5%</w:t>
            </w:r>
          </w:p>
        </w:tc>
        <w:tc>
          <w:tcPr>
            <w:tcW w:w="990" w:type="dxa"/>
            <w:shd w:val="clear" w:color="auto" w:fill="92D050"/>
            <w:vAlign w:val="center"/>
          </w:tcPr>
          <w:p w:rsidR="007D46DA" w:rsidRPr="00CA4EF3" w:rsidRDefault="007D46DA" w:rsidP="006B1499">
            <w:pPr>
              <w:jc w:val="center"/>
              <w:rPr>
                <w:color w:val="000000"/>
                <w:sz w:val="22"/>
                <w:szCs w:val="22"/>
              </w:rPr>
            </w:pPr>
            <w:r w:rsidRPr="00CA4EF3">
              <w:rPr>
                <w:color w:val="000000"/>
                <w:sz w:val="22"/>
                <w:szCs w:val="22"/>
              </w:rPr>
              <w:t>15.0%</w:t>
            </w:r>
          </w:p>
        </w:tc>
      </w:tr>
      <w:tr w:rsidR="007D46DA" w:rsidRPr="00CA4EF3">
        <w:trPr>
          <w:trHeight w:val="305"/>
          <w:jc w:val="center"/>
        </w:trPr>
        <w:tc>
          <w:tcPr>
            <w:tcW w:w="3439" w:type="dxa"/>
          </w:tcPr>
          <w:p w:rsidR="007D46DA" w:rsidRPr="00CA4EF3" w:rsidRDefault="007D46DA" w:rsidP="006B1499">
            <w:pPr>
              <w:autoSpaceDE w:val="0"/>
              <w:autoSpaceDN w:val="0"/>
              <w:adjustRightInd w:val="0"/>
              <w:rPr>
                <w:color w:val="000000"/>
                <w:sz w:val="22"/>
                <w:szCs w:val="22"/>
              </w:rPr>
            </w:pPr>
            <w:r w:rsidRPr="00CA4EF3">
              <w:rPr>
                <w:color w:val="000000"/>
                <w:sz w:val="22"/>
                <w:szCs w:val="22"/>
              </w:rPr>
              <w:t>South Asia</w:t>
            </w:r>
          </w:p>
        </w:tc>
        <w:tc>
          <w:tcPr>
            <w:tcW w:w="1001" w:type="dxa"/>
            <w:gridSpan w:val="3"/>
            <w:vAlign w:val="center"/>
          </w:tcPr>
          <w:p w:rsidR="007D46DA" w:rsidRPr="00CA4EF3" w:rsidRDefault="007D46DA" w:rsidP="006B1499">
            <w:pPr>
              <w:autoSpaceDE w:val="0"/>
              <w:autoSpaceDN w:val="0"/>
              <w:adjustRightInd w:val="0"/>
              <w:jc w:val="center"/>
              <w:rPr>
                <w:color w:val="000000"/>
                <w:sz w:val="22"/>
                <w:szCs w:val="22"/>
              </w:rPr>
            </w:pPr>
            <w:r w:rsidRPr="00CA4EF3">
              <w:rPr>
                <w:color w:val="000000"/>
                <w:sz w:val="22"/>
                <w:szCs w:val="22"/>
              </w:rPr>
              <w:t>26.6%</w:t>
            </w:r>
          </w:p>
        </w:tc>
        <w:tc>
          <w:tcPr>
            <w:tcW w:w="990" w:type="dxa"/>
            <w:gridSpan w:val="2"/>
            <w:vAlign w:val="center"/>
          </w:tcPr>
          <w:p w:rsidR="007D46DA" w:rsidRPr="00CA4EF3" w:rsidRDefault="007D46DA" w:rsidP="006B1499">
            <w:pPr>
              <w:autoSpaceDE w:val="0"/>
              <w:autoSpaceDN w:val="0"/>
              <w:adjustRightInd w:val="0"/>
              <w:jc w:val="center"/>
              <w:rPr>
                <w:color w:val="000000"/>
                <w:sz w:val="22"/>
                <w:szCs w:val="22"/>
              </w:rPr>
            </w:pPr>
            <w:r w:rsidRPr="00CA4EF3">
              <w:rPr>
                <w:color w:val="000000"/>
                <w:sz w:val="22"/>
                <w:szCs w:val="22"/>
              </w:rPr>
              <w:t>13.4%</w:t>
            </w:r>
          </w:p>
        </w:tc>
        <w:tc>
          <w:tcPr>
            <w:tcW w:w="903" w:type="dxa"/>
            <w:shd w:val="clear" w:color="auto" w:fill="92D050"/>
            <w:vAlign w:val="center"/>
          </w:tcPr>
          <w:p w:rsidR="007D46DA" w:rsidRPr="00CA4EF3" w:rsidRDefault="007D46DA" w:rsidP="006B1499">
            <w:pPr>
              <w:jc w:val="center"/>
              <w:rPr>
                <w:color w:val="000000"/>
                <w:sz w:val="22"/>
                <w:szCs w:val="22"/>
              </w:rPr>
            </w:pPr>
            <w:r w:rsidRPr="00CA4EF3">
              <w:rPr>
                <w:color w:val="000000"/>
                <w:sz w:val="22"/>
                <w:szCs w:val="22"/>
              </w:rPr>
              <w:t>13.3%</w:t>
            </w:r>
          </w:p>
        </w:tc>
        <w:tc>
          <w:tcPr>
            <w:tcW w:w="974" w:type="dxa"/>
            <w:gridSpan w:val="2"/>
            <w:vAlign w:val="center"/>
          </w:tcPr>
          <w:p w:rsidR="007D46DA" w:rsidRPr="00CA4EF3" w:rsidRDefault="007D46DA" w:rsidP="006B1499">
            <w:pPr>
              <w:jc w:val="center"/>
              <w:rPr>
                <w:sz w:val="22"/>
                <w:szCs w:val="22"/>
              </w:rPr>
            </w:pPr>
            <w:r w:rsidRPr="00CA4EF3">
              <w:rPr>
                <w:sz w:val="22"/>
                <w:szCs w:val="22"/>
              </w:rPr>
              <w:t>78.2%</w:t>
            </w:r>
          </w:p>
        </w:tc>
        <w:tc>
          <w:tcPr>
            <w:tcW w:w="1003" w:type="dxa"/>
            <w:gridSpan w:val="2"/>
            <w:vAlign w:val="center"/>
          </w:tcPr>
          <w:p w:rsidR="007D46DA" w:rsidRPr="00CA4EF3" w:rsidRDefault="007D46DA" w:rsidP="006B1499">
            <w:pPr>
              <w:jc w:val="center"/>
              <w:rPr>
                <w:sz w:val="22"/>
                <w:szCs w:val="22"/>
              </w:rPr>
            </w:pPr>
            <w:r w:rsidRPr="00CA4EF3">
              <w:rPr>
                <w:sz w:val="22"/>
                <w:szCs w:val="22"/>
              </w:rPr>
              <w:t>64.4%</w:t>
            </w:r>
          </w:p>
        </w:tc>
        <w:tc>
          <w:tcPr>
            <w:tcW w:w="990" w:type="dxa"/>
            <w:shd w:val="clear" w:color="auto" w:fill="FF0000"/>
            <w:vAlign w:val="center"/>
          </w:tcPr>
          <w:p w:rsidR="007D46DA" w:rsidRPr="00CA4EF3" w:rsidRDefault="007D46DA" w:rsidP="006B1499">
            <w:pPr>
              <w:jc w:val="center"/>
              <w:rPr>
                <w:color w:val="000000"/>
                <w:sz w:val="22"/>
                <w:szCs w:val="22"/>
              </w:rPr>
            </w:pPr>
            <w:r w:rsidRPr="00CA4EF3">
              <w:rPr>
                <w:color w:val="000000"/>
                <w:sz w:val="22"/>
                <w:szCs w:val="22"/>
              </w:rPr>
              <w:t>39.1%</w:t>
            </w:r>
          </w:p>
        </w:tc>
      </w:tr>
      <w:tr w:rsidR="007D46DA" w:rsidRPr="00CA4EF3">
        <w:trPr>
          <w:trHeight w:val="305"/>
          <w:jc w:val="center"/>
        </w:trPr>
        <w:tc>
          <w:tcPr>
            <w:tcW w:w="3439" w:type="dxa"/>
          </w:tcPr>
          <w:p w:rsidR="007D46DA" w:rsidRPr="00CA4EF3" w:rsidRDefault="007D46DA" w:rsidP="006B1499">
            <w:pPr>
              <w:autoSpaceDE w:val="0"/>
              <w:autoSpaceDN w:val="0"/>
              <w:adjustRightInd w:val="0"/>
              <w:rPr>
                <w:color w:val="000000"/>
                <w:sz w:val="22"/>
                <w:szCs w:val="22"/>
              </w:rPr>
            </w:pPr>
            <w:r w:rsidRPr="00CA4EF3">
              <w:rPr>
                <w:color w:val="000000"/>
                <w:sz w:val="22"/>
                <w:szCs w:val="22"/>
              </w:rPr>
              <w:t>Sub-Saharan Africa</w:t>
            </w:r>
          </w:p>
        </w:tc>
        <w:tc>
          <w:tcPr>
            <w:tcW w:w="1001" w:type="dxa"/>
            <w:gridSpan w:val="3"/>
            <w:vAlign w:val="center"/>
          </w:tcPr>
          <w:p w:rsidR="007D46DA" w:rsidRPr="00CA4EF3" w:rsidRDefault="007D46DA" w:rsidP="006B1499">
            <w:pPr>
              <w:autoSpaceDE w:val="0"/>
              <w:autoSpaceDN w:val="0"/>
              <w:adjustRightInd w:val="0"/>
              <w:jc w:val="center"/>
              <w:rPr>
                <w:color w:val="000000"/>
                <w:sz w:val="22"/>
                <w:szCs w:val="22"/>
              </w:rPr>
            </w:pPr>
            <w:r w:rsidRPr="00CA4EF3">
              <w:rPr>
                <w:color w:val="000000"/>
                <w:sz w:val="22"/>
                <w:szCs w:val="22"/>
              </w:rPr>
              <w:t>51.5%</w:t>
            </w:r>
          </w:p>
        </w:tc>
        <w:tc>
          <w:tcPr>
            <w:tcW w:w="990" w:type="dxa"/>
            <w:gridSpan w:val="2"/>
            <w:vAlign w:val="center"/>
          </w:tcPr>
          <w:p w:rsidR="007D46DA" w:rsidRPr="00CA4EF3" w:rsidRDefault="007D46DA" w:rsidP="006B1499">
            <w:pPr>
              <w:autoSpaceDE w:val="0"/>
              <w:autoSpaceDN w:val="0"/>
              <w:adjustRightInd w:val="0"/>
              <w:jc w:val="center"/>
              <w:rPr>
                <w:color w:val="000000"/>
                <w:sz w:val="22"/>
                <w:szCs w:val="22"/>
              </w:rPr>
            </w:pPr>
            <w:r w:rsidRPr="00CA4EF3">
              <w:rPr>
                <w:color w:val="000000"/>
                <w:sz w:val="22"/>
                <w:szCs w:val="22"/>
              </w:rPr>
              <w:t>40.2%</w:t>
            </w:r>
          </w:p>
        </w:tc>
        <w:tc>
          <w:tcPr>
            <w:tcW w:w="903" w:type="dxa"/>
            <w:shd w:val="clear" w:color="auto" w:fill="FF0000"/>
            <w:vAlign w:val="center"/>
          </w:tcPr>
          <w:p w:rsidR="007D46DA" w:rsidRPr="00CA4EF3" w:rsidRDefault="007D46DA" w:rsidP="006B1499">
            <w:pPr>
              <w:jc w:val="center"/>
              <w:rPr>
                <w:color w:val="000000"/>
                <w:sz w:val="22"/>
                <w:szCs w:val="22"/>
              </w:rPr>
            </w:pPr>
            <w:r w:rsidRPr="00CA4EF3">
              <w:rPr>
                <w:color w:val="000000"/>
                <w:sz w:val="22"/>
                <w:szCs w:val="22"/>
              </w:rPr>
              <w:t>25.8%</w:t>
            </w:r>
          </w:p>
        </w:tc>
        <w:tc>
          <w:tcPr>
            <w:tcW w:w="974" w:type="dxa"/>
            <w:gridSpan w:val="2"/>
            <w:vAlign w:val="center"/>
          </w:tcPr>
          <w:p w:rsidR="007D46DA" w:rsidRPr="00CA4EF3" w:rsidRDefault="007D46DA" w:rsidP="006B1499">
            <w:pPr>
              <w:jc w:val="center"/>
              <w:rPr>
                <w:sz w:val="22"/>
                <w:szCs w:val="22"/>
              </w:rPr>
            </w:pPr>
            <w:r w:rsidRPr="00CA4EF3">
              <w:rPr>
                <w:sz w:val="22"/>
                <w:szCs w:val="22"/>
              </w:rPr>
              <w:t>71.5%</w:t>
            </w:r>
          </w:p>
        </w:tc>
        <w:tc>
          <w:tcPr>
            <w:tcW w:w="1003" w:type="dxa"/>
            <w:gridSpan w:val="2"/>
            <w:vAlign w:val="center"/>
          </w:tcPr>
          <w:p w:rsidR="007D46DA" w:rsidRPr="00CA4EF3" w:rsidRDefault="007D46DA" w:rsidP="006B1499">
            <w:pPr>
              <w:jc w:val="center"/>
              <w:rPr>
                <w:sz w:val="22"/>
                <w:szCs w:val="22"/>
              </w:rPr>
            </w:pPr>
            <w:r w:rsidRPr="00CA4EF3">
              <w:rPr>
                <w:sz w:val="22"/>
                <w:szCs w:val="22"/>
              </w:rPr>
              <w:t>68.7%</w:t>
            </w:r>
          </w:p>
        </w:tc>
        <w:tc>
          <w:tcPr>
            <w:tcW w:w="990" w:type="dxa"/>
            <w:shd w:val="clear" w:color="auto" w:fill="FF0000"/>
            <w:vAlign w:val="center"/>
          </w:tcPr>
          <w:p w:rsidR="007D46DA" w:rsidRPr="00CA4EF3" w:rsidRDefault="007D46DA" w:rsidP="006B1499">
            <w:pPr>
              <w:jc w:val="center"/>
              <w:rPr>
                <w:color w:val="000000"/>
                <w:sz w:val="22"/>
                <w:szCs w:val="22"/>
              </w:rPr>
            </w:pPr>
            <w:r w:rsidRPr="00CA4EF3">
              <w:rPr>
                <w:color w:val="000000"/>
                <w:sz w:val="22"/>
                <w:szCs w:val="22"/>
              </w:rPr>
              <w:t>35.8%</w:t>
            </w:r>
          </w:p>
        </w:tc>
      </w:tr>
      <w:tr w:rsidR="007D46DA" w:rsidRPr="00CA4EF3">
        <w:trPr>
          <w:trHeight w:val="305"/>
          <w:jc w:val="center"/>
        </w:trPr>
        <w:tc>
          <w:tcPr>
            <w:tcW w:w="3439" w:type="dxa"/>
          </w:tcPr>
          <w:p w:rsidR="007D46DA" w:rsidRPr="00CA4EF3" w:rsidRDefault="007D46DA" w:rsidP="006B1499">
            <w:pPr>
              <w:autoSpaceDE w:val="0"/>
              <w:autoSpaceDN w:val="0"/>
              <w:adjustRightInd w:val="0"/>
              <w:rPr>
                <w:color w:val="000000"/>
                <w:sz w:val="22"/>
                <w:szCs w:val="22"/>
              </w:rPr>
            </w:pPr>
            <w:r w:rsidRPr="00CA4EF3">
              <w:rPr>
                <w:color w:val="000000"/>
                <w:sz w:val="22"/>
                <w:szCs w:val="22"/>
              </w:rPr>
              <w:t>High-income countries</w:t>
            </w:r>
          </w:p>
        </w:tc>
        <w:tc>
          <w:tcPr>
            <w:tcW w:w="1001" w:type="dxa"/>
            <w:gridSpan w:val="3"/>
            <w:vAlign w:val="center"/>
          </w:tcPr>
          <w:p w:rsidR="007D46DA" w:rsidRPr="00CA4EF3" w:rsidRDefault="007D46DA" w:rsidP="006B1499">
            <w:pPr>
              <w:autoSpaceDE w:val="0"/>
              <w:autoSpaceDN w:val="0"/>
              <w:adjustRightInd w:val="0"/>
              <w:jc w:val="center"/>
              <w:rPr>
                <w:color w:val="000000"/>
                <w:sz w:val="22"/>
                <w:szCs w:val="22"/>
              </w:rPr>
            </w:pPr>
            <w:r>
              <w:rPr>
                <w:color w:val="000000"/>
                <w:sz w:val="22"/>
                <w:szCs w:val="22"/>
              </w:rPr>
              <w:t xml:space="preserve">  </w:t>
            </w:r>
            <w:r w:rsidRPr="00CA4EF3">
              <w:rPr>
                <w:color w:val="000000"/>
                <w:sz w:val="22"/>
                <w:szCs w:val="22"/>
              </w:rPr>
              <w:t>1.0%</w:t>
            </w:r>
          </w:p>
        </w:tc>
        <w:tc>
          <w:tcPr>
            <w:tcW w:w="990" w:type="dxa"/>
            <w:gridSpan w:val="2"/>
            <w:vAlign w:val="center"/>
          </w:tcPr>
          <w:p w:rsidR="007D46DA" w:rsidRPr="00CA4EF3" w:rsidRDefault="007D46DA" w:rsidP="006B1499">
            <w:pPr>
              <w:autoSpaceDE w:val="0"/>
              <w:autoSpaceDN w:val="0"/>
              <w:adjustRightInd w:val="0"/>
              <w:jc w:val="center"/>
              <w:rPr>
                <w:color w:val="000000"/>
                <w:sz w:val="22"/>
                <w:szCs w:val="22"/>
              </w:rPr>
            </w:pPr>
            <w:r>
              <w:rPr>
                <w:color w:val="000000"/>
                <w:sz w:val="22"/>
                <w:szCs w:val="22"/>
              </w:rPr>
              <w:t xml:space="preserve">  </w:t>
            </w:r>
            <w:r w:rsidRPr="00CA4EF3">
              <w:rPr>
                <w:color w:val="000000"/>
                <w:sz w:val="22"/>
                <w:szCs w:val="22"/>
              </w:rPr>
              <w:t>0.5%</w:t>
            </w:r>
          </w:p>
        </w:tc>
        <w:tc>
          <w:tcPr>
            <w:tcW w:w="903" w:type="dxa"/>
            <w:shd w:val="clear" w:color="auto" w:fill="92D050"/>
            <w:vAlign w:val="center"/>
          </w:tcPr>
          <w:p w:rsidR="007D46DA" w:rsidRPr="00CA4EF3" w:rsidRDefault="007D46DA" w:rsidP="006B1499">
            <w:pPr>
              <w:jc w:val="center"/>
              <w:rPr>
                <w:color w:val="000000"/>
                <w:sz w:val="22"/>
                <w:szCs w:val="22"/>
              </w:rPr>
            </w:pPr>
            <w:r>
              <w:rPr>
                <w:color w:val="000000"/>
                <w:sz w:val="22"/>
                <w:szCs w:val="22"/>
              </w:rPr>
              <w:t xml:space="preserve">  </w:t>
            </w:r>
            <w:r w:rsidRPr="00CA4EF3">
              <w:rPr>
                <w:color w:val="000000"/>
                <w:sz w:val="22"/>
                <w:szCs w:val="22"/>
              </w:rPr>
              <w:t>0.5%</w:t>
            </w:r>
          </w:p>
        </w:tc>
        <w:tc>
          <w:tcPr>
            <w:tcW w:w="974" w:type="dxa"/>
            <w:gridSpan w:val="2"/>
            <w:vAlign w:val="center"/>
          </w:tcPr>
          <w:p w:rsidR="007D46DA" w:rsidRPr="00CA4EF3" w:rsidRDefault="007D46DA" w:rsidP="006B1499">
            <w:pPr>
              <w:jc w:val="center"/>
              <w:rPr>
                <w:sz w:val="22"/>
                <w:szCs w:val="22"/>
              </w:rPr>
            </w:pPr>
            <w:r>
              <w:rPr>
                <w:sz w:val="22"/>
                <w:szCs w:val="22"/>
              </w:rPr>
              <w:t xml:space="preserve">  </w:t>
            </w:r>
            <w:r w:rsidRPr="00CA4EF3">
              <w:rPr>
                <w:sz w:val="22"/>
                <w:szCs w:val="22"/>
              </w:rPr>
              <w:t>0.2%</w:t>
            </w:r>
          </w:p>
        </w:tc>
        <w:tc>
          <w:tcPr>
            <w:tcW w:w="1003" w:type="dxa"/>
            <w:gridSpan w:val="2"/>
            <w:vAlign w:val="center"/>
          </w:tcPr>
          <w:p w:rsidR="007D46DA" w:rsidRPr="00CA4EF3" w:rsidRDefault="007D46DA" w:rsidP="006B1499">
            <w:pPr>
              <w:jc w:val="center"/>
              <w:rPr>
                <w:sz w:val="22"/>
                <w:szCs w:val="22"/>
              </w:rPr>
            </w:pPr>
            <w:r>
              <w:rPr>
                <w:sz w:val="22"/>
                <w:szCs w:val="22"/>
              </w:rPr>
              <w:t xml:space="preserve">  </w:t>
            </w:r>
            <w:r w:rsidRPr="00CA4EF3">
              <w:rPr>
                <w:sz w:val="22"/>
                <w:szCs w:val="22"/>
              </w:rPr>
              <w:t>0.1%</w:t>
            </w:r>
          </w:p>
        </w:tc>
        <w:tc>
          <w:tcPr>
            <w:tcW w:w="990" w:type="dxa"/>
            <w:shd w:val="clear" w:color="auto" w:fill="92D050"/>
            <w:vAlign w:val="center"/>
          </w:tcPr>
          <w:p w:rsidR="007D46DA" w:rsidRPr="00CA4EF3" w:rsidRDefault="007D46DA" w:rsidP="006B1499">
            <w:pPr>
              <w:jc w:val="center"/>
              <w:rPr>
                <w:color w:val="000000"/>
                <w:sz w:val="22"/>
                <w:szCs w:val="22"/>
              </w:rPr>
            </w:pPr>
            <w:r>
              <w:rPr>
                <w:color w:val="000000"/>
                <w:sz w:val="22"/>
                <w:szCs w:val="22"/>
              </w:rPr>
              <w:t xml:space="preserve">  </w:t>
            </w:r>
            <w:r w:rsidRPr="00CA4EF3">
              <w:rPr>
                <w:color w:val="000000"/>
                <w:sz w:val="22"/>
                <w:szCs w:val="22"/>
              </w:rPr>
              <w:t>0.1%</w:t>
            </w:r>
          </w:p>
        </w:tc>
      </w:tr>
      <w:tr w:rsidR="007D46DA" w:rsidRPr="005D1000">
        <w:trPr>
          <w:trHeight w:val="305"/>
          <w:jc w:val="center"/>
        </w:trPr>
        <w:tc>
          <w:tcPr>
            <w:tcW w:w="9300" w:type="dxa"/>
            <w:gridSpan w:val="12"/>
            <w:shd w:val="clear" w:color="auto" w:fill="D9D9D9" w:themeFill="background1" w:themeFillShade="D9"/>
            <w:vAlign w:val="center"/>
          </w:tcPr>
          <w:p w:rsidR="007D46DA" w:rsidRPr="005D1000" w:rsidRDefault="007D46DA" w:rsidP="006B1499">
            <w:pPr>
              <w:autoSpaceDE w:val="0"/>
              <w:autoSpaceDN w:val="0"/>
              <w:adjustRightInd w:val="0"/>
              <w:jc w:val="center"/>
              <w:rPr>
                <w:bCs/>
                <w:color w:val="000000"/>
                <w:sz w:val="22"/>
                <w:szCs w:val="22"/>
              </w:rPr>
            </w:pPr>
            <w:r w:rsidRPr="005D1000">
              <w:rPr>
                <w:bCs/>
                <w:color w:val="000000"/>
                <w:sz w:val="22"/>
                <w:szCs w:val="22"/>
              </w:rPr>
              <w:t>By income class</w:t>
            </w:r>
          </w:p>
        </w:tc>
      </w:tr>
      <w:tr w:rsidR="007D46DA" w:rsidRPr="00CA4EF3">
        <w:trPr>
          <w:trHeight w:val="305"/>
          <w:jc w:val="center"/>
        </w:trPr>
        <w:tc>
          <w:tcPr>
            <w:tcW w:w="3439" w:type="dxa"/>
            <w:vAlign w:val="bottom"/>
          </w:tcPr>
          <w:p w:rsidR="007D46DA" w:rsidRPr="00CA4EF3" w:rsidRDefault="007D46DA" w:rsidP="006B1499">
            <w:pPr>
              <w:rPr>
                <w:color w:val="000000"/>
                <w:sz w:val="22"/>
                <w:szCs w:val="22"/>
              </w:rPr>
            </w:pPr>
            <w:r w:rsidRPr="00CA4EF3">
              <w:rPr>
                <w:color w:val="000000"/>
                <w:sz w:val="22"/>
                <w:szCs w:val="22"/>
              </w:rPr>
              <w:t>Low-income</w:t>
            </w:r>
          </w:p>
        </w:tc>
        <w:tc>
          <w:tcPr>
            <w:tcW w:w="1001" w:type="dxa"/>
            <w:gridSpan w:val="3"/>
            <w:vAlign w:val="center"/>
          </w:tcPr>
          <w:p w:rsidR="007D46DA" w:rsidRPr="00CA4EF3" w:rsidRDefault="007D46DA" w:rsidP="006B1499">
            <w:pPr>
              <w:jc w:val="center"/>
              <w:rPr>
                <w:sz w:val="22"/>
                <w:szCs w:val="22"/>
              </w:rPr>
            </w:pPr>
            <w:r w:rsidRPr="00CA4EF3">
              <w:rPr>
                <w:sz w:val="22"/>
                <w:szCs w:val="22"/>
              </w:rPr>
              <w:t>46.3%</w:t>
            </w:r>
          </w:p>
        </w:tc>
        <w:tc>
          <w:tcPr>
            <w:tcW w:w="990" w:type="dxa"/>
            <w:gridSpan w:val="2"/>
            <w:vAlign w:val="center"/>
          </w:tcPr>
          <w:p w:rsidR="007D46DA" w:rsidRPr="00CA4EF3" w:rsidRDefault="007D46DA" w:rsidP="006B1499">
            <w:pPr>
              <w:jc w:val="center"/>
              <w:rPr>
                <w:sz w:val="22"/>
                <w:szCs w:val="22"/>
              </w:rPr>
            </w:pPr>
            <w:r w:rsidRPr="00CA4EF3">
              <w:rPr>
                <w:sz w:val="22"/>
                <w:szCs w:val="22"/>
              </w:rPr>
              <w:t>36.8%</w:t>
            </w:r>
          </w:p>
        </w:tc>
        <w:tc>
          <w:tcPr>
            <w:tcW w:w="903" w:type="dxa"/>
            <w:shd w:val="clear" w:color="auto" w:fill="FF0000"/>
            <w:vAlign w:val="center"/>
          </w:tcPr>
          <w:p w:rsidR="007D46DA" w:rsidRPr="00CA4EF3" w:rsidRDefault="007D46DA" w:rsidP="006B1499">
            <w:pPr>
              <w:jc w:val="center"/>
              <w:rPr>
                <w:color w:val="000000"/>
                <w:sz w:val="22"/>
                <w:szCs w:val="22"/>
              </w:rPr>
            </w:pPr>
            <w:r w:rsidRPr="00CA4EF3">
              <w:rPr>
                <w:color w:val="000000"/>
                <w:sz w:val="22"/>
                <w:szCs w:val="22"/>
              </w:rPr>
              <w:t>23.2%</w:t>
            </w:r>
          </w:p>
        </w:tc>
        <w:tc>
          <w:tcPr>
            <w:tcW w:w="974" w:type="dxa"/>
            <w:gridSpan w:val="2"/>
            <w:vAlign w:val="center"/>
          </w:tcPr>
          <w:p w:rsidR="007D46DA" w:rsidRPr="00CA4EF3" w:rsidRDefault="007D46DA" w:rsidP="006B1499">
            <w:pPr>
              <w:jc w:val="center"/>
              <w:rPr>
                <w:sz w:val="22"/>
                <w:szCs w:val="22"/>
              </w:rPr>
            </w:pPr>
            <w:r w:rsidRPr="00CA4EF3">
              <w:rPr>
                <w:sz w:val="22"/>
                <w:szCs w:val="22"/>
              </w:rPr>
              <w:t>72.3%</w:t>
            </w:r>
          </w:p>
        </w:tc>
        <w:tc>
          <w:tcPr>
            <w:tcW w:w="1003" w:type="dxa"/>
            <w:gridSpan w:val="2"/>
            <w:vAlign w:val="center"/>
          </w:tcPr>
          <w:p w:rsidR="007D46DA" w:rsidRPr="00CA4EF3" w:rsidRDefault="007D46DA" w:rsidP="006B1499">
            <w:pPr>
              <w:jc w:val="center"/>
              <w:rPr>
                <w:sz w:val="22"/>
                <w:szCs w:val="22"/>
              </w:rPr>
            </w:pPr>
            <w:r w:rsidRPr="00CA4EF3">
              <w:rPr>
                <w:sz w:val="22"/>
                <w:szCs w:val="22"/>
              </w:rPr>
              <w:t>64.1%</w:t>
            </w:r>
          </w:p>
        </w:tc>
        <w:tc>
          <w:tcPr>
            <w:tcW w:w="990" w:type="dxa"/>
            <w:shd w:val="clear" w:color="auto" w:fill="FF0000"/>
            <w:vAlign w:val="center"/>
          </w:tcPr>
          <w:p w:rsidR="007D46DA" w:rsidRPr="00CA4EF3" w:rsidRDefault="007D46DA" w:rsidP="006B1499">
            <w:pPr>
              <w:jc w:val="center"/>
              <w:rPr>
                <w:color w:val="000000"/>
                <w:sz w:val="22"/>
                <w:szCs w:val="22"/>
              </w:rPr>
            </w:pPr>
            <w:r w:rsidRPr="00CA4EF3">
              <w:rPr>
                <w:color w:val="000000"/>
                <w:sz w:val="22"/>
                <w:szCs w:val="22"/>
              </w:rPr>
              <w:t>36.1%</w:t>
            </w:r>
          </w:p>
        </w:tc>
      </w:tr>
      <w:tr w:rsidR="007D46DA" w:rsidRPr="00CA4EF3">
        <w:trPr>
          <w:trHeight w:val="305"/>
          <w:jc w:val="center"/>
        </w:trPr>
        <w:tc>
          <w:tcPr>
            <w:tcW w:w="3439" w:type="dxa"/>
            <w:vAlign w:val="bottom"/>
          </w:tcPr>
          <w:p w:rsidR="007D46DA" w:rsidRPr="00CA4EF3" w:rsidRDefault="007D46DA" w:rsidP="006B1499">
            <w:pPr>
              <w:rPr>
                <w:color w:val="000000"/>
                <w:sz w:val="22"/>
                <w:szCs w:val="22"/>
              </w:rPr>
            </w:pPr>
            <w:r w:rsidRPr="00CA4EF3">
              <w:rPr>
                <w:color w:val="000000"/>
                <w:sz w:val="22"/>
                <w:szCs w:val="22"/>
              </w:rPr>
              <w:t>Lower-middle-income</w:t>
            </w:r>
          </w:p>
        </w:tc>
        <w:tc>
          <w:tcPr>
            <w:tcW w:w="1001" w:type="dxa"/>
            <w:gridSpan w:val="3"/>
            <w:vAlign w:val="center"/>
          </w:tcPr>
          <w:p w:rsidR="007D46DA" w:rsidRPr="00CA4EF3" w:rsidRDefault="007D46DA" w:rsidP="006B1499">
            <w:pPr>
              <w:jc w:val="center"/>
              <w:rPr>
                <w:sz w:val="22"/>
                <w:szCs w:val="22"/>
              </w:rPr>
            </w:pPr>
            <w:r w:rsidRPr="00CA4EF3">
              <w:rPr>
                <w:sz w:val="22"/>
                <w:szCs w:val="22"/>
              </w:rPr>
              <w:t>27.8%</w:t>
            </w:r>
          </w:p>
        </w:tc>
        <w:tc>
          <w:tcPr>
            <w:tcW w:w="990" w:type="dxa"/>
            <w:gridSpan w:val="2"/>
            <w:vAlign w:val="center"/>
          </w:tcPr>
          <w:p w:rsidR="007D46DA" w:rsidRPr="00CA4EF3" w:rsidRDefault="007D46DA" w:rsidP="006B1499">
            <w:pPr>
              <w:jc w:val="center"/>
              <w:rPr>
                <w:sz w:val="22"/>
                <w:szCs w:val="22"/>
              </w:rPr>
            </w:pPr>
            <w:r w:rsidRPr="00CA4EF3">
              <w:rPr>
                <w:sz w:val="22"/>
                <w:szCs w:val="22"/>
              </w:rPr>
              <w:t>15.5%</w:t>
            </w:r>
          </w:p>
        </w:tc>
        <w:tc>
          <w:tcPr>
            <w:tcW w:w="903" w:type="dxa"/>
            <w:shd w:val="clear" w:color="auto" w:fill="92D050"/>
            <w:vAlign w:val="center"/>
          </w:tcPr>
          <w:p w:rsidR="007D46DA" w:rsidRPr="00CA4EF3" w:rsidRDefault="007D46DA" w:rsidP="006B1499">
            <w:pPr>
              <w:jc w:val="center"/>
              <w:rPr>
                <w:color w:val="000000"/>
                <w:sz w:val="22"/>
                <w:szCs w:val="22"/>
              </w:rPr>
            </w:pPr>
            <w:r w:rsidRPr="00CA4EF3">
              <w:rPr>
                <w:color w:val="000000"/>
                <w:sz w:val="22"/>
                <w:szCs w:val="22"/>
              </w:rPr>
              <w:t>13.9%</w:t>
            </w:r>
          </w:p>
        </w:tc>
        <w:tc>
          <w:tcPr>
            <w:tcW w:w="974" w:type="dxa"/>
            <w:gridSpan w:val="2"/>
            <w:vAlign w:val="center"/>
          </w:tcPr>
          <w:p w:rsidR="007D46DA" w:rsidRPr="00CA4EF3" w:rsidRDefault="007D46DA" w:rsidP="006B1499">
            <w:pPr>
              <w:jc w:val="center"/>
              <w:rPr>
                <w:sz w:val="22"/>
                <w:szCs w:val="22"/>
              </w:rPr>
            </w:pPr>
            <w:r w:rsidRPr="00CA4EF3">
              <w:rPr>
                <w:sz w:val="22"/>
                <w:szCs w:val="22"/>
              </w:rPr>
              <w:t>67.8%</w:t>
            </w:r>
          </w:p>
        </w:tc>
        <w:tc>
          <w:tcPr>
            <w:tcW w:w="1003" w:type="dxa"/>
            <w:gridSpan w:val="2"/>
            <w:vAlign w:val="center"/>
          </w:tcPr>
          <w:p w:rsidR="007D46DA" w:rsidRPr="00CA4EF3" w:rsidRDefault="007D46DA" w:rsidP="006B1499">
            <w:pPr>
              <w:jc w:val="center"/>
              <w:rPr>
                <w:sz w:val="22"/>
                <w:szCs w:val="22"/>
              </w:rPr>
            </w:pPr>
            <w:r w:rsidRPr="00CA4EF3">
              <w:rPr>
                <w:sz w:val="22"/>
                <w:szCs w:val="22"/>
              </w:rPr>
              <w:t>54.6%</w:t>
            </w:r>
          </w:p>
        </w:tc>
        <w:tc>
          <w:tcPr>
            <w:tcW w:w="990" w:type="dxa"/>
            <w:shd w:val="clear" w:color="auto" w:fill="FF0000"/>
            <w:vAlign w:val="center"/>
          </w:tcPr>
          <w:p w:rsidR="007D46DA" w:rsidRPr="00CA4EF3" w:rsidRDefault="007D46DA" w:rsidP="006B1499">
            <w:pPr>
              <w:jc w:val="center"/>
              <w:rPr>
                <w:color w:val="000000"/>
                <w:sz w:val="22"/>
                <w:szCs w:val="22"/>
              </w:rPr>
            </w:pPr>
            <w:r w:rsidRPr="00CA4EF3">
              <w:rPr>
                <w:color w:val="000000"/>
                <w:sz w:val="22"/>
                <w:szCs w:val="22"/>
              </w:rPr>
              <w:t>33.9%</w:t>
            </w:r>
          </w:p>
        </w:tc>
      </w:tr>
      <w:tr w:rsidR="007D46DA" w:rsidRPr="00CA4EF3">
        <w:trPr>
          <w:trHeight w:val="305"/>
          <w:jc w:val="center"/>
        </w:trPr>
        <w:tc>
          <w:tcPr>
            <w:tcW w:w="3439" w:type="dxa"/>
            <w:vAlign w:val="bottom"/>
          </w:tcPr>
          <w:p w:rsidR="007D46DA" w:rsidRPr="00CA4EF3" w:rsidRDefault="007D46DA" w:rsidP="006B1499">
            <w:pPr>
              <w:rPr>
                <w:color w:val="000000"/>
                <w:sz w:val="22"/>
                <w:szCs w:val="22"/>
              </w:rPr>
            </w:pPr>
            <w:r w:rsidRPr="00CA4EF3">
              <w:rPr>
                <w:color w:val="000000"/>
                <w:sz w:val="22"/>
                <w:szCs w:val="22"/>
              </w:rPr>
              <w:t>Upper-middle-income</w:t>
            </w:r>
          </w:p>
        </w:tc>
        <w:tc>
          <w:tcPr>
            <w:tcW w:w="1001" w:type="dxa"/>
            <w:gridSpan w:val="3"/>
            <w:vAlign w:val="center"/>
          </w:tcPr>
          <w:p w:rsidR="007D46DA" w:rsidRPr="00CA4EF3" w:rsidRDefault="007D46DA" w:rsidP="006B1499">
            <w:pPr>
              <w:jc w:val="center"/>
              <w:rPr>
                <w:sz w:val="22"/>
                <w:szCs w:val="22"/>
              </w:rPr>
            </w:pPr>
            <w:r w:rsidRPr="00CA4EF3">
              <w:rPr>
                <w:sz w:val="22"/>
                <w:szCs w:val="22"/>
              </w:rPr>
              <w:t>24.0%</w:t>
            </w:r>
          </w:p>
        </w:tc>
        <w:tc>
          <w:tcPr>
            <w:tcW w:w="990" w:type="dxa"/>
            <w:gridSpan w:val="2"/>
            <w:vAlign w:val="center"/>
          </w:tcPr>
          <w:p w:rsidR="007D46DA" w:rsidRPr="00CA4EF3" w:rsidRDefault="007D46DA" w:rsidP="006B1499">
            <w:pPr>
              <w:jc w:val="center"/>
              <w:rPr>
                <w:sz w:val="22"/>
                <w:szCs w:val="22"/>
              </w:rPr>
            </w:pPr>
            <w:r>
              <w:rPr>
                <w:sz w:val="22"/>
                <w:szCs w:val="22"/>
              </w:rPr>
              <w:t xml:space="preserve">  </w:t>
            </w:r>
            <w:r w:rsidRPr="00CA4EF3">
              <w:rPr>
                <w:sz w:val="22"/>
                <w:szCs w:val="22"/>
              </w:rPr>
              <w:t>8.5%</w:t>
            </w:r>
          </w:p>
        </w:tc>
        <w:tc>
          <w:tcPr>
            <w:tcW w:w="903" w:type="dxa"/>
            <w:shd w:val="clear" w:color="auto" w:fill="92D050"/>
            <w:vAlign w:val="center"/>
          </w:tcPr>
          <w:p w:rsidR="007D46DA" w:rsidRPr="00CA4EF3" w:rsidRDefault="007D46DA" w:rsidP="006B1499">
            <w:pPr>
              <w:jc w:val="center"/>
              <w:rPr>
                <w:color w:val="000000"/>
                <w:sz w:val="22"/>
                <w:szCs w:val="22"/>
              </w:rPr>
            </w:pPr>
            <w:r w:rsidRPr="00CA4EF3">
              <w:rPr>
                <w:color w:val="000000"/>
                <w:sz w:val="22"/>
                <w:szCs w:val="22"/>
              </w:rPr>
              <w:t>12.0%</w:t>
            </w:r>
          </w:p>
        </w:tc>
        <w:tc>
          <w:tcPr>
            <w:tcW w:w="974" w:type="dxa"/>
            <w:gridSpan w:val="2"/>
            <w:vAlign w:val="center"/>
          </w:tcPr>
          <w:p w:rsidR="007D46DA" w:rsidRPr="00CA4EF3" w:rsidRDefault="007D46DA" w:rsidP="006B1499">
            <w:pPr>
              <w:jc w:val="center"/>
              <w:rPr>
                <w:sz w:val="22"/>
                <w:szCs w:val="22"/>
              </w:rPr>
            </w:pPr>
            <w:r w:rsidRPr="00CA4EF3">
              <w:rPr>
                <w:sz w:val="22"/>
                <w:szCs w:val="22"/>
              </w:rPr>
              <w:t>43.7%</w:t>
            </w:r>
          </w:p>
        </w:tc>
        <w:tc>
          <w:tcPr>
            <w:tcW w:w="1003" w:type="dxa"/>
            <w:gridSpan w:val="2"/>
            <w:vAlign w:val="center"/>
          </w:tcPr>
          <w:p w:rsidR="007D46DA" w:rsidRPr="00CA4EF3" w:rsidRDefault="007D46DA" w:rsidP="006B1499">
            <w:pPr>
              <w:jc w:val="center"/>
              <w:rPr>
                <w:sz w:val="22"/>
                <w:szCs w:val="22"/>
              </w:rPr>
            </w:pPr>
            <w:r w:rsidRPr="00CA4EF3">
              <w:rPr>
                <w:sz w:val="22"/>
                <w:szCs w:val="22"/>
              </w:rPr>
              <w:t>32.0%</w:t>
            </w:r>
          </w:p>
        </w:tc>
        <w:tc>
          <w:tcPr>
            <w:tcW w:w="990" w:type="dxa"/>
            <w:shd w:val="clear" w:color="auto" w:fill="FF0000"/>
            <w:vAlign w:val="center"/>
          </w:tcPr>
          <w:p w:rsidR="007D46DA" w:rsidRPr="00CA4EF3" w:rsidRDefault="007D46DA" w:rsidP="006B1499">
            <w:pPr>
              <w:jc w:val="center"/>
              <w:rPr>
                <w:color w:val="000000"/>
                <w:sz w:val="22"/>
                <w:szCs w:val="22"/>
              </w:rPr>
            </w:pPr>
            <w:r w:rsidRPr="00CA4EF3">
              <w:rPr>
                <w:color w:val="000000"/>
                <w:sz w:val="22"/>
                <w:szCs w:val="22"/>
              </w:rPr>
              <w:t>21.8%</w:t>
            </w:r>
          </w:p>
        </w:tc>
      </w:tr>
      <w:tr w:rsidR="007D46DA" w:rsidRPr="00CA4EF3">
        <w:trPr>
          <w:trHeight w:val="305"/>
          <w:jc w:val="center"/>
        </w:trPr>
        <w:tc>
          <w:tcPr>
            <w:tcW w:w="3439" w:type="dxa"/>
            <w:vAlign w:val="bottom"/>
          </w:tcPr>
          <w:p w:rsidR="007D46DA" w:rsidRPr="00CA4EF3" w:rsidRDefault="007D46DA" w:rsidP="006B1499">
            <w:pPr>
              <w:rPr>
                <w:color w:val="000000"/>
                <w:sz w:val="22"/>
                <w:szCs w:val="22"/>
              </w:rPr>
            </w:pPr>
            <w:r w:rsidRPr="00CA4EF3">
              <w:rPr>
                <w:color w:val="000000"/>
                <w:sz w:val="22"/>
                <w:szCs w:val="22"/>
              </w:rPr>
              <w:t>High-income</w:t>
            </w:r>
          </w:p>
        </w:tc>
        <w:tc>
          <w:tcPr>
            <w:tcW w:w="1001" w:type="dxa"/>
            <w:gridSpan w:val="3"/>
            <w:vAlign w:val="center"/>
          </w:tcPr>
          <w:p w:rsidR="007D46DA" w:rsidRPr="00CA4EF3" w:rsidRDefault="007D46DA" w:rsidP="006B1499">
            <w:pPr>
              <w:jc w:val="center"/>
              <w:rPr>
                <w:sz w:val="22"/>
                <w:szCs w:val="22"/>
              </w:rPr>
            </w:pPr>
            <w:r>
              <w:rPr>
                <w:sz w:val="22"/>
                <w:szCs w:val="22"/>
              </w:rPr>
              <w:t xml:space="preserve">  </w:t>
            </w:r>
            <w:r w:rsidRPr="00CA4EF3">
              <w:rPr>
                <w:sz w:val="22"/>
                <w:szCs w:val="22"/>
              </w:rPr>
              <w:t>1.0%</w:t>
            </w:r>
          </w:p>
        </w:tc>
        <w:tc>
          <w:tcPr>
            <w:tcW w:w="990" w:type="dxa"/>
            <w:gridSpan w:val="2"/>
            <w:vAlign w:val="center"/>
          </w:tcPr>
          <w:p w:rsidR="007D46DA" w:rsidRPr="00CA4EF3" w:rsidRDefault="007D46DA" w:rsidP="006B1499">
            <w:pPr>
              <w:jc w:val="center"/>
              <w:rPr>
                <w:sz w:val="22"/>
                <w:szCs w:val="22"/>
              </w:rPr>
            </w:pPr>
            <w:r>
              <w:rPr>
                <w:sz w:val="22"/>
                <w:szCs w:val="22"/>
              </w:rPr>
              <w:t xml:space="preserve">  </w:t>
            </w:r>
            <w:r w:rsidRPr="00CA4EF3">
              <w:rPr>
                <w:sz w:val="22"/>
                <w:szCs w:val="22"/>
              </w:rPr>
              <w:t>0.5%</w:t>
            </w:r>
          </w:p>
        </w:tc>
        <w:tc>
          <w:tcPr>
            <w:tcW w:w="903" w:type="dxa"/>
            <w:shd w:val="clear" w:color="auto" w:fill="92D050"/>
            <w:vAlign w:val="center"/>
          </w:tcPr>
          <w:p w:rsidR="007D46DA" w:rsidRPr="00CA4EF3" w:rsidRDefault="007D46DA" w:rsidP="006B1499">
            <w:pPr>
              <w:jc w:val="center"/>
              <w:rPr>
                <w:color w:val="000000"/>
                <w:sz w:val="22"/>
                <w:szCs w:val="22"/>
              </w:rPr>
            </w:pPr>
            <w:r>
              <w:rPr>
                <w:color w:val="000000"/>
                <w:sz w:val="22"/>
                <w:szCs w:val="22"/>
              </w:rPr>
              <w:t xml:space="preserve">  </w:t>
            </w:r>
            <w:r w:rsidRPr="00CA4EF3">
              <w:rPr>
                <w:color w:val="000000"/>
                <w:sz w:val="22"/>
                <w:szCs w:val="22"/>
              </w:rPr>
              <w:t>0.5%</w:t>
            </w:r>
          </w:p>
        </w:tc>
        <w:tc>
          <w:tcPr>
            <w:tcW w:w="974" w:type="dxa"/>
            <w:gridSpan w:val="2"/>
            <w:vAlign w:val="center"/>
          </w:tcPr>
          <w:p w:rsidR="007D46DA" w:rsidRPr="00CA4EF3" w:rsidRDefault="007D46DA" w:rsidP="006B1499">
            <w:pPr>
              <w:jc w:val="center"/>
              <w:rPr>
                <w:sz w:val="22"/>
                <w:szCs w:val="22"/>
              </w:rPr>
            </w:pPr>
            <w:r>
              <w:rPr>
                <w:sz w:val="22"/>
                <w:szCs w:val="22"/>
              </w:rPr>
              <w:t xml:space="preserve">  </w:t>
            </w:r>
            <w:r w:rsidRPr="00CA4EF3">
              <w:rPr>
                <w:sz w:val="22"/>
                <w:szCs w:val="22"/>
              </w:rPr>
              <w:t>0.2%</w:t>
            </w:r>
          </w:p>
        </w:tc>
        <w:tc>
          <w:tcPr>
            <w:tcW w:w="1003" w:type="dxa"/>
            <w:gridSpan w:val="2"/>
            <w:vAlign w:val="center"/>
          </w:tcPr>
          <w:p w:rsidR="007D46DA" w:rsidRPr="00CA4EF3" w:rsidRDefault="007D46DA" w:rsidP="006B1499">
            <w:pPr>
              <w:jc w:val="center"/>
              <w:rPr>
                <w:sz w:val="22"/>
                <w:szCs w:val="22"/>
              </w:rPr>
            </w:pPr>
            <w:r>
              <w:rPr>
                <w:sz w:val="22"/>
                <w:szCs w:val="22"/>
              </w:rPr>
              <w:t xml:space="preserve">  </w:t>
            </w:r>
            <w:r w:rsidRPr="00CA4EF3">
              <w:rPr>
                <w:sz w:val="22"/>
                <w:szCs w:val="22"/>
              </w:rPr>
              <w:t>0.1%</w:t>
            </w:r>
          </w:p>
        </w:tc>
        <w:tc>
          <w:tcPr>
            <w:tcW w:w="990" w:type="dxa"/>
            <w:shd w:val="clear" w:color="auto" w:fill="92D050"/>
            <w:vAlign w:val="center"/>
          </w:tcPr>
          <w:p w:rsidR="007D46DA" w:rsidRPr="00CA4EF3" w:rsidRDefault="007D46DA" w:rsidP="006B1499">
            <w:pPr>
              <w:jc w:val="center"/>
              <w:rPr>
                <w:color w:val="000000"/>
                <w:sz w:val="22"/>
                <w:szCs w:val="22"/>
              </w:rPr>
            </w:pPr>
            <w:r>
              <w:rPr>
                <w:color w:val="000000"/>
                <w:sz w:val="22"/>
                <w:szCs w:val="22"/>
              </w:rPr>
              <w:t xml:space="preserve">  </w:t>
            </w:r>
            <w:r w:rsidRPr="00CA4EF3">
              <w:rPr>
                <w:color w:val="000000"/>
                <w:sz w:val="22"/>
                <w:szCs w:val="22"/>
              </w:rPr>
              <w:t>0.1%</w:t>
            </w:r>
          </w:p>
        </w:tc>
      </w:tr>
      <w:tr w:rsidR="007D46DA" w:rsidRPr="00CA4EF3">
        <w:trPr>
          <w:trHeight w:val="305"/>
          <w:jc w:val="center"/>
        </w:trPr>
        <w:tc>
          <w:tcPr>
            <w:tcW w:w="9300" w:type="dxa"/>
            <w:gridSpan w:val="12"/>
            <w:shd w:val="clear" w:color="auto" w:fill="D9D9D9" w:themeFill="background1" w:themeFillShade="D9"/>
            <w:vAlign w:val="center"/>
          </w:tcPr>
          <w:p w:rsidR="007D46DA" w:rsidRPr="00140942" w:rsidRDefault="007D46DA" w:rsidP="006B1499">
            <w:pPr>
              <w:jc w:val="center"/>
              <w:rPr>
                <w:color w:val="000000"/>
                <w:sz w:val="22"/>
                <w:szCs w:val="22"/>
              </w:rPr>
            </w:pPr>
          </w:p>
        </w:tc>
      </w:tr>
      <w:tr w:rsidR="007D46DA" w:rsidRPr="00CA4EF3">
        <w:trPr>
          <w:trHeight w:val="305"/>
          <w:jc w:val="center"/>
        </w:trPr>
        <w:tc>
          <w:tcPr>
            <w:tcW w:w="3439" w:type="dxa"/>
            <w:vAlign w:val="center"/>
          </w:tcPr>
          <w:p w:rsidR="007D46DA" w:rsidRPr="00140942" w:rsidRDefault="007D46DA" w:rsidP="006B1499">
            <w:pPr>
              <w:autoSpaceDE w:val="0"/>
              <w:autoSpaceDN w:val="0"/>
              <w:adjustRightInd w:val="0"/>
              <w:rPr>
                <w:color w:val="000000"/>
                <w:sz w:val="22"/>
                <w:szCs w:val="22"/>
              </w:rPr>
            </w:pPr>
            <w:r w:rsidRPr="00140942">
              <w:rPr>
                <w:color w:val="000000"/>
                <w:sz w:val="22"/>
                <w:szCs w:val="22"/>
              </w:rPr>
              <w:t>World</w:t>
            </w:r>
          </w:p>
        </w:tc>
        <w:tc>
          <w:tcPr>
            <w:tcW w:w="1001" w:type="dxa"/>
            <w:gridSpan w:val="3"/>
            <w:vAlign w:val="center"/>
          </w:tcPr>
          <w:p w:rsidR="007D46DA" w:rsidRPr="00140942" w:rsidRDefault="007D46DA" w:rsidP="006B1499">
            <w:pPr>
              <w:autoSpaceDE w:val="0"/>
              <w:autoSpaceDN w:val="0"/>
              <w:adjustRightInd w:val="0"/>
              <w:jc w:val="center"/>
              <w:rPr>
                <w:color w:val="000000"/>
                <w:sz w:val="22"/>
                <w:szCs w:val="22"/>
              </w:rPr>
            </w:pPr>
            <w:r w:rsidRPr="00140942">
              <w:rPr>
                <w:color w:val="000000"/>
                <w:sz w:val="22"/>
                <w:szCs w:val="22"/>
              </w:rPr>
              <w:t>23.3%</w:t>
            </w:r>
          </w:p>
        </w:tc>
        <w:tc>
          <w:tcPr>
            <w:tcW w:w="990" w:type="dxa"/>
            <w:gridSpan w:val="2"/>
            <w:vAlign w:val="center"/>
          </w:tcPr>
          <w:p w:rsidR="007D46DA" w:rsidRPr="00140942" w:rsidRDefault="007D46DA" w:rsidP="006B1499">
            <w:pPr>
              <w:autoSpaceDE w:val="0"/>
              <w:autoSpaceDN w:val="0"/>
              <w:adjustRightInd w:val="0"/>
              <w:jc w:val="center"/>
              <w:rPr>
                <w:color w:val="000000"/>
                <w:sz w:val="22"/>
                <w:szCs w:val="22"/>
              </w:rPr>
            </w:pPr>
            <w:r w:rsidRPr="00140942">
              <w:rPr>
                <w:color w:val="000000"/>
                <w:sz w:val="22"/>
                <w:szCs w:val="22"/>
              </w:rPr>
              <w:t>13.2%</w:t>
            </w:r>
          </w:p>
        </w:tc>
        <w:tc>
          <w:tcPr>
            <w:tcW w:w="903" w:type="dxa"/>
            <w:shd w:val="clear" w:color="auto" w:fill="92D050"/>
            <w:vAlign w:val="center"/>
          </w:tcPr>
          <w:p w:rsidR="007D46DA" w:rsidRPr="00140942" w:rsidRDefault="007D46DA" w:rsidP="006B1499">
            <w:pPr>
              <w:jc w:val="center"/>
              <w:rPr>
                <w:color w:val="000000"/>
                <w:sz w:val="22"/>
                <w:szCs w:val="22"/>
              </w:rPr>
            </w:pPr>
            <w:r w:rsidRPr="00140942">
              <w:rPr>
                <w:color w:val="000000"/>
                <w:sz w:val="22"/>
                <w:szCs w:val="22"/>
              </w:rPr>
              <w:t>11.7%</w:t>
            </w:r>
          </w:p>
        </w:tc>
        <w:tc>
          <w:tcPr>
            <w:tcW w:w="974" w:type="dxa"/>
            <w:gridSpan w:val="2"/>
            <w:vAlign w:val="center"/>
          </w:tcPr>
          <w:p w:rsidR="007D46DA" w:rsidRPr="00140942" w:rsidRDefault="007D46DA" w:rsidP="006B1499">
            <w:pPr>
              <w:jc w:val="center"/>
              <w:rPr>
                <w:sz w:val="22"/>
                <w:szCs w:val="22"/>
              </w:rPr>
            </w:pPr>
            <w:r w:rsidRPr="00140942">
              <w:rPr>
                <w:sz w:val="22"/>
                <w:szCs w:val="22"/>
              </w:rPr>
              <w:t>47.6%</w:t>
            </w:r>
          </w:p>
        </w:tc>
        <w:tc>
          <w:tcPr>
            <w:tcW w:w="1003" w:type="dxa"/>
            <w:gridSpan w:val="2"/>
            <w:vAlign w:val="center"/>
          </w:tcPr>
          <w:p w:rsidR="007D46DA" w:rsidRPr="00140942" w:rsidRDefault="007D46DA" w:rsidP="006B1499">
            <w:pPr>
              <w:jc w:val="center"/>
              <w:rPr>
                <w:sz w:val="22"/>
                <w:szCs w:val="22"/>
              </w:rPr>
            </w:pPr>
            <w:r w:rsidRPr="00140942">
              <w:rPr>
                <w:sz w:val="22"/>
                <w:szCs w:val="22"/>
              </w:rPr>
              <w:t>39.5%</w:t>
            </w:r>
          </w:p>
        </w:tc>
        <w:tc>
          <w:tcPr>
            <w:tcW w:w="990" w:type="dxa"/>
            <w:shd w:val="clear" w:color="auto" w:fill="FF0000"/>
            <w:vAlign w:val="center"/>
          </w:tcPr>
          <w:p w:rsidR="007D46DA" w:rsidRPr="00140942" w:rsidRDefault="007D46DA" w:rsidP="006B1499">
            <w:pPr>
              <w:jc w:val="center"/>
              <w:rPr>
                <w:color w:val="000000"/>
                <w:sz w:val="22"/>
                <w:szCs w:val="22"/>
              </w:rPr>
            </w:pPr>
            <w:r w:rsidRPr="00140942">
              <w:rPr>
                <w:color w:val="000000"/>
                <w:sz w:val="22"/>
                <w:szCs w:val="22"/>
              </w:rPr>
              <w:t>23.8%</w:t>
            </w:r>
          </w:p>
        </w:tc>
      </w:tr>
      <w:tr w:rsidR="007D46DA" w:rsidRPr="00CA4EF3">
        <w:trPr>
          <w:trHeight w:val="305"/>
          <w:jc w:val="center"/>
        </w:trPr>
        <w:tc>
          <w:tcPr>
            <w:tcW w:w="9300" w:type="dxa"/>
            <w:gridSpan w:val="12"/>
            <w:vAlign w:val="center"/>
          </w:tcPr>
          <w:p w:rsidR="007D46DA" w:rsidRDefault="007D46DA" w:rsidP="006B1499">
            <w:pPr>
              <w:rPr>
                <w:i/>
                <w:sz w:val="22"/>
                <w:szCs w:val="22"/>
              </w:rPr>
            </w:pPr>
            <w:r w:rsidRPr="00726638">
              <w:rPr>
                <w:i/>
                <w:color w:val="000000"/>
                <w:sz w:val="22"/>
                <w:szCs w:val="22"/>
              </w:rPr>
              <w:t xml:space="preserve">Source: WHO/UNICEF Joint Monitoring Programme </w:t>
            </w:r>
            <w:r>
              <w:rPr>
                <w:i/>
                <w:color w:val="000000"/>
                <w:sz w:val="22"/>
                <w:szCs w:val="22"/>
              </w:rPr>
              <w:t>at</w:t>
            </w:r>
            <w:r w:rsidRPr="00726638">
              <w:rPr>
                <w:i/>
                <w:color w:val="000000"/>
                <w:sz w:val="22"/>
                <w:szCs w:val="22"/>
              </w:rPr>
              <w:t xml:space="preserve"> </w:t>
            </w:r>
            <w:hyperlink r:id="rId32" w:history="1">
              <w:r w:rsidRPr="00726638">
                <w:rPr>
                  <w:rStyle w:val="Hyperlink"/>
                  <w:i/>
                  <w:sz w:val="22"/>
                  <w:szCs w:val="22"/>
                </w:rPr>
                <w:t>http://www.wssinfo.org/</w:t>
              </w:r>
            </w:hyperlink>
            <w:r w:rsidRPr="00726638">
              <w:rPr>
                <w:i/>
                <w:sz w:val="22"/>
                <w:szCs w:val="22"/>
              </w:rPr>
              <w:t>. Aggregation done by authors.</w:t>
            </w:r>
          </w:p>
          <w:p w:rsidR="007D46DA" w:rsidRPr="00CA4EF3" w:rsidRDefault="007D46DA" w:rsidP="006B1499">
            <w:pPr>
              <w:rPr>
                <w:color w:val="000000"/>
                <w:sz w:val="22"/>
                <w:szCs w:val="22"/>
              </w:rPr>
            </w:pPr>
            <w:r>
              <w:rPr>
                <w:i/>
                <w:sz w:val="22"/>
                <w:szCs w:val="22"/>
              </w:rPr>
              <w:t>Note: Red indicates target will be missed on current path, and green indicates target will be met or has already been met.</w:t>
            </w:r>
          </w:p>
        </w:tc>
      </w:tr>
    </w:tbl>
    <w:p w:rsidR="007D46DA" w:rsidRDefault="007D46DA" w:rsidP="007D46DA"/>
    <w:p w:rsidR="007D46DA" w:rsidRPr="00CA4EF3" w:rsidRDefault="007D46DA" w:rsidP="007D46DA">
      <w:pPr>
        <w:rPr>
          <w:noProof/>
        </w:rPr>
      </w:pPr>
    </w:p>
    <w:p w:rsidR="007D46DA" w:rsidRPr="00CA4EF3" w:rsidRDefault="007D46DA" w:rsidP="007D46DA">
      <w:pPr>
        <w:rPr>
          <w:noProof/>
        </w:rPr>
      </w:pPr>
      <w:r>
        <w:rPr>
          <w:noProof/>
        </w:rPr>
        <w:t xml:space="preserve">Water must eventually be returned to the environment from whence it came, and care should be taken in how this is done lest humanity degrade this resource. Unfortunately, there are fewdata on how this is managed. </w:t>
      </w:r>
      <w:r w:rsidRPr="00CA4EF3">
        <w:rPr>
          <w:noProof/>
        </w:rPr>
        <w:t>In Figure 2.</w:t>
      </w:r>
      <w:r>
        <w:rPr>
          <w:noProof/>
        </w:rPr>
        <w:t>7</w:t>
      </w:r>
      <w:r w:rsidRPr="00CA4EF3">
        <w:rPr>
          <w:noProof/>
        </w:rPr>
        <w:t>, we plot the percentage</w:t>
      </w:r>
      <w:r>
        <w:rPr>
          <w:noProof/>
        </w:rPr>
        <w:t>s</w:t>
      </w:r>
      <w:r w:rsidRPr="00CA4EF3">
        <w:rPr>
          <w:noProof/>
        </w:rPr>
        <w:t xml:space="preserve"> of the population connected to wastewater collection systems</w:t>
      </w:r>
      <w:r>
        <w:rPr>
          <w:noProof/>
        </w:rPr>
        <w:t xml:space="preserve"> and wasterwater treatment systems </w:t>
      </w:r>
      <w:r w:rsidRPr="00CA4EF3">
        <w:rPr>
          <w:noProof/>
        </w:rPr>
        <w:t>against average income, using data around 2005. We only include the 59 countries for which there is data on both collection and treatment. The countries are ordered in terms of increasing average income, with the blue squares indicating the percentage of the population connected to a wastewater collection system and the red circles indicating the percentage of the population whose wastewater is sent to a treatment facility.</w:t>
      </w:r>
    </w:p>
    <w:p w:rsidR="007D46DA" w:rsidRPr="00CA4EF3" w:rsidRDefault="007D46DA" w:rsidP="007D46DA">
      <w:pPr>
        <w:rPr>
          <w:noProof/>
        </w:rPr>
      </w:pPr>
    </w:p>
    <w:p w:rsidR="007D46DA" w:rsidRPr="00CA4EF3" w:rsidRDefault="007D46DA" w:rsidP="007D46DA">
      <w:pPr>
        <w:rPr>
          <w:noProof/>
        </w:rPr>
      </w:pPr>
      <w:r w:rsidRPr="00CA4EF3">
        <w:rPr>
          <w:noProof/>
        </w:rPr>
        <w:t xml:space="preserve">There is a general trend toward greater collection as average income rises, with notable outliers </w:t>
      </w:r>
      <w:r>
        <w:rPr>
          <w:noProof/>
        </w:rPr>
        <w:t xml:space="preserve">on the downard side </w:t>
      </w:r>
      <w:r w:rsidRPr="00CA4EF3">
        <w:rPr>
          <w:noProof/>
        </w:rPr>
        <w:t>being Mauritius, Trinidad and Tobago, and Cyprus</w:t>
      </w:r>
      <w:r>
        <w:rPr>
          <w:noProof/>
        </w:rPr>
        <w:t xml:space="preserve"> (with Moldova, Jordan and Belarus as outliers on the upward side)</w:t>
      </w:r>
      <w:r w:rsidRPr="00CA4EF3">
        <w:rPr>
          <w:noProof/>
        </w:rPr>
        <w:t xml:space="preserve">. This </w:t>
      </w:r>
      <w:r>
        <w:rPr>
          <w:noProof/>
        </w:rPr>
        <w:t xml:space="preserve">trend is </w:t>
      </w:r>
      <w:r w:rsidRPr="00CA4EF3">
        <w:rPr>
          <w:noProof/>
        </w:rPr>
        <w:t>also seen, but to a lesser extent</w:t>
      </w:r>
      <w:r>
        <w:rPr>
          <w:noProof/>
        </w:rPr>
        <w:t>,</w:t>
      </w:r>
      <w:r w:rsidRPr="00CA4EF3">
        <w:rPr>
          <w:noProof/>
        </w:rPr>
        <w:t xml:space="preserve"> when we look at treatment. There are countries across the </w:t>
      </w:r>
      <w:r>
        <w:rPr>
          <w:noProof/>
        </w:rPr>
        <w:t xml:space="preserve">income </w:t>
      </w:r>
      <w:r w:rsidRPr="00CA4EF3">
        <w:rPr>
          <w:noProof/>
        </w:rPr>
        <w:t xml:space="preserve">range where the level of treatment is close or equal to the level of collection, indicating that most or all of the wastewater collected is treated. However, there are also a number of countries where there is a large gap between the level of collection and the level of treatment. Some notable cases </w:t>
      </w:r>
      <w:r>
        <w:rPr>
          <w:noProof/>
        </w:rPr>
        <w:t xml:space="preserve">of gaps </w:t>
      </w:r>
      <w:r w:rsidRPr="00CA4EF3">
        <w:rPr>
          <w:noProof/>
        </w:rPr>
        <w:t>among the countries with higher incomes are Iceland, Malta, and Belgium. Moving down the income ladder, Venezuela and Algeria stand out for the same reason. All of these countries are either small islands or have significant coastlines relative to their total area, implying that they may be using the oceans as a ‘free’ treatment facility.</w:t>
      </w:r>
    </w:p>
    <w:p w:rsidR="007D46DA" w:rsidRPr="00CA4EF3" w:rsidRDefault="007D46DA" w:rsidP="007D46DA">
      <w:pPr>
        <w:rPr>
          <w:noProof/>
        </w:rPr>
      </w:pPr>
    </w:p>
    <w:p w:rsidR="007D46DA" w:rsidRPr="00CA4EF3" w:rsidRDefault="007D46DA" w:rsidP="007D46DA">
      <w:pPr>
        <w:rPr>
          <w:noProof/>
        </w:rPr>
        <w:sectPr w:rsidR="007D46DA" w:rsidRPr="00CA4EF3">
          <w:footerReference w:type="even" r:id="rId33"/>
          <w:footerReference w:type="first" r:id="rId34"/>
          <w:type w:val="continuous"/>
          <w:pgSz w:w="12240" w:h="15840"/>
          <w:pgMar w:top="1440" w:right="1440" w:bottom="1440" w:left="1440" w:gutter="0"/>
          <w:docGrid w:linePitch="326"/>
        </w:sectPr>
      </w:pPr>
    </w:p>
    <w:p w:rsidR="007D46DA" w:rsidRPr="00CA4EF3" w:rsidRDefault="007D46DA" w:rsidP="007D46DA">
      <w:pPr>
        <w:rPr>
          <w:noProof/>
        </w:rPr>
      </w:pPr>
    </w:p>
    <w:p w:rsidR="007D46DA" w:rsidRDefault="007D46DA" w:rsidP="007D46DA">
      <w:pPr>
        <w:rPr>
          <w:b/>
          <w:noProof/>
        </w:rPr>
      </w:pPr>
      <w:r>
        <w:rPr>
          <w:b/>
          <w:noProof/>
        </w:rPr>
        <w:drawing>
          <wp:inline distT="0" distB="0" distL="0" distR="0">
            <wp:extent cx="8128000" cy="3826933"/>
            <wp:effectExtent l="25400" t="25400" r="0" b="8467"/>
            <wp:docPr id="17"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D46DA" w:rsidRDefault="007D46DA" w:rsidP="007D46DA">
      <w:pPr>
        <w:rPr>
          <w:b/>
          <w:noProof/>
        </w:rPr>
      </w:pPr>
      <w:r w:rsidRPr="00726638">
        <w:rPr>
          <w:b/>
          <w:noProof/>
        </w:rPr>
        <w:t>Figure 2.</w:t>
      </w:r>
      <w:r>
        <w:rPr>
          <w:b/>
          <w:noProof/>
        </w:rPr>
        <w:t>7</w:t>
      </w:r>
      <w:r w:rsidRPr="00726638">
        <w:rPr>
          <w:b/>
          <w:noProof/>
        </w:rPr>
        <w:t xml:space="preserve"> Percentages of population by country with wastewater collected and treated (circa 2005)</w:t>
      </w:r>
    </w:p>
    <w:p w:rsidR="007D46DA" w:rsidRPr="00171F9A" w:rsidRDefault="007D46DA" w:rsidP="007D46DA">
      <w:pPr>
        <w:rPr>
          <w:i/>
          <w:noProof/>
        </w:rPr>
      </w:pPr>
      <w:r>
        <w:rPr>
          <w:i/>
          <w:noProof/>
        </w:rPr>
        <w:t>Note: Country GDP per capita increases with movement from left to right on the axis.</w:t>
      </w:r>
    </w:p>
    <w:p w:rsidR="007D46DA" w:rsidRPr="0035743B" w:rsidRDefault="007D46DA" w:rsidP="007D46DA">
      <w:pPr>
        <w:rPr>
          <w:i/>
          <w:noProof/>
        </w:rPr>
      </w:pPr>
      <w:r w:rsidRPr="00726638">
        <w:rPr>
          <w:i/>
          <w:noProof/>
        </w:rPr>
        <w:t>Source: United Nations Statistics Division</w:t>
      </w:r>
      <w:r>
        <w:rPr>
          <w:i/>
          <w:noProof/>
        </w:rPr>
        <w:t xml:space="preserve"> </w:t>
      </w:r>
      <w:r w:rsidRPr="00726638">
        <w:rPr>
          <w:i/>
          <w:noProof/>
        </w:rPr>
        <w:t>at</w:t>
      </w:r>
      <w:r>
        <w:rPr>
          <w:i/>
          <w:noProof/>
        </w:rPr>
        <w:t xml:space="preserve"> </w:t>
      </w:r>
      <w:hyperlink r:id="rId36" w:history="1">
        <w:r w:rsidRPr="00726638">
          <w:rPr>
            <w:rStyle w:val="Hyperlink"/>
            <w:i/>
          </w:rPr>
          <w:t>http://unstats.un.org/unsd/environment/qindicators.htm</w:t>
        </w:r>
      </w:hyperlink>
      <w:r w:rsidRPr="00726638">
        <w:rPr>
          <w:i/>
        </w:rPr>
        <w:t>.</w:t>
      </w:r>
    </w:p>
    <w:p w:rsidR="007D46DA" w:rsidRPr="0035743B" w:rsidRDefault="007D46DA" w:rsidP="007D46DA">
      <w:pPr>
        <w:rPr>
          <w:i/>
          <w:noProof/>
        </w:rPr>
      </w:pPr>
    </w:p>
    <w:p w:rsidR="007D46DA" w:rsidRPr="00CA4EF3" w:rsidRDefault="007D46DA" w:rsidP="007D46DA">
      <w:pPr>
        <w:rPr>
          <w:noProof/>
        </w:rPr>
        <w:sectPr w:rsidR="007D46DA" w:rsidRPr="00CA4EF3">
          <w:type w:val="continuous"/>
          <w:pgSz w:w="15840" w:h="12240" w:orient="landscape"/>
          <w:pgMar w:top="1440" w:right="1440" w:bottom="1440" w:left="1440" w:gutter="0"/>
          <w:docGrid w:linePitch="326"/>
        </w:sectPr>
      </w:pPr>
    </w:p>
    <w:p w:rsidR="007D46DA" w:rsidRPr="00B40E6A" w:rsidRDefault="007D46DA" w:rsidP="007D46DA">
      <w:pPr>
        <w:pStyle w:val="Heading4"/>
      </w:pPr>
      <w:bookmarkStart w:id="49" w:name="_Toc199580845"/>
      <w:bookmarkStart w:id="50" w:name="_Toc200095271"/>
      <w:r>
        <w:t xml:space="preserve">2.3.1.3 </w:t>
      </w:r>
      <w:r w:rsidRPr="00B40E6A">
        <w:t>Energy</w:t>
      </w:r>
      <w:bookmarkEnd w:id="49"/>
      <w:bookmarkEnd w:id="50"/>
    </w:p>
    <w:p w:rsidR="007D46DA" w:rsidRPr="00CA4EF3" w:rsidRDefault="007D46DA" w:rsidP="007D46DA">
      <w:r w:rsidRPr="00CA4EF3">
        <w:t>Energy, the capacity to do work, is a fundamental characteristic of life and a building block of human development. As late as the 19</w:t>
      </w:r>
      <w:r w:rsidRPr="00CA4EF3">
        <w:rPr>
          <w:vertAlign w:val="superscript"/>
        </w:rPr>
        <w:t>th</w:t>
      </w:r>
      <w:r w:rsidRPr="00CA4EF3">
        <w:t xml:space="preserve"> century, one term for the modern notion of energy was, in fact, </w:t>
      </w:r>
      <w:r w:rsidRPr="00CA4EF3">
        <w:rPr>
          <w:i/>
        </w:rPr>
        <w:t>vis viva</w:t>
      </w:r>
      <w:r w:rsidRPr="00CA4EF3">
        <w:t xml:space="preserve">, or </w:t>
      </w:r>
      <w:r>
        <w:t>“</w:t>
      </w:r>
      <w:r w:rsidRPr="00CA4EF3">
        <w:t>living force</w:t>
      </w:r>
      <w:r>
        <w:t>”</w:t>
      </w:r>
      <w:r w:rsidRPr="00CA4EF3">
        <w:t xml:space="preserve"> </w:t>
      </w:r>
      <w:r w:rsidR="00F7383F" w:rsidRPr="00CA4EF3">
        <w:fldChar w:fldCharType="begin"/>
      </w:r>
      <w:r>
        <w:instrText xml:space="preserve"> ADDIN ZOTERO_ITEM {"citationID":"XgSVVe6i","properties":{"formattedCitation":"(Ayres and Warr 2009, 151)","plainCitation":"(Ayres and Warr 2009, 151)"},"citationItems":[{"id":641,"uris":["http://zotero.org/groups/4482/items/W2N8JR9X"],"uri":["http://zotero.org/groups/4482/items/W2N8JR9X"],"locator":"151","label":"page"}]} </w:instrText>
      </w:r>
      <w:r w:rsidR="00F7383F" w:rsidRPr="00CA4EF3">
        <w:fldChar w:fldCharType="separate"/>
      </w:r>
      <w:r w:rsidRPr="00AA7B30">
        <w:rPr>
          <w:szCs w:val="21"/>
        </w:rPr>
        <w:t>(Ayres and Warr 2009, 151)</w:t>
      </w:r>
      <w:r w:rsidR="00F7383F" w:rsidRPr="00CA4EF3">
        <w:fldChar w:fldCharType="end"/>
      </w:r>
      <w:r w:rsidRPr="00CA4EF3">
        <w:t>. The services we derive from energy are innumerable—heating, cooling, lighting, cooking, and powering machinery</w:t>
      </w:r>
      <w:r>
        <w:t xml:space="preserve">, </w:t>
      </w:r>
      <w:r w:rsidRPr="00CA4EF3">
        <w:t>just to name a few. It would be hard to overestimate the importance of the invention of fire, emblematic of the ability to harness and use energy beyond that contained in the human body, as a defining point in human and societal development.</w:t>
      </w:r>
    </w:p>
    <w:p w:rsidR="007D46DA" w:rsidRPr="00CA4EF3" w:rsidRDefault="007D46DA" w:rsidP="007D46DA"/>
    <w:p w:rsidR="007D46DA" w:rsidRDefault="007D46DA" w:rsidP="007D46DA">
      <w:r w:rsidRPr="00CA4EF3">
        <w:t>It is not surprising, therefore, that a significant share of infrastructure is devoted to finding, refining, distributing, and using energy resources. An energy resource refers to a substance or process from which we are able to derive useful energy.</w:t>
      </w:r>
      <w:r w:rsidRPr="000E4C4E">
        <w:rPr>
          <w:rStyle w:val="FootnoteReference"/>
        </w:rPr>
        <w:footnoteReference w:id="19"/>
      </w:r>
      <w:r w:rsidRPr="00CA4EF3">
        <w:t xml:space="preserve"> Energy resources come in many forms—from moving water to sunshine, to a team of horses, to a lump of coal, to uranium ore—just to name a few (Box</w:t>
      </w:r>
      <w:r>
        <w:t>es</w:t>
      </w:r>
      <w:r w:rsidRPr="00CA4EF3">
        <w:t xml:space="preserve"> 2.</w:t>
      </w:r>
      <w:r>
        <w:t>3 and 2.4</w:t>
      </w:r>
      <w:r w:rsidRPr="00CA4EF3">
        <w:t>). In most cases, energy resources are not used in their raw form, and certainly not at the site where they are found. Through various processes, they are moved and transformed from primary into the secondary (or alternatively, final) energy resources (Figure 2.</w:t>
      </w:r>
      <w:r>
        <w:t>8</w:t>
      </w:r>
      <w:r w:rsidRPr="00CA4EF3">
        <w:t>).</w:t>
      </w:r>
    </w:p>
    <w:p w:rsidR="007D46DA" w:rsidRPr="00CA4EF3" w:rsidRDefault="007D46DA" w:rsidP="007D46DA"/>
    <w:p w:rsidR="007D46DA" w:rsidRPr="002A4784" w:rsidRDefault="007D46DA" w:rsidP="007D46DA">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2A4784">
        <w:rPr>
          <w:b/>
        </w:rPr>
        <w:t>Box 2.</w:t>
      </w:r>
      <w:r>
        <w:rPr>
          <w:b/>
        </w:rPr>
        <w:t>3</w:t>
      </w:r>
      <w:r w:rsidRPr="002A4784">
        <w:rPr>
          <w:b/>
        </w:rPr>
        <w:t xml:space="preserve"> </w:t>
      </w:r>
      <w:r>
        <w:rPr>
          <w:b/>
        </w:rPr>
        <w:t>Renewable vs. non-renewable energy resources</w:t>
      </w:r>
    </w:p>
    <w:p w:rsidR="007D46DA" w:rsidRPr="007305C1" w:rsidRDefault="007D46DA" w:rsidP="007D46DA">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3442E2">
        <w:t xml:space="preserve">A basic distinction </w:t>
      </w:r>
      <w:r>
        <w:t xml:space="preserve">often </w:t>
      </w:r>
      <w:r w:rsidRPr="003442E2">
        <w:t xml:space="preserve">is made between renewable and non-renewable energy resources. Natural processes such as wind, rain, and sunshine constantly replenish the former. In general, </w:t>
      </w:r>
      <w:r>
        <w:t>renewable energy resources</w:t>
      </w:r>
      <w:r w:rsidRPr="003442E2">
        <w:t xml:space="preserve"> can be described as </w:t>
      </w:r>
      <w:r>
        <w:t>“</w:t>
      </w:r>
      <w:r w:rsidRPr="003442E2">
        <w:t>flow-limited.</w:t>
      </w:r>
      <w:r>
        <w:t>”</w:t>
      </w:r>
      <w:r w:rsidRPr="003442E2">
        <w:t xml:space="preserve"> That is, while there may not be ultimate limits to how much energy they can provide, the rate at which they can be utilized is heavily dependent upon the rate of the natural processes that generate them. Non-renewable energy resources, such as coal, oil, and natural gas, are not regenerated on short time scales. In general, these are </w:t>
      </w:r>
      <w:r>
        <w:t>“</w:t>
      </w:r>
      <w:r w:rsidRPr="003442E2">
        <w:t>stock-limited.</w:t>
      </w:r>
      <w:r>
        <w:t>”</w:t>
      </w:r>
      <w:r w:rsidRPr="003442E2">
        <w:t xml:space="preserve"> That is, there is no inherent limit to the rate at which they can be utilized</w:t>
      </w:r>
      <w:r>
        <w:t>,</w:t>
      </w:r>
      <w:r w:rsidRPr="003442E2">
        <w:t xml:space="preserve"> but there are ultimate limits to the amount of energy they can produce, dependent upon the size of the stock.</w:t>
      </w:r>
      <w:r>
        <w:t xml:space="preserve"> </w:t>
      </w:r>
      <w:r w:rsidRPr="003442E2">
        <w:t xml:space="preserve">Some energy resources </w:t>
      </w:r>
      <w:r>
        <w:t>(</w:t>
      </w:r>
      <w:r w:rsidRPr="003442E2">
        <w:t>e.g., wood and other forms of biomass</w:t>
      </w:r>
      <w:r>
        <w:t>)</w:t>
      </w:r>
      <w:r w:rsidRPr="003442E2">
        <w:t xml:space="preserve"> fall in betw</w:t>
      </w:r>
      <w:r>
        <w:t>een these two broad categories.</w:t>
      </w:r>
    </w:p>
    <w:p w:rsidR="007D46DA" w:rsidRPr="00CA4EF3" w:rsidRDefault="007D46DA" w:rsidP="007D46DA">
      <w:pPr>
        <w:tabs>
          <w:tab w:val="left" w:pos="0"/>
        </w:tabs>
      </w:pPr>
    </w:p>
    <w:p w:rsidR="007D46DA" w:rsidRDefault="007D46DA" w:rsidP="007D46DA">
      <w:pPr>
        <w:rPr>
          <w:b/>
        </w:rPr>
      </w:pPr>
      <w:r>
        <w:rPr>
          <w:noProof/>
        </w:rPr>
        <w:drawing>
          <wp:inline distT="0" distB="0" distL="0" distR="0">
            <wp:extent cx="5939790" cy="4512733"/>
            <wp:effectExtent l="25400" t="0" r="3810" b="0"/>
            <wp:docPr id="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srcRect/>
                    <a:stretch>
                      <a:fillRect/>
                    </a:stretch>
                  </pic:blipFill>
                  <pic:spPr bwMode="auto">
                    <a:xfrm>
                      <a:off x="0" y="0"/>
                      <a:ext cx="5939790" cy="4516755"/>
                    </a:xfrm>
                    <a:prstGeom prst="rect">
                      <a:avLst/>
                    </a:prstGeom>
                    <a:noFill/>
                    <a:ln w="9525">
                      <a:noFill/>
                      <a:miter lim="800000"/>
                      <a:headEnd/>
                      <a:tailEnd/>
                    </a:ln>
                  </pic:spPr>
                </pic:pic>
              </a:graphicData>
            </a:graphic>
          </wp:inline>
        </w:drawing>
      </w:r>
    </w:p>
    <w:p w:rsidR="007D46DA" w:rsidRPr="00CA4EF3" w:rsidRDefault="007D46DA" w:rsidP="007D46DA">
      <w:pPr>
        <w:rPr>
          <w:b/>
        </w:rPr>
      </w:pPr>
      <w:r w:rsidRPr="00CA4EF3">
        <w:rPr>
          <w:b/>
        </w:rPr>
        <w:t>Figure 2.</w:t>
      </w:r>
      <w:r>
        <w:rPr>
          <w:b/>
        </w:rPr>
        <w:t>8</w:t>
      </w:r>
      <w:r w:rsidRPr="00CA4EF3">
        <w:rPr>
          <w:b/>
        </w:rPr>
        <w:t xml:space="preserve"> Energy resources and energy infrastructure</w:t>
      </w:r>
    </w:p>
    <w:p w:rsidR="007D46DA" w:rsidRPr="00146FCC" w:rsidRDefault="007D46DA" w:rsidP="007D46DA">
      <w:pPr>
        <w:rPr>
          <w:i/>
        </w:rPr>
      </w:pPr>
      <w:r w:rsidRPr="00146FCC">
        <w:rPr>
          <w:i/>
        </w:rPr>
        <w:t>Source: created by authors</w:t>
      </w:r>
    </w:p>
    <w:p w:rsidR="007D46DA" w:rsidRPr="00CA4EF3" w:rsidRDefault="007D46DA" w:rsidP="007D46DA"/>
    <w:p w:rsidR="007D46DA" w:rsidRPr="002A4784" w:rsidRDefault="007D46DA" w:rsidP="007D46DA">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2A4784">
        <w:rPr>
          <w:b/>
        </w:rPr>
        <w:t>Box 2.</w:t>
      </w:r>
      <w:r>
        <w:rPr>
          <w:b/>
        </w:rPr>
        <w:t>4 Measuring energy and power</w:t>
      </w:r>
    </w:p>
    <w:p w:rsidR="007D46DA" w:rsidRDefault="007D46DA" w:rsidP="007D46DA">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3442E2">
        <w:t>Numerous measures exist for energy resources. The</w:t>
      </w:r>
      <w:r>
        <w:t>y</w:t>
      </w:r>
      <w:r w:rsidRPr="003442E2">
        <w:t xml:space="preserve"> can be measured in physical quantities, </w:t>
      </w:r>
      <w:r>
        <w:t>such as</w:t>
      </w:r>
      <w:r w:rsidRPr="003442E2">
        <w:t xml:space="preserve"> barrels of oil, tons of coal</w:t>
      </w:r>
      <w:r>
        <w:t>,</w:t>
      </w:r>
      <w:r w:rsidRPr="003442E2">
        <w:t xml:space="preserve"> and cubic feet of natural gas. In general, though, it is preferable to use energy equivalents. The base unit for measuring energy is a joule, but other commonly-used measures include </w:t>
      </w:r>
      <w:r>
        <w:t xml:space="preserve">the </w:t>
      </w:r>
      <w:r w:rsidRPr="003442E2">
        <w:t>British thermal unit (BTU), calorie, ton of oil or coal equivalent, barrel of oil equivalent, and watt-hours. Since a joule and most of these other commonly-used measures represent small amounts of energy, it is typical to see energy production and use expressed in terms of orders of magnitude of these measure, such as Gigajoules—a billion (10</w:t>
      </w:r>
      <w:r w:rsidRPr="003442E2">
        <w:rPr>
          <w:vertAlign w:val="superscript"/>
        </w:rPr>
        <w:t>9</w:t>
      </w:r>
      <w:r w:rsidRPr="003442E2">
        <w:t>) joules</w:t>
      </w:r>
      <w:r>
        <w:t>;</w:t>
      </w:r>
      <w:r w:rsidRPr="003442E2">
        <w:t xml:space="preserve"> Megawatt-hours—a million (10</w:t>
      </w:r>
      <w:r w:rsidRPr="003442E2">
        <w:rPr>
          <w:vertAlign w:val="superscript"/>
        </w:rPr>
        <w:t>6</w:t>
      </w:r>
      <w:r w:rsidRPr="003442E2">
        <w:t>) watt-hours</w:t>
      </w:r>
      <w:r>
        <w:t>;</w:t>
      </w:r>
      <w:r w:rsidRPr="003442E2">
        <w:t xml:space="preserve"> and Quads—a quadrillion (10</w:t>
      </w:r>
      <w:r w:rsidRPr="003442E2">
        <w:rPr>
          <w:vertAlign w:val="superscript"/>
        </w:rPr>
        <w:t>15</w:t>
      </w:r>
      <w:r w:rsidRPr="003442E2">
        <w:t>) BTUs.</w:t>
      </w:r>
    </w:p>
    <w:p w:rsidR="007D46DA" w:rsidRDefault="007D46DA" w:rsidP="007D46DA">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7D46DA" w:rsidRPr="007305C1" w:rsidRDefault="007D46DA" w:rsidP="007D46DA">
      <w:pPr>
        <w:pBdr>
          <w:top w:val="single" w:sz="4" w:space="1" w:color="auto"/>
          <w:left w:val="single" w:sz="4" w:space="4" w:color="auto"/>
          <w:bottom w:val="single" w:sz="4" w:space="1" w:color="auto"/>
          <w:right w:val="single" w:sz="4" w:space="4" w:color="auto"/>
        </w:pBdr>
        <w:shd w:val="clear" w:color="auto" w:fill="D9D9D9" w:themeFill="background1" w:themeFillShade="D9"/>
      </w:pPr>
      <w:r>
        <w:t>E</w:t>
      </w:r>
      <w:r w:rsidRPr="003442E2">
        <w:t>lectricity</w:t>
      </w:r>
      <w:r>
        <w:t xml:space="preserve"> generating capacity is measured</w:t>
      </w:r>
      <w:r w:rsidRPr="003442E2">
        <w:t xml:space="preserve"> in terms of power</w:t>
      </w:r>
      <w:r>
        <w:t xml:space="preserve">, i.e., the </w:t>
      </w:r>
      <w:r w:rsidRPr="003442E2">
        <w:t xml:space="preserve">capacity </w:t>
      </w:r>
      <w:r>
        <w:t xml:space="preserve">to produce energy </w:t>
      </w:r>
      <w:r w:rsidRPr="003442E2">
        <w:t xml:space="preserve">rather than </w:t>
      </w:r>
      <w:r>
        <w:t xml:space="preserve">the </w:t>
      </w:r>
      <w:r w:rsidRPr="003442E2">
        <w:t>actual delivery of energy or energy services. The base unit for measuring power is a watt, which is one joule per second; for electricity-generating capacity, it is more common to speak of one million watts, a megawatt (MW). One MW represents the capacity to deliver one million joules per second, or 3,600,000,000 joules per hour. The latter is more commonly called a megawatt hour (MW-hr). How much energy a plant with a capacity of one MW will actually produce over a certain period of time will depend upon its actual use.</w:t>
      </w:r>
    </w:p>
    <w:p w:rsidR="007D46DA" w:rsidRDefault="007D46DA" w:rsidP="007D46DA"/>
    <w:p w:rsidR="007D46DA" w:rsidRDefault="007D46DA" w:rsidP="007D46DA">
      <w:r w:rsidRPr="00CA4EF3">
        <w:t>At each stage—exploration, extraction, conversion, and distribution—there are important infrastructure elements. These vary by the type of energy resource and the stage in the process, and include such entities as coal mines, oil and gas fields, refineries, hydroelectric dams and other electricity-generating facilities, pipelines, transmission lines, tanker ships, and trucks.</w:t>
      </w:r>
    </w:p>
    <w:p w:rsidR="007D46DA" w:rsidRDefault="007D46DA" w:rsidP="007D46DA"/>
    <w:p w:rsidR="007D46DA" w:rsidRPr="00CA4EF3" w:rsidRDefault="007D46DA" w:rsidP="007D46DA">
      <w:r>
        <w:t>Electric generating capacity is the most commonly used measure of energy infrastructure</w:t>
      </w:r>
      <w:r w:rsidRPr="00CA4EF3">
        <w:t xml:space="preserve"> (see, for example, World Bank </w:t>
      </w:r>
      <w:fldSimple w:instr=" ADDIN ZOTERO_ITEM {&quot;citationID&quot;:&quot;v3d88j50n&quot;,&quot;properties&quot;:{&quot;formattedCitation&quot;:&quot;(1994)&quot;,&quot;plainCitation&quot;:&quot;(1994)&quot;},&quot;citationItems&quot;:[{&quot;id&quot;:570,&quot;uris&quot;:[&quot;http://zotero.org/groups/4482/items/SVRTWC5X&quot;],&quot;uri&quot;:[&quot;http://zotero.org/groups/4482/items/SVRTWC5X&quot;],&quot;suppress-author&quot;:true}]} ">
        <w:r w:rsidRPr="00AA7B30">
          <w:rPr>
            <w:szCs w:val="21"/>
          </w:rPr>
          <w:t>(1994)</w:t>
        </w:r>
      </w:fldSimple>
      <w:r w:rsidRPr="00CA4EF3">
        <w:t xml:space="preserve">, Fay </w:t>
      </w:r>
      <w:fldSimple w:instr=" ADDIN ZOTERO_ITEM {&quot;citationID&quot;:&quot;1mb7fvf8hp&quot;,&quot;properties&quot;:{&quot;formattedCitation&quot;:&quot;(2001)&quot;,&quot;plainCitation&quot;:&quot;(2001)&quot;},&quot;citationItems&quot;:[{&quot;id&quot;:480,&quot;uris&quot;:[&quot;http://zotero.org/groups/4482/items/KQS277CN&quot;],&quot;uri&quot;:[&quot;http://zotero.org/groups/4482/items/KQS277CN&quot;],&quot;suppress-author&quot;:true}]} ">
        <w:r w:rsidRPr="00AA7B30">
          <w:rPr>
            <w:szCs w:val="21"/>
          </w:rPr>
          <w:t>(2001)</w:t>
        </w:r>
      </w:fldSimple>
      <w:r w:rsidRPr="00CA4EF3">
        <w:t xml:space="preserve">, and OECD </w:t>
      </w:r>
      <w:fldSimple w:instr=" ADDIN ZOTERO_ITEM {&quot;citationID&quot;:&quot;1o6o9iol4l&quot;,&quot;properties&quot;:{&quot;formattedCitation&quot;:&quot;(2006)&quot;,&quot;plainCitation&quot;:&quot;(2006)&quot;},&quot;citationItems&quot;:[{&quot;id&quot;:1462,&quot;uris&quot;:[&quot;http://zotero.org/groups/4482/items/5MCXH4FW&quot;],&quot;uri&quot;:[&quot;http://zotero.org/groups/4482/items/5MCXH4FW&quot;],&quot;suppress-author&quot;:true}]} ">
        <w:r w:rsidRPr="00AA7B30">
          <w:rPr>
            <w:szCs w:val="21"/>
          </w:rPr>
          <w:t>(2006)</w:t>
        </w:r>
      </w:fldSimple>
      <w:r>
        <w:t>, but</w:t>
      </w:r>
      <w:r w:rsidRPr="00CA4EF3">
        <w:t xml:space="preserve"> with the increased availability of data, some studies </w:t>
      </w:r>
      <w:r>
        <w:t xml:space="preserve">also </w:t>
      </w:r>
      <w:r w:rsidRPr="00CA4EF3">
        <w:t xml:space="preserve">have started to consider access to electricity and other modern forms of energy (see Foster and Briceño-Garmendia </w:t>
      </w:r>
      <w:fldSimple w:instr=" ADDIN ZOTERO_ITEM {&quot;citationID&quot;:&quot;1ollq5feeg&quot;,&quot;properties&quot;:{&quot;formattedCitation&quot;:&quot;(2010)&quot;,&quot;plainCitation&quot;:&quot;(2010)&quot;},&quot;citationItems&quot;:[{&quot;id&quot;:301,&quot;uris&quot;:[&quot;http://zotero.org/groups/4482/items/8R277WSI&quot;],&quot;uri&quot;:[&quot;http://zotero.org/groups/4482/items/8R277WSI&quot;],&quot;suppress-author&quot;:true}]} ">
        <w:r w:rsidRPr="00AA7B30">
          <w:rPr>
            <w:szCs w:val="21"/>
          </w:rPr>
          <w:t>(2010)</w:t>
        </w:r>
      </w:fldSimple>
      <w:r>
        <w:t>)</w:t>
      </w:r>
      <w:r w:rsidRPr="00CA4EF3">
        <w:t>. Following most previous studies of infrastructure, in our quantitative analyses we focus on these same measures.</w:t>
      </w:r>
      <w:r w:rsidRPr="000E4C4E">
        <w:rPr>
          <w:rStyle w:val="FootnoteReference"/>
        </w:rPr>
        <w:footnoteReference w:id="20"/>
      </w:r>
      <w:r w:rsidRPr="00CA4EF3">
        <w:t xml:space="preserve"> </w:t>
      </w:r>
    </w:p>
    <w:p w:rsidR="007D46DA" w:rsidRPr="00CA4EF3" w:rsidRDefault="007D46DA" w:rsidP="007D46DA">
      <w:r w:rsidRPr="00CA4EF3">
        <w:t>Global electricity generating capacity increased nearly threefold from 1975 to 2008, growing from just under 1600 Gigawatts (GW) to over 4600 GW in this period (Figure 2.</w:t>
      </w:r>
      <w:r>
        <w:t>9</w:t>
      </w:r>
      <w:r w:rsidRPr="00CA4EF3">
        <w:t xml:space="preserve">). Even today, more than half of this capacity is located in </w:t>
      </w:r>
      <w:r>
        <w:t>h</w:t>
      </w:r>
      <w:r w:rsidRPr="00CA4EF3">
        <w:t>igh-income countries, although</w:t>
      </w:r>
      <w:r>
        <w:t xml:space="preserve"> </w:t>
      </w:r>
      <w:r w:rsidRPr="00CA4EF3">
        <w:t>some increase in share</w:t>
      </w:r>
      <w:r>
        <w:t>s</w:t>
      </w:r>
      <w:r w:rsidRPr="00CA4EF3">
        <w:t xml:space="preserve"> </w:t>
      </w:r>
      <w:r>
        <w:t xml:space="preserve">has taken place </w:t>
      </w:r>
      <w:r w:rsidRPr="00CA4EF3">
        <w:t xml:space="preserve">in the </w:t>
      </w:r>
      <w:r>
        <w:t>l</w:t>
      </w:r>
      <w:r w:rsidRPr="00CA4EF3">
        <w:t xml:space="preserve">ower- and </w:t>
      </w:r>
      <w:r>
        <w:t>u</w:t>
      </w:r>
      <w:r w:rsidRPr="00CA4EF3">
        <w:t>pper-middle</w:t>
      </w:r>
      <w:r>
        <w:t>-</w:t>
      </w:r>
      <w:r w:rsidRPr="00CA4EF3">
        <w:t xml:space="preserve">income countries. Regionally, the most significant changes have been the relative growth in East Asia and Pacific </w:t>
      </w:r>
      <w:r>
        <w:t>(</w:t>
      </w:r>
      <w:r w:rsidRPr="00CA4EF3">
        <w:t xml:space="preserve">from under </w:t>
      </w:r>
      <w:r>
        <w:t>4</w:t>
      </w:r>
      <w:r w:rsidRPr="00CA4EF3">
        <w:t xml:space="preserve"> percent of the global total in 1975 to more than </w:t>
      </w:r>
      <w:r>
        <w:t>20</w:t>
      </w:r>
      <w:r w:rsidRPr="00CA4EF3">
        <w:t xml:space="preserve"> percent in 2008</w:t>
      </w:r>
      <w:r>
        <w:t>)</w:t>
      </w:r>
      <w:r w:rsidRPr="00CA4EF3">
        <w:t xml:space="preserve"> and the decline in Europe and Central Asia </w:t>
      </w:r>
      <w:r>
        <w:t>(</w:t>
      </w:r>
      <w:r w:rsidRPr="00CA4EF3">
        <w:t xml:space="preserve">from over </w:t>
      </w:r>
      <w:r>
        <w:t>16</w:t>
      </w:r>
      <w:r w:rsidRPr="00CA4EF3">
        <w:t xml:space="preserve"> percent of the global total in 1975 to fewer than </w:t>
      </w:r>
      <w:r>
        <w:t>10</w:t>
      </w:r>
      <w:r w:rsidRPr="00CA4EF3">
        <w:t xml:space="preserve"> percent in 2008</w:t>
      </w:r>
      <w:r>
        <w:t>)</w:t>
      </w:r>
      <w:r w:rsidRPr="00CA4EF3">
        <w:t>.</w:t>
      </w:r>
    </w:p>
    <w:p w:rsidR="007D46DA" w:rsidRPr="00CA4EF3" w:rsidRDefault="007D46DA" w:rsidP="007D46DA"/>
    <w:p w:rsidR="007D46DA" w:rsidRPr="00CA4EF3" w:rsidRDefault="007D46DA" w:rsidP="007D46DA">
      <w:r w:rsidRPr="00CA4EF3">
        <w:t>The differences on a per capita basis are, if anything, more striking. Not surprisingly, there is a clear pattern in electricity generating capacity per capita with income, but what may be more</w:t>
      </w:r>
      <w:r>
        <w:t xml:space="preserve"> significant</w:t>
      </w:r>
      <w:r w:rsidRPr="00CA4EF3">
        <w:t xml:space="preserve"> is how this has changed over time (Table 2</w:t>
      </w:r>
      <w:r>
        <w:t>.6</w:t>
      </w:r>
      <w:r w:rsidRPr="00CA4EF3">
        <w:t>). After some growth in the 1980s</w:t>
      </w:r>
      <w:r>
        <w:t>,</w:t>
      </w:r>
      <w:r w:rsidRPr="00CA4EF3">
        <w:t xml:space="preserve"> the </w:t>
      </w:r>
      <w:r>
        <w:t>l</w:t>
      </w:r>
      <w:r w:rsidRPr="00CA4EF3">
        <w:t xml:space="preserve">ow-income economies and </w:t>
      </w:r>
      <w:r>
        <w:t>s</w:t>
      </w:r>
      <w:r w:rsidRPr="00CA4EF3">
        <w:t xml:space="preserve">ub-Saharan Africa experienced declines in electricity generating capacity per capita. Over the entire period, they saw </w:t>
      </w:r>
      <w:r>
        <w:t>only about</w:t>
      </w:r>
      <w:r w:rsidRPr="00CA4EF3">
        <w:t xml:space="preserve"> ten percent growth, compared to eighty percent growth global</w:t>
      </w:r>
      <w:r>
        <w:t>ly</w:t>
      </w:r>
      <w:r w:rsidRPr="00CA4EF3">
        <w:t xml:space="preserve">. </w:t>
      </w:r>
      <w:r>
        <w:t>By</w:t>
      </w:r>
      <w:r w:rsidRPr="00CA4EF3">
        <w:t xml:space="preserve"> 2008, </w:t>
      </w:r>
      <w:r>
        <w:t>sub-Saharan Africa and low-income economies as a group</w:t>
      </w:r>
      <w:r w:rsidRPr="00CA4EF3">
        <w:t xml:space="preserve"> had only </w:t>
      </w:r>
      <w:r>
        <w:t>2</w:t>
      </w:r>
      <w:r w:rsidRPr="00CA4EF3">
        <w:t xml:space="preserve"> to </w:t>
      </w:r>
      <w:r>
        <w:t>3</w:t>
      </w:r>
      <w:r w:rsidRPr="00CA4EF3">
        <w:t xml:space="preserve"> percent of the generating capacity per capita seen in the </w:t>
      </w:r>
      <w:r>
        <w:t>h</w:t>
      </w:r>
      <w:r w:rsidRPr="00CA4EF3">
        <w:t xml:space="preserve">igh-income countries. In East Asia and Pacific, however, there was a nearly eleven-fold increase between 1975 and 2008. Latin America and the Caribbean, Middle East and North Africa, and South Asia saw more modest </w:t>
      </w:r>
      <w:r>
        <w:t xml:space="preserve">but nonetheless significant </w:t>
      </w:r>
      <w:r w:rsidRPr="00CA4EF3">
        <w:t>growth, ranging from a 250 percent increase to a near</w:t>
      </w:r>
      <w:r>
        <w:t>-</w:t>
      </w:r>
      <w:r w:rsidRPr="00CA4EF3">
        <w:t xml:space="preserve">400 percent increase over this period. Europe and Central Asia was the only region other than </w:t>
      </w:r>
      <w:r>
        <w:t>s</w:t>
      </w:r>
      <w:r w:rsidRPr="00CA4EF3">
        <w:t>ub-Saharan Africa to experience slower growth than the global average.</w:t>
      </w:r>
    </w:p>
    <w:p w:rsidR="007D46DA" w:rsidRDefault="007D46DA" w:rsidP="007D46DA"/>
    <w:p w:rsidR="007D46DA" w:rsidRDefault="007D46DA" w:rsidP="007D46DA">
      <w:pPr>
        <w:ind w:left="720" w:firstLine="720"/>
      </w:pPr>
      <w:r w:rsidRPr="002A3807">
        <w:rPr>
          <w:noProof/>
        </w:rPr>
        <w:drawing>
          <wp:anchor distT="0" distB="0" distL="114300" distR="114300" simplePos="0" relativeHeight="251667456" behindDoc="0" locked="0" layoutInCell="1" allowOverlap="1">
            <wp:simplePos x="0" y="0"/>
            <wp:positionH relativeFrom="column">
              <wp:posOffset>933450</wp:posOffset>
            </wp:positionH>
            <wp:positionV relativeFrom="paragraph">
              <wp:posOffset>-142875</wp:posOffset>
            </wp:positionV>
            <wp:extent cx="4169410" cy="3520440"/>
            <wp:effectExtent l="25400" t="25400" r="21590" b="10160"/>
            <wp:wrapTopAndBottom/>
            <wp:docPr id="20" name="C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Pr="00137772">
        <w:rPr>
          <w:b/>
          <w:noProof/>
        </w:rPr>
        <w:drawing>
          <wp:inline distT="0" distB="0" distL="0" distR="0">
            <wp:extent cx="4165600" cy="3466465"/>
            <wp:effectExtent l="25400" t="25400" r="0" b="0"/>
            <wp:docPr id="41" name="C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D46DA" w:rsidRPr="008450FB" w:rsidRDefault="007D46DA" w:rsidP="007D46DA">
      <w:pPr>
        <w:jc w:val="both"/>
        <w:rPr>
          <w:b/>
        </w:rPr>
      </w:pPr>
      <w:r w:rsidRPr="008450FB">
        <w:rPr>
          <w:b/>
        </w:rPr>
        <w:t>Figur</w:t>
      </w:r>
      <w:r w:rsidR="00A84F12">
        <w:rPr>
          <w:b/>
        </w:rPr>
        <w:t>e</w:t>
      </w:r>
      <w:r w:rsidRPr="008450FB">
        <w:rPr>
          <w:b/>
        </w:rPr>
        <w:t xml:space="preserve"> 2.</w:t>
      </w:r>
      <w:r>
        <w:rPr>
          <w:b/>
        </w:rPr>
        <w:t>9</w:t>
      </w:r>
      <w:r w:rsidRPr="008450FB">
        <w:rPr>
          <w:b/>
        </w:rPr>
        <w:t xml:space="preserve"> Installed </w:t>
      </w:r>
      <w:r>
        <w:rPr>
          <w:b/>
        </w:rPr>
        <w:t>e</w:t>
      </w:r>
      <w:r w:rsidRPr="008450FB">
        <w:rPr>
          <w:b/>
        </w:rPr>
        <w:t xml:space="preserve">lectricity </w:t>
      </w:r>
      <w:r>
        <w:rPr>
          <w:b/>
        </w:rPr>
        <w:t>g</w:t>
      </w:r>
      <w:r w:rsidRPr="008450FB">
        <w:rPr>
          <w:b/>
        </w:rPr>
        <w:t xml:space="preserve">enerating </w:t>
      </w:r>
      <w:r>
        <w:rPr>
          <w:b/>
        </w:rPr>
        <w:t>c</w:t>
      </w:r>
      <w:r w:rsidRPr="008450FB">
        <w:rPr>
          <w:b/>
        </w:rPr>
        <w:t xml:space="preserve">apacity </w:t>
      </w:r>
      <w:r>
        <w:rPr>
          <w:b/>
        </w:rPr>
        <w:t xml:space="preserve">(total) </w:t>
      </w:r>
      <w:r w:rsidRPr="008450FB">
        <w:rPr>
          <w:b/>
        </w:rPr>
        <w:t xml:space="preserve">by </w:t>
      </w:r>
      <w:r>
        <w:rPr>
          <w:b/>
        </w:rPr>
        <w:t>r</w:t>
      </w:r>
      <w:r w:rsidRPr="008450FB">
        <w:rPr>
          <w:b/>
        </w:rPr>
        <w:t xml:space="preserve">egion and </w:t>
      </w:r>
      <w:r>
        <w:rPr>
          <w:b/>
        </w:rPr>
        <w:t>i</w:t>
      </w:r>
      <w:r w:rsidRPr="008450FB">
        <w:rPr>
          <w:b/>
        </w:rPr>
        <w:t xml:space="preserve">ncome </w:t>
      </w:r>
      <w:r>
        <w:rPr>
          <w:b/>
        </w:rPr>
        <w:t>group (1975-2008)</w:t>
      </w:r>
    </w:p>
    <w:p w:rsidR="007D46DA" w:rsidRPr="002302F9" w:rsidDel="00A62C50" w:rsidRDefault="007D46DA" w:rsidP="007D46DA">
      <w:pPr>
        <w:rPr>
          <w:i/>
        </w:rPr>
      </w:pPr>
      <w:r w:rsidRPr="00726638">
        <w:rPr>
          <w:i/>
        </w:rPr>
        <w:t>Source: U.S. Energy Information Administration’s International Energy Statistics (</w:t>
      </w:r>
      <w:hyperlink r:id="rId40" w:history="1">
        <w:r w:rsidRPr="00726638">
          <w:rPr>
            <w:rStyle w:val="Hyperlink"/>
            <w:i/>
          </w:rPr>
          <w:t>http://www.eia.gov/countries/data.cfm</w:t>
        </w:r>
      </w:hyperlink>
      <w:r w:rsidRPr="00726638">
        <w:rPr>
          <w:i/>
        </w:rPr>
        <w:t xml:space="preserve">) and work by David Canning at the Harvard School of Public Health </w:t>
      </w:r>
      <w:r w:rsidR="00F7383F" w:rsidRPr="00726638">
        <w:rPr>
          <w:i/>
        </w:rPr>
        <w:fldChar w:fldCharType="begin"/>
      </w:r>
      <w:r>
        <w:rPr>
          <w:i/>
        </w:rPr>
        <w:instrText xml:space="preserve"> ADDIN ZOTERO_ITEM {"citationID":"2irts5q483","properties":{"formattedCitation":"(Canning 1998; Canning and Farahani 2007)","plainCitation":"(Canning 1998; Canning and Farahani 2007)"},"citationItems":[{"id":1067,"uris":["http://zotero.org/groups/4482/items/59NKURMC"],"uri":["http://zotero.org/groups/4482/items/59NKURMC"],"label":"page"},{"id":500,"uris":["http://zotero.org/groups/4482/items/MSM7T659"],"uri":["http://zotero.org/groups/4482/items/MSM7T659"],"label":"page"}]} </w:instrText>
      </w:r>
      <w:r w:rsidR="00F7383F" w:rsidRPr="00726638">
        <w:rPr>
          <w:i/>
        </w:rPr>
        <w:fldChar w:fldCharType="separate"/>
      </w:r>
      <w:r w:rsidRPr="00AA7B30">
        <w:rPr>
          <w:szCs w:val="21"/>
        </w:rPr>
        <w:t>(Canning 1998; Canning and Farahani 2007)</w:t>
      </w:r>
      <w:r w:rsidR="00F7383F" w:rsidRPr="00726638">
        <w:rPr>
          <w:i/>
        </w:rPr>
        <w:fldChar w:fldCharType="end"/>
      </w:r>
      <w:r w:rsidRPr="00726638">
        <w:rPr>
          <w:i/>
        </w:rPr>
        <w:t xml:space="preserve"> data available at </w:t>
      </w:r>
      <w:hyperlink r:id="rId41" w:history="1">
        <w:r w:rsidRPr="00B849E2">
          <w:rPr>
            <w:rStyle w:val="Hyperlink"/>
            <w:i/>
          </w:rPr>
          <w:t>http://www.hsph.harvard.edu/faculty/david-canning/data-sets/</w:t>
        </w:r>
      </w:hyperlink>
      <w:r w:rsidRPr="00726638">
        <w:rPr>
          <w:i/>
        </w:rPr>
        <w:t>).</w:t>
      </w:r>
    </w:p>
    <w:p w:rsidR="007D46DA" w:rsidRPr="00CA4EF3" w:rsidRDefault="007D46DA" w:rsidP="007D46DA"/>
    <w:tbl>
      <w:tblPr>
        <w:tblW w:w="9257" w:type="dxa"/>
        <w:jc w:val="center"/>
        <w:tblLayout w:type="fixed"/>
        <w:tblLook w:val="0000"/>
      </w:tblPr>
      <w:tblGrid>
        <w:gridCol w:w="3643"/>
        <w:gridCol w:w="1871"/>
        <w:gridCol w:w="1871"/>
        <w:gridCol w:w="1872"/>
      </w:tblGrid>
      <w:tr w:rsidR="007D46DA" w:rsidRPr="00CA4EF3">
        <w:trPr>
          <w:trHeight w:val="305"/>
          <w:jc w:val="center"/>
        </w:trPr>
        <w:tc>
          <w:tcPr>
            <w:tcW w:w="9257" w:type="dxa"/>
            <w:gridSpan w:val="4"/>
            <w:tcBorders>
              <w:top w:val="single" w:sz="6" w:space="0" w:color="auto"/>
              <w:left w:val="single" w:sz="6" w:space="0" w:color="auto"/>
              <w:bottom w:val="single" w:sz="6" w:space="0" w:color="auto"/>
              <w:right w:val="single" w:sz="6" w:space="0" w:color="auto"/>
            </w:tcBorders>
            <w:vAlign w:val="center"/>
          </w:tcPr>
          <w:p w:rsidR="007D46DA" w:rsidRPr="00CA4EF3" w:rsidRDefault="007D46DA" w:rsidP="006B1499">
            <w:pPr>
              <w:autoSpaceDE w:val="0"/>
              <w:autoSpaceDN w:val="0"/>
              <w:adjustRightInd w:val="0"/>
              <w:rPr>
                <w:b/>
                <w:bCs/>
                <w:color w:val="000000"/>
              </w:rPr>
            </w:pPr>
            <w:r w:rsidRPr="00CA4EF3">
              <w:rPr>
                <w:b/>
                <w:bCs/>
                <w:color w:val="000000"/>
              </w:rPr>
              <w:t>Table 2.</w:t>
            </w:r>
            <w:r>
              <w:rPr>
                <w:b/>
                <w:bCs/>
                <w:color w:val="000000"/>
              </w:rPr>
              <w:t>6</w:t>
            </w:r>
            <w:r w:rsidRPr="00CA4EF3">
              <w:rPr>
                <w:b/>
                <w:bCs/>
                <w:color w:val="000000"/>
              </w:rPr>
              <w:t xml:space="preserve"> Installed </w:t>
            </w:r>
            <w:r>
              <w:rPr>
                <w:b/>
                <w:bCs/>
                <w:color w:val="000000"/>
              </w:rPr>
              <w:t>e</w:t>
            </w:r>
            <w:r w:rsidRPr="00CA4EF3">
              <w:rPr>
                <w:b/>
                <w:bCs/>
                <w:color w:val="000000"/>
              </w:rPr>
              <w:t xml:space="preserve">lectricity </w:t>
            </w:r>
            <w:r>
              <w:rPr>
                <w:b/>
                <w:bCs/>
                <w:color w:val="000000"/>
              </w:rPr>
              <w:t>g</w:t>
            </w:r>
            <w:r w:rsidRPr="00CA4EF3">
              <w:rPr>
                <w:b/>
                <w:bCs/>
                <w:color w:val="000000"/>
              </w:rPr>
              <w:t xml:space="preserve">enerating </w:t>
            </w:r>
            <w:r>
              <w:rPr>
                <w:b/>
                <w:bCs/>
                <w:color w:val="000000"/>
              </w:rPr>
              <w:t>c</w:t>
            </w:r>
            <w:r w:rsidRPr="00CA4EF3">
              <w:rPr>
                <w:b/>
                <w:bCs/>
                <w:color w:val="000000"/>
              </w:rPr>
              <w:t xml:space="preserve">apacity per </w:t>
            </w:r>
            <w:r>
              <w:rPr>
                <w:b/>
                <w:bCs/>
                <w:color w:val="000000"/>
              </w:rPr>
              <w:t>c</w:t>
            </w:r>
            <w:r w:rsidRPr="00CA4EF3">
              <w:rPr>
                <w:b/>
                <w:bCs/>
                <w:color w:val="000000"/>
              </w:rPr>
              <w:t>apita</w:t>
            </w:r>
            <w:r>
              <w:rPr>
                <w:b/>
                <w:bCs/>
                <w:color w:val="000000"/>
              </w:rPr>
              <w:t xml:space="preserve"> by</w:t>
            </w:r>
            <w:r w:rsidRPr="00CA4EF3">
              <w:rPr>
                <w:b/>
                <w:bCs/>
                <w:color w:val="000000"/>
              </w:rPr>
              <w:t xml:space="preserve"> </w:t>
            </w:r>
            <w:r>
              <w:rPr>
                <w:b/>
                <w:bCs/>
                <w:color w:val="000000"/>
              </w:rPr>
              <w:t>region and income group (1975-2008)</w:t>
            </w:r>
          </w:p>
        </w:tc>
      </w:tr>
      <w:tr w:rsidR="007D46DA" w:rsidRPr="000D4C00">
        <w:trPr>
          <w:trHeight w:val="305"/>
          <w:jc w:val="center"/>
        </w:trPr>
        <w:tc>
          <w:tcPr>
            <w:tcW w:w="3643" w:type="dxa"/>
            <w:tcBorders>
              <w:top w:val="single" w:sz="6" w:space="0" w:color="auto"/>
              <w:left w:val="single" w:sz="6" w:space="0" w:color="auto"/>
              <w:bottom w:val="single" w:sz="6" w:space="0" w:color="auto"/>
              <w:right w:val="single" w:sz="6" w:space="0" w:color="auto"/>
            </w:tcBorders>
          </w:tcPr>
          <w:p w:rsidR="007D46DA" w:rsidRPr="000D4C00" w:rsidRDefault="007D46DA" w:rsidP="006B1499">
            <w:pPr>
              <w:autoSpaceDE w:val="0"/>
              <w:autoSpaceDN w:val="0"/>
              <w:adjustRightInd w:val="0"/>
              <w:rPr>
                <w:bCs/>
                <w:color w:val="000000"/>
              </w:rPr>
            </w:pPr>
          </w:p>
        </w:tc>
        <w:tc>
          <w:tcPr>
            <w:tcW w:w="1871" w:type="dxa"/>
            <w:tcBorders>
              <w:top w:val="single" w:sz="6" w:space="0" w:color="auto"/>
              <w:left w:val="single" w:sz="6" w:space="0" w:color="auto"/>
              <w:bottom w:val="single" w:sz="6" w:space="0" w:color="auto"/>
              <w:right w:val="single" w:sz="6" w:space="0" w:color="auto"/>
            </w:tcBorders>
          </w:tcPr>
          <w:p w:rsidR="007D46DA" w:rsidRPr="000D4C00" w:rsidRDefault="007D46DA" w:rsidP="006B1499">
            <w:pPr>
              <w:autoSpaceDE w:val="0"/>
              <w:autoSpaceDN w:val="0"/>
              <w:adjustRightInd w:val="0"/>
              <w:jc w:val="center"/>
              <w:rPr>
                <w:bCs/>
                <w:color w:val="000000"/>
              </w:rPr>
            </w:pPr>
            <w:r w:rsidRPr="000D4C00">
              <w:rPr>
                <w:bCs/>
                <w:color w:val="000000"/>
              </w:rPr>
              <w:t>1975</w:t>
            </w:r>
          </w:p>
        </w:tc>
        <w:tc>
          <w:tcPr>
            <w:tcW w:w="1871" w:type="dxa"/>
            <w:tcBorders>
              <w:top w:val="single" w:sz="6" w:space="0" w:color="auto"/>
              <w:left w:val="single" w:sz="6" w:space="0" w:color="auto"/>
              <w:bottom w:val="single" w:sz="6" w:space="0" w:color="auto"/>
              <w:right w:val="single" w:sz="6" w:space="0" w:color="auto"/>
            </w:tcBorders>
          </w:tcPr>
          <w:p w:rsidR="007D46DA" w:rsidRPr="000D4C00" w:rsidRDefault="007D46DA" w:rsidP="006B1499">
            <w:pPr>
              <w:autoSpaceDE w:val="0"/>
              <w:autoSpaceDN w:val="0"/>
              <w:adjustRightInd w:val="0"/>
              <w:jc w:val="center"/>
              <w:rPr>
                <w:bCs/>
                <w:color w:val="000000"/>
              </w:rPr>
            </w:pPr>
            <w:r w:rsidRPr="000D4C00">
              <w:rPr>
                <w:bCs/>
                <w:color w:val="000000"/>
              </w:rPr>
              <w:t>1990</w:t>
            </w:r>
          </w:p>
        </w:tc>
        <w:tc>
          <w:tcPr>
            <w:tcW w:w="1872" w:type="dxa"/>
            <w:tcBorders>
              <w:top w:val="single" w:sz="6" w:space="0" w:color="auto"/>
              <w:left w:val="single" w:sz="6" w:space="0" w:color="auto"/>
              <w:bottom w:val="single" w:sz="6" w:space="0" w:color="auto"/>
              <w:right w:val="single" w:sz="6" w:space="0" w:color="auto"/>
            </w:tcBorders>
          </w:tcPr>
          <w:p w:rsidR="007D46DA" w:rsidRPr="000D4C00" w:rsidRDefault="007D46DA" w:rsidP="006B1499">
            <w:pPr>
              <w:autoSpaceDE w:val="0"/>
              <w:autoSpaceDN w:val="0"/>
              <w:adjustRightInd w:val="0"/>
              <w:jc w:val="center"/>
              <w:rPr>
                <w:bCs/>
                <w:color w:val="000000"/>
              </w:rPr>
            </w:pPr>
            <w:r w:rsidRPr="000D4C00">
              <w:rPr>
                <w:bCs/>
                <w:color w:val="000000"/>
              </w:rPr>
              <w:t>2008</w:t>
            </w:r>
          </w:p>
        </w:tc>
      </w:tr>
      <w:tr w:rsidR="007D46DA" w:rsidRPr="000D4C00">
        <w:trPr>
          <w:trHeight w:val="305"/>
          <w:jc w:val="center"/>
        </w:trPr>
        <w:tc>
          <w:tcPr>
            <w:tcW w:w="9257"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7D46DA" w:rsidRPr="000D4C00" w:rsidRDefault="000016D4" w:rsidP="006B1499">
            <w:pPr>
              <w:autoSpaceDE w:val="0"/>
              <w:autoSpaceDN w:val="0"/>
              <w:adjustRightInd w:val="0"/>
              <w:jc w:val="center"/>
              <w:rPr>
                <w:bCs/>
                <w:color w:val="000000"/>
              </w:rPr>
            </w:pPr>
            <w:r>
              <w:rPr>
                <w:bCs/>
                <w:color w:val="000000"/>
              </w:rPr>
              <w:t>B</w:t>
            </w:r>
            <w:r w:rsidR="007D46DA" w:rsidRPr="000D4C00">
              <w:rPr>
                <w:bCs/>
                <w:color w:val="000000"/>
              </w:rPr>
              <w:t xml:space="preserve">y </w:t>
            </w:r>
            <w:r w:rsidR="007D46DA">
              <w:rPr>
                <w:bCs/>
                <w:color w:val="000000"/>
              </w:rPr>
              <w:t>r</w:t>
            </w:r>
            <w:r w:rsidR="007D46DA" w:rsidRPr="000D4C00">
              <w:rPr>
                <w:bCs/>
                <w:color w:val="000000"/>
              </w:rPr>
              <w:t>egion</w:t>
            </w:r>
          </w:p>
        </w:tc>
      </w:tr>
      <w:tr w:rsidR="007D46DA" w:rsidRPr="00CA4EF3">
        <w:trPr>
          <w:trHeight w:val="290"/>
          <w:jc w:val="center"/>
        </w:trPr>
        <w:tc>
          <w:tcPr>
            <w:tcW w:w="3643" w:type="dxa"/>
            <w:tcBorders>
              <w:top w:val="single" w:sz="6" w:space="0" w:color="auto"/>
              <w:left w:val="single" w:sz="6" w:space="0" w:color="auto"/>
              <w:bottom w:val="single" w:sz="6" w:space="0" w:color="auto"/>
              <w:right w:val="single" w:sz="6" w:space="0" w:color="auto"/>
            </w:tcBorders>
          </w:tcPr>
          <w:p w:rsidR="007D46DA" w:rsidRPr="000D4C00" w:rsidRDefault="007D46DA" w:rsidP="006B1499">
            <w:pPr>
              <w:autoSpaceDE w:val="0"/>
              <w:autoSpaceDN w:val="0"/>
              <w:adjustRightInd w:val="0"/>
              <w:rPr>
                <w:iCs/>
                <w:color w:val="000000"/>
              </w:rPr>
            </w:pPr>
            <w:r w:rsidRPr="000D4C00">
              <w:rPr>
                <w:iCs/>
                <w:color w:val="000000"/>
              </w:rPr>
              <w:t>East Asia and Pacific</w:t>
            </w:r>
          </w:p>
        </w:tc>
        <w:tc>
          <w:tcPr>
            <w:tcW w:w="1871" w:type="dxa"/>
            <w:tcBorders>
              <w:top w:val="single" w:sz="6" w:space="0" w:color="auto"/>
              <w:left w:val="single" w:sz="6" w:space="0" w:color="auto"/>
              <w:bottom w:val="single" w:sz="6" w:space="0" w:color="auto"/>
              <w:right w:val="single" w:sz="6" w:space="0" w:color="auto"/>
            </w:tcBorders>
            <w:vAlign w:val="center"/>
          </w:tcPr>
          <w:p w:rsidR="007D46DA" w:rsidRPr="00CA4EF3" w:rsidRDefault="007D46DA" w:rsidP="006B1499">
            <w:pPr>
              <w:jc w:val="center"/>
            </w:pPr>
            <w:r w:rsidRPr="00CA4EF3">
              <w:t>45</w:t>
            </w:r>
          </w:p>
        </w:tc>
        <w:tc>
          <w:tcPr>
            <w:tcW w:w="1871" w:type="dxa"/>
            <w:tcBorders>
              <w:top w:val="single" w:sz="6" w:space="0" w:color="auto"/>
              <w:left w:val="single" w:sz="6" w:space="0" w:color="auto"/>
              <w:bottom w:val="single" w:sz="6" w:space="0" w:color="auto"/>
              <w:right w:val="single" w:sz="6" w:space="0" w:color="auto"/>
            </w:tcBorders>
            <w:vAlign w:val="center"/>
          </w:tcPr>
          <w:p w:rsidR="007D46DA" w:rsidRPr="00CA4EF3" w:rsidRDefault="007D46DA" w:rsidP="006B1499">
            <w:pPr>
              <w:jc w:val="center"/>
            </w:pPr>
            <w:r w:rsidRPr="00CA4EF3">
              <w:t>117</w:t>
            </w:r>
          </w:p>
        </w:tc>
        <w:tc>
          <w:tcPr>
            <w:tcW w:w="1872" w:type="dxa"/>
            <w:tcBorders>
              <w:top w:val="single" w:sz="6" w:space="0" w:color="auto"/>
              <w:left w:val="single" w:sz="6" w:space="0" w:color="auto"/>
              <w:bottom w:val="single" w:sz="6" w:space="0" w:color="auto"/>
              <w:right w:val="single" w:sz="6" w:space="0" w:color="auto"/>
            </w:tcBorders>
            <w:vAlign w:val="center"/>
          </w:tcPr>
          <w:p w:rsidR="007D46DA" w:rsidRPr="00CA4EF3" w:rsidRDefault="007D46DA" w:rsidP="006B1499">
            <w:pPr>
              <w:jc w:val="center"/>
            </w:pPr>
            <w:r w:rsidRPr="00CA4EF3">
              <w:t>483</w:t>
            </w:r>
          </w:p>
        </w:tc>
      </w:tr>
      <w:tr w:rsidR="007D46DA" w:rsidRPr="00CA4EF3">
        <w:trPr>
          <w:trHeight w:val="290"/>
          <w:jc w:val="center"/>
        </w:trPr>
        <w:tc>
          <w:tcPr>
            <w:tcW w:w="3643" w:type="dxa"/>
            <w:tcBorders>
              <w:top w:val="single" w:sz="6" w:space="0" w:color="auto"/>
              <w:left w:val="single" w:sz="6" w:space="0" w:color="auto"/>
              <w:bottom w:val="single" w:sz="6" w:space="0" w:color="auto"/>
              <w:right w:val="single" w:sz="6" w:space="0" w:color="auto"/>
            </w:tcBorders>
          </w:tcPr>
          <w:p w:rsidR="007D46DA" w:rsidRPr="000D4C00" w:rsidRDefault="007D46DA" w:rsidP="006B1499">
            <w:pPr>
              <w:autoSpaceDE w:val="0"/>
              <w:autoSpaceDN w:val="0"/>
              <w:adjustRightInd w:val="0"/>
              <w:rPr>
                <w:iCs/>
                <w:color w:val="000000"/>
              </w:rPr>
            </w:pPr>
            <w:r w:rsidRPr="000D4C00">
              <w:rPr>
                <w:iCs/>
                <w:color w:val="000000"/>
              </w:rPr>
              <w:t>Europe and Central Asia</w:t>
            </w:r>
          </w:p>
        </w:tc>
        <w:tc>
          <w:tcPr>
            <w:tcW w:w="1871" w:type="dxa"/>
            <w:tcBorders>
              <w:top w:val="single" w:sz="6" w:space="0" w:color="auto"/>
              <w:left w:val="single" w:sz="6" w:space="0" w:color="auto"/>
              <w:bottom w:val="single" w:sz="6" w:space="0" w:color="auto"/>
              <w:right w:val="single" w:sz="6" w:space="0" w:color="auto"/>
            </w:tcBorders>
            <w:vAlign w:val="center"/>
          </w:tcPr>
          <w:p w:rsidR="007D46DA" w:rsidRPr="00CA4EF3" w:rsidRDefault="007D46DA" w:rsidP="006B1499">
            <w:pPr>
              <w:jc w:val="center"/>
            </w:pPr>
            <w:r w:rsidRPr="00CA4EF3">
              <w:t>854</w:t>
            </w:r>
          </w:p>
        </w:tc>
        <w:tc>
          <w:tcPr>
            <w:tcW w:w="1871" w:type="dxa"/>
            <w:tcBorders>
              <w:top w:val="single" w:sz="6" w:space="0" w:color="auto"/>
              <w:left w:val="single" w:sz="6" w:space="0" w:color="auto"/>
              <w:bottom w:val="single" w:sz="6" w:space="0" w:color="auto"/>
              <w:right w:val="single" w:sz="6" w:space="0" w:color="auto"/>
            </w:tcBorders>
            <w:vAlign w:val="center"/>
          </w:tcPr>
          <w:p w:rsidR="007D46DA" w:rsidRPr="00CA4EF3" w:rsidRDefault="007D46DA" w:rsidP="006B1499">
            <w:pPr>
              <w:jc w:val="center"/>
            </w:pPr>
            <w:r w:rsidRPr="00CA4EF3">
              <w:t>1</w:t>
            </w:r>
            <w:r>
              <w:t>,</w:t>
            </w:r>
            <w:r w:rsidRPr="00CA4EF3">
              <w:t>133</w:t>
            </w:r>
          </w:p>
        </w:tc>
        <w:tc>
          <w:tcPr>
            <w:tcW w:w="1872" w:type="dxa"/>
            <w:tcBorders>
              <w:top w:val="single" w:sz="6" w:space="0" w:color="auto"/>
              <w:left w:val="single" w:sz="6" w:space="0" w:color="auto"/>
              <w:bottom w:val="single" w:sz="6" w:space="0" w:color="auto"/>
              <w:right w:val="single" w:sz="6" w:space="0" w:color="auto"/>
            </w:tcBorders>
            <w:vAlign w:val="center"/>
          </w:tcPr>
          <w:p w:rsidR="007D46DA" w:rsidRPr="00CA4EF3" w:rsidRDefault="007D46DA" w:rsidP="006B1499">
            <w:pPr>
              <w:jc w:val="center"/>
            </w:pPr>
            <w:r w:rsidRPr="00CA4EF3">
              <w:t>1</w:t>
            </w:r>
            <w:r>
              <w:t>,</w:t>
            </w:r>
            <w:r w:rsidRPr="00CA4EF3">
              <w:t>127</w:t>
            </w:r>
          </w:p>
        </w:tc>
      </w:tr>
      <w:tr w:rsidR="007D46DA" w:rsidRPr="00CA4EF3">
        <w:trPr>
          <w:trHeight w:val="290"/>
          <w:jc w:val="center"/>
        </w:trPr>
        <w:tc>
          <w:tcPr>
            <w:tcW w:w="3643" w:type="dxa"/>
            <w:tcBorders>
              <w:top w:val="single" w:sz="6" w:space="0" w:color="auto"/>
              <w:left w:val="single" w:sz="6" w:space="0" w:color="auto"/>
              <w:bottom w:val="single" w:sz="6" w:space="0" w:color="auto"/>
              <w:right w:val="single" w:sz="6" w:space="0" w:color="auto"/>
            </w:tcBorders>
          </w:tcPr>
          <w:p w:rsidR="007D46DA" w:rsidRPr="000D4C00" w:rsidRDefault="007D46DA" w:rsidP="006B1499">
            <w:pPr>
              <w:autoSpaceDE w:val="0"/>
              <w:autoSpaceDN w:val="0"/>
              <w:adjustRightInd w:val="0"/>
              <w:rPr>
                <w:iCs/>
                <w:color w:val="000000"/>
              </w:rPr>
            </w:pPr>
            <w:r w:rsidRPr="000D4C00">
              <w:rPr>
                <w:iCs/>
                <w:color w:val="000000"/>
              </w:rPr>
              <w:t>Latin America and the Caribbean</w:t>
            </w:r>
          </w:p>
        </w:tc>
        <w:tc>
          <w:tcPr>
            <w:tcW w:w="1871" w:type="dxa"/>
            <w:tcBorders>
              <w:top w:val="single" w:sz="6" w:space="0" w:color="auto"/>
              <w:left w:val="single" w:sz="6" w:space="0" w:color="auto"/>
              <w:bottom w:val="single" w:sz="6" w:space="0" w:color="auto"/>
              <w:right w:val="single" w:sz="6" w:space="0" w:color="auto"/>
            </w:tcBorders>
            <w:vAlign w:val="center"/>
          </w:tcPr>
          <w:p w:rsidR="007D46DA" w:rsidRPr="00CA4EF3" w:rsidRDefault="007D46DA" w:rsidP="006B1499">
            <w:pPr>
              <w:jc w:val="center"/>
            </w:pPr>
            <w:r w:rsidRPr="00CA4EF3">
              <w:t>121</w:t>
            </w:r>
          </w:p>
        </w:tc>
        <w:tc>
          <w:tcPr>
            <w:tcW w:w="1871" w:type="dxa"/>
            <w:tcBorders>
              <w:top w:val="single" w:sz="6" w:space="0" w:color="auto"/>
              <w:left w:val="single" w:sz="6" w:space="0" w:color="auto"/>
              <w:bottom w:val="single" w:sz="6" w:space="0" w:color="auto"/>
              <w:right w:val="single" w:sz="6" w:space="0" w:color="auto"/>
            </w:tcBorders>
            <w:vAlign w:val="center"/>
          </w:tcPr>
          <w:p w:rsidR="007D46DA" w:rsidRPr="00CA4EF3" w:rsidRDefault="007D46DA" w:rsidP="006B1499">
            <w:pPr>
              <w:jc w:val="center"/>
            </w:pPr>
            <w:r w:rsidRPr="00CA4EF3">
              <w:t>230</w:t>
            </w:r>
          </w:p>
        </w:tc>
        <w:tc>
          <w:tcPr>
            <w:tcW w:w="1872" w:type="dxa"/>
            <w:tcBorders>
              <w:top w:val="single" w:sz="6" w:space="0" w:color="auto"/>
              <w:left w:val="single" w:sz="6" w:space="0" w:color="auto"/>
              <w:bottom w:val="single" w:sz="6" w:space="0" w:color="auto"/>
              <w:right w:val="single" w:sz="6" w:space="0" w:color="auto"/>
            </w:tcBorders>
            <w:vAlign w:val="center"/>
          </w:tcPr>
          <w:p w:rsidR="007D46DA" w:rsidRPr="00CA4EF3" w:rsidRDefault="007D46DA" w:rsidP="006B1499">
            <w:pPr>
              <w:jc w:val="center"/>
            </w:pPr>
            <w:r w:rsidRPr="00CA4EF3">
              <w:t>331</w:t>
            </w:r>
          </w:p>
        </w:tc>
      </w:tr>
      <w:tr w:rsidR="007D46DA" w:rsidRPr="00CA4EF3">
        <w:trPr>
          <w:trHeight w:val="290"/>
          <w:jc w:val="center"/>
        </w:trPr>
        <w:tc>
          <w:tcPr>
            <w:tcW w:w="3643" w:type="dxa"/>
            <w:tcBorders>
              <w:top w:val="single" w:sz="6" w:space="0" w:color="auto"/>
              <w:left w:val="single" w:sz="6" w:space="0" w:color="auto"/>
              <w:bottom w:val="single" w:sz="6" w:space="0" w:color="auto"/>
              <w:right w:val="single" w:sz="6" w:space="0" w:color="auto"/>
            </w:tcBorders>
          </w:tcPr>
          <w:p w:rsidR="007D46DA" w:rsidRPr="000D4C00" w:rsidRDefault="007D46DA" w:rsidP="006B1499">
            <w:pPr>
              <w:autoSpaceDE w:val="0"/>
              <w:autoSpaceDN w:val="0"/>
              <w:adjustRightInd w:val="0"/>
              <w:rPr>
                <w:iCs/>
                <w:color w:val="000000"/>
              </w:rPr>
            </w:pPr>
            <w:r w:rsidRPr="000D4C00">
              <w:rPr>
                <w:iCs/>
                <w:color w:val="000000"/>
              </w:rPr>
              <w:t>Middle East and North Africa</w:t>
            </w:r>
          </w:p>
        </w:tc>
        <w:tc>
          <w:tcPr>
            <w:tcW w:w="1871" w:type="dxa"/>
            <w:tcBorders>
              <w:top w:val="single" w:sz="6" w:space="0" w:color="auto"/>
              <w:left w:val="single" w:sz="6" w:space="0" w:color="auto"/>
              <w:bottom w:val="single" w:sz="6" w:space="0" w:color="auto"/>
              <w:right w:val="single" w:sz="6" w:space="0" w:color="auto"/>
            </w:tcBorders>
            <w:vAlign w:val="center"/>
          </w:tcPr>
          <w:p w:rsidR="007D46DA" w:rsidRPr="00CA4EF3" w:rsidRDefault="007D46DA" w:rsidP="006B1499">
            <w:pPr>
              <w:jc w:val="center"/>
            </w:pPr>
            <w:r w:rsidRPr="00CA4EF3">
              <w:t>152</w:t>
            </w:r>
          </w:p>
        </w:tc>
        <w:tc>
          <w:tcPr>
            <w:tcW w:w="1871" w:type="dxa"/>
            <w:tcBorders>
              <w:top w:val="single" w:sz="6" w:space="0" w:color="auto"/>
              <w:left w:val="single" w:sz="6" w:space="0" w:color="auto"/>
              <w:bottom w:val="single" w:sz="6" w:space="0" w:color="auto"/>
              <w:right w:val="single" w:sz="6" w:space="0" w:color="auto"/>
            </w:tcBorders>
            <w:vAlign w:val="center"/>
          </w:tcPr>
          <w:p w:rsidR="007D46DA" w:rsidRPr="00CA4EF3" w:rsidRDefault="007D46DA" w:rsidP="006B1499">
            <w:pPr>
              <w:jc w:val="center"/>
            </w:pPr>
            <w:r w:rsidRPr="00CA4EF3">
              <w:t>257</w:t>
            </w:r>
          </w:p>
        </w:tc>
        <w:tc>
          <w:tcPr>
            <w:tcW w:w="1872" w:type="dxa"/>
            <w:tcBorders>
              <w:top w:val="single" w:sz="6" w:space="0" w:color="auto"/>
              <w:left w:val="single" w:sz="6" w:space="0" w:color="auto"/>
              <w:bottom w:val="single" w:sz="6" w:space="0" w:color="auto"/>
              <w:right w:val="single" w:sz="6" w:space="0" w:color="auto"/>
            </w:tcBorders>
            <w:vAlign w:val="center"/>
          </w:tcPr>
          <w:p w:rsidR="007D46DA" w:rsidRPr="00CA4EF3" w:rsidRDefault="007D46DA" w:rsidP="006B1499">
            <w:pPr>
              <w:jc w:val="center"/>
            </w:pPr>
            <w:r w:rsidRPr="00CA4EF3">
              <w:t>388</w:t>
            </w:r>
          </w:p>
        </w:tc>
      </w:tr>
      <w:tr w:rsidR="007D46DA" w:rsidRPr="00CA4EF3">
        <w:trPr>
          <w:trHeight w:val="290"/>
          <w:jc w:val="center"/>
        </w:trPr>
        <w:tc>
          <w:tcPr>
            <w:tcW w:w="3643" w:type="dxa"/>
            <w:tcBorders>
              <w:top w:val="single" w:sz="6" w:space="0" w:color="auto"/>
              <w:left w:val="single" w:sz="6" w:space="0" w:color="auto"/>
              <w:bottom w:val="single" w:sz="6" w:space="0" w:color="auto"/>
              <w:right w:val="single" w:sz="6" w:space="0" w:color="auto"/>
            </w:tcBorders>
          </w:tcPr>
          <w:p w:rsidR="007D46DA" w:rsidRPr="000D4C00" w:rsidRDefault="007D46DA" w:rsidP="006B1499">
            <w:pPr>
              <w:autoSpaceDE w:val="0"/>
              <w:autoSpaceDN w:val="0"/>
              <w:adjustRightInd w:val="0"/>
              <w:rPr>
                <w:iCs/>
                <w:color w:val="000000"/>
              </w:rPr>
            </w:pPr>
            <w:r w:rsidRPr="000D4C00">
              <w:rPr>
                <w:iCs/>
                <w:color w:val="000000"/>
              </w:rPr>
              <w:t>South Asia</w:t>
            </w:r>
          </w:p>
        </w:tc>
        <w:tc>
          <w:tcPr>
            <w:tcW w:w="1871" w:type="dxa"/>
            <w:tcBorders>
              <w:top w:val="single" w:sz="6" w:space="0" w:color="auto"/>
              <w:left w:val="single" w:sz="6" w:space="0" w:color="auto"/>
              <w:bottom w:val="single" w:sz="6" w:space="0" w:color="auto"/>
              <w:right w:val="single" w:sz="6" w:space="0" w:color="auto"/>
            </w:tcBorders>
            <w:vAlign w:val="center"/>
          </w:tcPr>
          <w:p w:rsidR="007D46DA" w:rsidRPr="00CA4EF3" w:rsidRDefault="007D46DA" w:rsidP="006B1499">
            <w:pPr>
              <w:jc w:val="center"/>
            </w:pPr>
            <w:r w:rsidRPr="00CA4EF3">
              <w:t>35</w:t>
            </w:r>
          </w:p>
        </w:tc>
        <w:tc>
          <w:tcPr>
            <w:tcW w:w="1871" w:type="dxa"/>
            <w:tcBorders>
              <w:top w:val="single" w:sz="6" w:space="0" w:color="auto"/>
              <w:left w:val="single" w:sz="6" w:space="0" w:color="auto"/>
              <w:bottom w:val="single" w:sz="6" w:space="0" w:color="auto"/>
              <w:right w:val="single" w:sz="6" w:space="0" w:color="auto"/>
            </w:tcBorders>
            <w:vAlign w:val="center"/>
          </w:tcPr>
          <w:p w:rsidR="007D46DA" w:rsidRPr="00CA4EF3" w:rsidRDefault="007D46DA" w:rsidP="006B1499">
            <w:pPr>
              <w:jc w:val="center"/>
            </w:pPr>
            <w:r w:rsidRPr="00CA4EF3">
              <w:t>77</w:t>
            </w:r>
          </w:p>
        </w:tc>
        <w:tc>
          <w:tcPr>
            <w:tcW w:w="1872" w:type="dxa"/>
            <w:tcBorders>
              <w:top w:val="single" w:sz="6" w:space="0" w:color="auto"/>
              <w:left w:val="single" w:sz="6" w:space="0" w:color="auto"/>
              <w:bottom w:val="single" w:sz="6" w:space="0" w:color="auto"/>
              <w:right w:val="single" w:sz="6" w:space="0" w:color="auto"/>
            </w:tcBorders>
            <w:vAlign w:val="center"/>
          </w:tcPr>
          <w:p w:rsidR="007D46DA" w:rsidRPr="00CA4EF3" w:rsidRDefault="007D46DA" w:rsidP="006B1499">
            <w:pPr>
              <w:jc w:val="center"/>
            </w:pPr>
            <w:r w:rsidRPr="00CA4EF3">
              <w:t>135</w:t>
            </w:r>
          </w:p>
        </w:tc>
      </w:tr>
      <w:tr w:rsidR="007D46DA" w:rsidRPr="00CA4EF3">
        <w:trPr>
          <w:trHeight w:val="290"/>
          <w:jc w:val="center"/>
        </w:trPr>
        <w:tc>
          <w:tcPr>
            <w:tcW w:w="3643" w:type="dxa"/>
            <w:tcBorders>
              <w:top w:val="nil"/>
              <w:left w:val="single" w:sz="6" w:space="0" w:color="auto"/>
              <w:bottom w:val="single" w:sz="6" w:space="0" w:color="auto"/>
              <w:right w:val="single" w:sz="6" w:space="0" w:color="auto"/>
            </w:tcBorders>
          </w:tcPr>
          <w:p w:rsidR="007D46DA" w:rsidRPr="000D4C00" w:rsidRDefault="007D46DA" w:rsidP="006B1499">
            <w:pPr>
              <w:autoSpaceDE w:val="0"/>
              <w:autoSpaceDN w:val="0"/>
              <w:adjustRightInd w:val="0"/>
              <w:rPr>
                <w:iCs/>
                <w:color w:val="000000"/>
              </w:rPr>
            </w:pPr>
            <w:r w:rsidRPr="000D4C00">
              <w:rPr>
                <w:iCs/>
                <w:color w:val="000000"/>
              </w:rPr>
              <w:t>Sub-Saharan Africa</w:t>
            </w:r>
          </w:p>
        </w:tc>
        <w:tc>
          <w:tcPr>
            <w:tcW w:w="1871" w:type="dxa"/>
            <w:tcBorders>
              <w:top w:val="nil"/>
              <w:left w:val="single" w:sz="6" w:space="0" w:color="auto"/>
              <w:bottom w:val="single" w:sz="6" w:space="0" w:color="auto"/>
              <w:right w:val="single" w:sz="6" w:space="0" w:color="auto"/>
            </w:tcBorders>
            <w:vAlign w:val="center"/>
          </w:tcPr>
          <w:p w:rsidR="007D46DA" w:rsidRPr="00CA4EF3" w:rsidRDefault="007D46DA" w:rsidP="006B1499">
            <w:pPr>
              <w:jc w:val="center"/>
            </w:pPr>
            <w:r w:rsidRPr="00CA4EF3">
              <w:t>88</w:t>
            </w:r>
          </w:p>
        </w:tc>
        <w:tc>
          <w:tcPr>
            <w:tcW w:w="1871" w:type="dxa"/>
            <w:tcBorders>
              <w:top w:val="nil"/>
              <w:left w:val="single" w:sz="6" w:space="0" w:color="auto"/>
              <w:bottom w:val="single" w:sz="6" w:space="0" w:color="auto"/>
              <w:right w:val="single" w:sz="6" w:space="0" w:color="auto"/>
            </w:tcBorders>
            <w:vAlign w:val="center"/>
          </w:tcPr>
          <w:p w:rsidR="007D46DA" w:rsidRPr="00CA4EF3" w:rsidRDefault="007D46DA" w:rsidP="006B1499">
            <w:pPr>
              <w:jc w:val="center"/>
            </w:pPr>
            <w:r w:rsidRPr="00CA4EF3">
              <w:t>117</w:t>
            </w:r>
          </w:p>
        </w:tc>
        <w:tc>
          <w:tcPr>
            <w:tcW w:w="1872" w:type="dxa"/>
            <w:tcBorders>
              <w:top w:val="nil"/>
              <w:left w:val="single" w:sz="6" w:space="0" w:color="auto"/>
              <w:bottom w:val="single" w:sz="6" w:space="0" w:color="auto"/>
              <w:right w:val="single" w:sz="6" w:space="0" w:color="auto"/>
            </w:tcBorders>
            <w:vAlign w:val="center"/>
          </w:tcPr>
          <w:p w:rsidR="007D46DA" w:rsidRPr="00CA4EF3" w:rsidRDefault="007D46DA" w:rsidP="006B1499">
            <w:pPr>
              <w:jc w:val="center"/>
            </w:pPr>
            <w:r w:rsidRPr="00CA4EF3">
              <w:t>97</w:t>
            </w:r>
          </w:p>
        </w:tc>
      </w:tr>
      <w:tr w:rsidR="007D46DA" w:rsidRPr="00CA4EF3">
        <w:trPr>
          <w:trHeight w:val="290"/>
          <w:jc w:val="center"/>
        </w:trPr>
        <w:tc>
          <w:tcPr>
            <w:tcW w:w="3643" w:type="dxa"/>
            <w:tcBorders>
              <w:top w:val="single" w:sz="6" w:space="0" w:color="auto"/>
              <w:left w:val="single" w:sz="6" w:space="0" w:color="auto"/>
              <w:bottom w:val="single" w:sz="6" w:space="0" w:color="auto"/>
              <w:right w:val="single" w:sz="6" w:space="0" w:color="auto"/>
            </w:tcBorders>
          </w:tcPr>
          <w:p w:rsidR="007D46DA" w:rsidRPr="000D4C00" w:rsidRDefault="007D46DA" w:rsidP="006B1499">
            <w:pPr>
              <w:autoSpaceDE w:val="0"/>
              <w:autoSpaceDN w:val="0"/>
              <w:adjustRightInd w:val="0"/>
              <w:rPr>
                <w:iCs/>
                <w:color w:val="000000"/>
              </w:rPr>
            </w:pPr>
            <w:r w:rsidRPr="000D4C00">
              <w:rPr>
                <w:iCs/>
                <w:color w:val="000000"/>
              </w:rPr>
              <w:t>High income Countries</w:t>
            </w:r>
          </w:p>
        </w:tc>
        <w:tc>
          <w:tcPr>
            <w:tcW w:w="1871" w:type="dxa"/>
            <w:tcBorders>
              <w:top w:val="single" w:sz="6" w:space="0" w:color="auto"/>
              <w:left w:val="single" w:sz="6" w:space="0" w:color="auto"/>
              <w:bottom w:val="single" w:sz="6" w:space="0" w:color="auto"/>
              <w:right w:val="single" w:sz="6" w:space="0" w:color="auto"/>
            </w:tcBorders>
            <w:vAlign w:val="center"/>
          </w:tcPr>
          <w:p w:rsidR="007D46DA" w:rsidRPr="00CA4EF3" w:rsidRDefault="007D46DA" w:rsidP="006B1499">
            <w:pPr>
              <w:jc w:val="center"/>
            </w:pPr>
            <w:r w:rsidRPr="00CA4EF3">
              <w:t>1</w:t>
            </w:r>
            <w:r>
              <w:t>,</w:t>
            </w:r>
            <w:r w:rsidRPr="00CA4EF3">
              <w:t>616</w:t>
            </w:r>
          </w:p>
        </w:tc>
        <w:tc>
          <w:tcPr>
            <w:tcW w:w="1871" w:type="dxa"/>
            <w:tcBorders>
              <w:top w:val="single" w:sz="6" w:space="0" w:color="auto"/>
              <w:left w:val="single" w:sz="6" w:space="0" w:color="auto"/>
              <w:bottom w:val="single" w:sz="6" w:space="0" w:color="auto"/>
              <w:right w:val="single" w:sz="6" w:space="0" w:color="auto"/>
            </w:tcBorders>
            <w:vAlign w:val="center"/>
          </w:tcPr>
          <w:p w:rsidR="007D46DA" w:rsidRPr="00CA4EF3" w:rsidRDefault="007D46DA" w:rsidP="006B1499">
            <w:pPr>
              <w:jc w:val="center"/>
            </w:pPr>
            <w:r w:rsidRPr="00CA4EF3">
              <w:t>2</w:t>
            </w:r>
            <w:r>
              <w:t>,</w:t>
            </w:r>
            <w:r w:rsidRPr="00CA4EF3">
              <w:t>321</w:t>
            </w:r>
          </w:p>
        </w:tc>
        <w:tc>
          <w:tcPr>
            <w:tcW w:w="1872" w:type="dxa"/>
            <w:tcBorders>
              <w:top w:val="single" w:sz="6" w:space="0" w:color="auto"/>
              <w:left w:val="single" w:sz="6" w:space="0" w:color="auto"/>
              <w:bottom w:val="single" w:sz="6" w:space="0" w:color="auto"/>
              <w:right w:val="single" w:sz="6" w:space="0" w:color="auto"/>
            </w:tcBorders>
            <w:vAlign w:val="center"/>
          </w:tcPr>
          <w:p w:rsidR="007D46DA" w:rsidRPr="00CA4EF3" w:rsidRDefault="007D46DA" w:rsidP="006B1499">
            <w:pPr>
              <w:jc w:val="center"/>
            </w:pPr>
            <w:r w:rsidRPr="00CA4EF3">
              <w:t>3</w:t>
            </w:r>
            <w:r>
              <w:t>,</w:t>
            </w:r>
            <w:r w:rsidRPr="00CA4EF3">
              <w:t>042</w:t>
            </w:r>
          </w:p>
        </w:tc>
      </w:tr>
      <w:tr w:rsidR="007D46DA" w:rsidRPr="000D4C00">
        <w:trPr>
          <w:trHeight w:val="290"/>
          <w:jc w:val="center"/>
        </w:trPr>
        <w:tc>
          <w:tcPr>
            <w:tcW w:w="9257"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7D46DA" w:rsidRPr="000D4C00" w:rsidRDefault="000016D4" w:rsidP="006B1499">
            <w:pPr>
              <w:autoSpaceDE w:val="0"/>
              <w:autoSpaceDN w:val="0"/>
              <w:adjustRightInd w:val="0"/>
              <w:jc w:val="center"/>
              <w:rPr>
                <w:bCs/>
                <w:color w:val="000000"/>
              </w:rPr>
            </w:pPr>
            <w:r>
              <w:rPr>
                <w:bCs/>
                <w:color w:val="000000"/>
              </w:rPr>
              <w:t>B</w:t>
            </w:r>
            <w:r w:rsidR="007D46DA" w:rsidRPr="000D4C00">
              <w:rPr>
                <w:bCs/>
                <w:color w:val="000000"/>
              </w:rPr>
              <w:t xml:space="preserve">y </w:t>
            </w:r>
            <w:r w:rsidR="007D46DA">
              <w:rPr>
                <w:bCs/>
                <w:color w:val="000000"/>
              </w:rPr>
              <w:t>i</w:t>
            </w:r>
            <w:r w:rsidR="007D46DA" w:rsidRPr="000D4C00">
              <w:rPr>
                <w:bCs/>
                <w:color w:val="000000"/>
              </w:rPr>
              <w:t xml:space="preserve">ncome </w:t>
            </w:r>
            <w:r w:rsidR="007D46DA">
              <w:rPr>
                <w:bCs/>
                <w:color w:val="000000"/>
              </w:rPr>
              <w:t>c</w:t>
            </w:r>
            <w:r w:rsidR="007D46DA" w:rsidRPr="000D4C00">
              <w:rPr>
                <w:bCs/>
                <w:color w:val="000000"/>
              </w:rPr>
              <w:t>lass</w:t>
            </w:r>
          </w:p>
        </w:tc>
      </w:tr>
      <w:tr w:rsidR="007D46DA" w:rsidRPr="000D4C00">
        <w:trPr>
          <w:trHeight w:val="290"/>
          <w:jc w:val="center"/>
        </w:trPr>
        <w:tc>
          <w:tcPr>
            <w:tcW w:w="3643" w:type="dxa"/>
            <w:tcBorders>
              <w:top w:val="single" w:sz="6" w:space="0" w:color="auto"/>
              <w:left w:val="single" w:sz="6" w:space="0" w:color="auto"/>
              <w:bottom w:val="single" w:sz="6" w:space="0" w:color="auto"/>
              <w:right w:val="single" w:sz="6" w:space="0" w:color="auto"/>
            </w:tcBorders>
          </w:tcPr>
          <w:p w:rsidR="007D46DA" w:rsidRPr="000D4C00" w:rsidRDefault="007D46DA" w:rsidP="006B1499">
            <w:pPr>
              <w:autoSpaceDE w:val="0"/>
              <w:autoSpaceDN w:val="0"/>
              <w:adjustRightInd w:val="0"/>
              <w:rPr>
                <w:iCs/>
                <w:color w:val="000000"/>
              </w:rPr>
            </w:pPr>
            <w:r w:rsidRPr="000D4C00">
              <w:rPr>
                <w:iCs/>
                <w:color w:val="000000"/>
              </w:rPr>
              <w:t>Low income</w:t>
            </w:r>
          </w:p>
        </w:tc>
        <w:tc>
          <w:tcPr>
            <w:tcW w:w="1871" w:type="dxa"/>
            <w:tcBorders>
              <w:top w:val="single" w:sz="6" w:space="0" w:color="auto"/>
              <w:left w:val="single" w:sz="6" w:space="0" w:color="auto"/>
              <w:bottom w:val="single" w:sz="6" w:space="0" w:color="auto"/>
              <w:right w:val="single" w:sz="6" w:space="0" w:color="auto"/>
            </w:tcBorders>
            <w:vAlign w:val="center"/>
          </w:tcPr>
          <w:p w:rsidR="007D46DA" w:rsidRPr="000D4C00" w:rsidRDefault="007D46DA" w:rsidP="006B1499">
            <w:pPr>
              <w:jc w:val="center"/>
            </w:pPr>
            <w:r w:rsidRPr="000D4C00">
              <w:t>51</w:t>
            </w:r>
          </w:p>
        </w:tc>
        <w:tc>
          <w:tcPr>
            <w:tcW w:w="1871" w:type="dxa"/>
            <w:tcBorders>
              <w:top w:val="single" w:sz="6" w:space="0" w:color="auto"/>
              <w:left w:val="single" w:sz="6" w:space="0" w:color="auto"/>
              <w:bottom w:val="single" w:sz="6" w:space="0" w:color="auto"/>
              <w:right w:val="single" w:sz="6" w:space="0" w:color="auto"/>
            </w:tcBorders>
            <w:vAlign w:val="center"/>
          </w:tcPr>
          <w:p w:rsidR="007D46DA" w:rsidRPr="000D4C00" w:rsidRDefault="007D46DA" w:rsidP="006B1499">
            <w:pPr>
              <w:jc w:val="center"/>
            </w:pPr>
            <w:r w:rsidRPr="000D4C00">
              <w:t>65</w:t>
            </w:r>
          </w:p>
        </w:tc>
        <w:tc>
          <w:tcPr>
            <w:tcW w:w="1872" w:type="dxa"/>
            <w:tcBorders>
              <w:top w:val="single" w:sz="6" w:space="0" w:color="auto"/>
              <w:left w:val="single" w:sz="6" w:space="0" w:color="auto"/>
              <w:bottom w:val="single" w:sz="6" w:space="0" w:color="auto"/>
              <w:right w:val="single" w:sz="6" w:space="0" w:color="auto"/>
            </w:tcBorders>
            <w:vAlign w:val="center"/>
          </w:tcPr>
          <w:p w:rsidR="007D46DA" w:rsidRPr="000D4C00" w:rsidRDefault="007D46DA" w:rsidP="006B1499">
            <w:pPr>
              <w:jc w:val="center"/>
            </w:pPr>
            <w:r w:rsidRPr="000D4C00">
              <w:t>54</w:t>
            </w:r>
          </w:p>
        </w:tc>
      </w:tr>
      <w:tr w:rsidR="007D46DA" w:rsidRPr="000D4C00">
        <w:trPr>
          <w:trHeight w:val="290"/>
          <w:jc w:val="center"/>
        </w:trPr>
        <w:tc>
          <w:tcPr>
            <w:tcW w:w="3643" w:type="dxa"/>
            <w:tcBorders>
              <w:top w:val="single" w:sz="6" w:space="0" w:color="auto"/>
              <w:left w:val="single" w:sz="6" w:space="0" w:color="auto"/>
              <w:bottom w:val="single" w:sz="6" w:space="0" w:color="auto"/>
              <w:right w:val="single" w:sz="6" w:space="0" w:color="auto"/>
            </w:tcBorders>
          </w:tcPr>
          <w:p w:rsidR="007D46DA" w:rsidRPr="000D4C00" w:rsidRDefault="007D46DA" w:rsidP="006B1499">
            <w:pPr>
              <w:autoSpaceDE w:val="0"/>
              <w:autoSpaceDN w:val="0"/>
              <w:adjustRightInd w:val="0"/>
              <w:rPr>
                <w:iCs/>
                <w:color w:val="000000"/>
              </w:rPr>
            </w:pPr>
            <w:r w:rsidRPr="000D4C00">
              <w:rPr>
                <w:iCs/>
                <w:color w:val="000000"/>
              </w:rPr>
              <w:t>Lower middle income</w:t>
            </w:r>
          </w:p>
        </w:tc>
        <w:tc>
          <w:tcPr>
            <w:tcW w:w="1871" w:type="dxa"/>
            <w:tcBorders>
              <w:top w:val="single" w:sz="6" w:space="0" w:color="auto"/>
              <w:left w:val="single" w:sz="6" w:space="0" w:color="auto"/>
              <w:bottom w:val="single" w:sz="6" w:space="0" w:color="auto"/>
              <w:right w:val="single" w:sz="6" w:space="0" w:color="auto"/>
            </w:tcBorders>
            <w:vAlign w:val="center"/>
          </w:tcPr>
          <w:p w:rsidR="007D46DA" w:rsidRPr="000D4C00" w:rsidRDefault="007D46DA" w:rsidP="006B1499">
            <w:pPr>
              <w:jc w:val="center"/>
            </w:pPr>
            <w:r w:rsidRPr="000D4C00">
              <w:t>88</w:t>
            </w:r>
          </w:p>
        </w:tc>
        <w:tc>
          <w:tcPr>
            <w:tcW w:w="1871" w:type="dxa"/>
            <w:tcBorders>
              <w:top w:val="single" w:sz="6" w:space="0" w:color="auto"/>
              <w:left w:val="single" w:sz="6" w:space="0" w:color="auto"/>
              <w:bottom w:val="single" w:sz="6" w:space="0" w:color="auto"/>
              <w:right w:val="single" w:sz="6" w:space="0" w:color="auto"/>
            </w:tcBorders>
            <w:vAlign w:val="center"/>
          </w:tcPr>
          <w:p w:rsidR="007D46DA" w:rsidRPr="000D4C00" w:rsidRDefault="007D46DA" w:rsidP="006B1499">
            <w:pPr>
              <w:jc w:val="center"/>
            </w:pPr>
            <w:r w:rsidRPr="000D4C00">
              <w:t>139</w:t>
            </w:r>
          </w:p>
        </w:tc>
        <w:tc>
          <w:tcPr>
            <w:tcW w:w="1872" w:type="dxa"/>
            <w:tcBorders>
              <w:top w:val="single" w:sz="6" w:space="0" w:color="auto"/>
              <w:left w:val="single" w:sz="6" w:space="0" w:color="auto"/>
              <w:bottom w:val="single" w:sz="6" w:space="0" w:color="auto"/>
              <w:right w:val="single" w:sz="6" w:space="0" w:color="auto"/>
            </w:tcBorders>
            <w:vAlign w:val="center"/>
          </w:tcPr>
          <w:p w:rsidR="007D46DA" w:rsidRPr="000D4C00" w:rsidRDefault="007D46DA" w:rsidP="006B1499">
            <w:pPr>
              <w:jc w:val="center"/>
            </w:pPr>
            <w:r w:rsidRPr="000D4C00">
              <w:t>177</w:t>
            </w:r>
          </w:p>
        </w:tc>
      </w:tr>
      <w:tr w:rsidR="007D46DA" w:rsidRPr="000D4C00">
        <w:trPr>
          <w:trHeight w:val="290"/>
          <w:jc w:val="center"/>
        </w:trPr>
        <w:tc>
          <w:tcPr>
            <w:tcW w:w="3643" w:type="dxa"/>
            <w:tcBorders>
              <w:top w:val="single" w:sz="6" w:space="0" w:color="auto"/>
              <w:left w:val="single" w:sz="6" w:space="0" w:color="auto"/>
              <w:bottom w:val="single" w:sz="6" w:space="0" w:color="auto"/>
              <w:right w:val="single" w:sz="6" w:space="0" w:color="auto"/>
            </w:tcBorders>
          </w:tcPr>
          <w:p w:rsidR="007D46DA" w:rsidRPr="000D4C00" w:rsidRDefault="007D46DA" w:rsidP="006B1499">
            <w:pPr>
              <w:autoSpaceDE w:val="0"/>
              <w:autoSpaceDN w:val="0"/>
              <w:adjustRightInd w:val="0"/>
              <w:rPr>
                <w:iCs/>
                <w:color w:val="000000"/>
              </w:rPr>
            </w:pPr>
            <w:r w:rsidRPr="000D4C00">
              <w:rPr>
                <w:iCs/>
                <w:color w:val="000000"/>
              </w:rPr>
              <w:t>Upper middle income</w:t>
            </w:r>
          </w:p>
        </w:tc>
        <w:tc>
          <w:tcPr>
            <w:tcW w:w="1871" w:type="dxa"/>
            <w:tcBorders>
              <w:top w:val="single" w:sz="6" w:space="0" w:color="auto"/>
              <w:left w:val="single" w:sz="6" w:space="0" w:color="auto"/>
              <w:bottom w:val="single" w:sz="6" w:space="0" w:color="auto"/>
              <w:right w:val="single" w:sz="6" w:space="0" w:color="auto"/>
            </w:tcBorders>
            <w:vAlign w:val="center"/>
          </w:tcPr>
          <w:p w:rsidR="007D46DA" w:rsidRPr="000D4C00" w:rsidRDefault="007D46DA" w:rsidP="006B1499">
            <w:pPr>
              <w:jc w:val="center"/>
            </w:pPr>
            <w:r w:rsidRPr="000D4C00">
              <w:t>183</w:t>
            </w:r>
          </w:p>
        </w:tc>
        <w:tc>
          <w:tcPr>
            <w:tcW w:w="1871" w:type="dxa"/>
            <w:tcBorders>
              <w:top w:val="single" w:sz="6" w:space="0" w:color="auto"/>
              <w:left w:val="single" w:sz="6" w:space="0" w:color="auto"/>
              <w:bottom w:val="single" w:sz="6" w:space="0" w:color="auto"/>
              <w:right w:val="single" w:sz="6" w:space="0" w:color="auto"/>
            </w:tcBorders>
            <w:vAlign w:val="center"/>
          </w:tcPr>
          <w:p w:rsidR="007D46DA" w:rsidRPr="000D4C00" w:rsidRDefault="007D46DA" w:rsidP="006B1499">
            <w:pPr>
              <w:jc w:val="center"/>
            </w:pPr>
            <w:r w:rsidRPr="000D4C00">
              <w:t>300</w:t>
            </w:r>
          </w:p>
        </w:tc>
        <w:tc>
          <w:tcPr>
            <w:tcW w:w="1872" w:type="dxa"/>
            <w:tcBorders>
              <w:top w:val="single" w:sz="6" w:space="0" w:color="auto"/>
              <w:left w:val="single" w:sz="6" w:space="0" w:color="auto"/>
              <w:bottom w:val="single" w:sz="6" w:space="0" w:color="auto"/>
              <w:right w:val="single" w:sz="6" w:space="0" w:color="auto"/>
            </w:tcBorders>
            <w:vAlign w:val="center"/>
          </w:tcPr>
          <w:p w:rsidR="007D46DA" w:rsidRPr="000D4C00" w:rsidRDefault="007D46DA" w:rsidP="006B1499">
            <w:pPr>
              <w:jc w:val="center"/>
            </w:pPr>
            <w:r w:rsidRPr="000D4C00">
              <w:t>591</w:t>
            </w:r>
          </w:p>
        </w:tc>
      </w:tr>
      <w:tr w:rsidR="007D46DA" w:rsidRPr="000D4C00">
        <w:trPr>
          <w:trHeight w:val="290"/>
          <w:jc w:val="center"/>
        </w:trPr>
        <w:tc>
          <w:tcPr>
            <w:tcW w:w="3643" w:type="dxa"/>
            <w:tcBorders>
              <w:top w:val="single" w:sz="6" w:space="0" w:color="auto"/>
              <w:left w:val="single" w:sz="6" w:space="0" w:color="auto"/>
              <w:bottom w:val="single" w:sz="6" w:space="0" w:color="auto"/>
              <w:right w:val="single" w:sz="6" w:space="0" w:color="auto"/>
            </w:tcBorders>
          </w:tcPr>
          <w:p w:rsidR="007D46DA" w:rsidRPr="000D4C00" w:rsidRDefault="007D46DA" w:rsidP="006B1499">
            <w:pPr>
              <w:autoSpaceDE w:val="0"/>
              <w:autoSpaceDN w:val="0"/>
              <w:adjustRightInd w:val="0"/>
              <w:rPr>
                <w:iCs/>
                <w:color w:val="000000"/>
              </w:rPr>
            </w:pPr>
            <w:r w:rsidRPr="000D4C00">
              <w:rPr>
                <w:iCs/>
                <w:color w:val="000000"/>
              </w:rPr>
              <w:t>High income</w:t>
            </w:r>
          </w:p>
        </w:tc>
        <w:tc>
          <w:tcPr>
            <w:tcW w:w="1871" w:type="dxa"/>
            <w:tcBorders>
              <w:top w:val="single" w:sz="6" w:space="0" w:color="auto"/>
              <w:left w:val="single" w:sz="6" w:space="0" w:color="auto"/>
              <w:bottom w:val="single" w:sz="6" w:space="0" w:color="auto"/>
              <w:right w:val="single" w:sz="6" w:space="0" w:color="auto"/>
            </w:tcBorders>
            <w:vAlign w:val="center"/>
          </w:tcPr>
          <w:p w:rsidR="007D46DA" w:rsidRPr="000D4C00" w:rsidRDefault="007D46DA" w:rsidP="006B1499">
            <w:pPr>
              <w:jc w:val="center"/>
            </w:pPr>
            <w:r w:rsidRPr="000D4C00">
              <w:t>1</w:t>
            </w:r>
            <w:r>
              <w:t>,</w:t>
            </w:r>
            <w:r w:rsidRPr="000D4C00">
              <w:t>616</w:t>
            </w:r>
          </w:p>
        </w:tc>
        <w:tc>
          <w:tcPr>
            <w:tcW w:w="1871" w:type="dxa"/>
            <w:tcBorders>
              <w:top w:val="single" w:sz="6" w:space="0" w:color="auto"/>
              <w:left w:val="single" w:sz="6" w:space="0" w:color="auto"/>
              <w:bottom w:val="single" w:sz="6" w:space="0" w:color="auto"/>
              <w:right w:val="single" w:sz="6" w:space="0" w:color="auto"/>
            </w:tcBorders>
            <w:vAlign w:val="center"/>
          </w:tcPr>
          <w:p w:rsidR="007D46DA" w:rsidRPr="000D4C00" w:rsidRDefault="007D46DA" w:rsidP="006B1499">
            <w:pPr>
              <w:jc w:val="center"/>
            </w:pPr>
            <w:r w:rsidRPr="000D4C00">
              <w:t>2</w:t>
            </w:r>
            <w:r>
              <w:t>,</w:t>
            </w:r>
            <w:r w:rsidRPr="000D4C00">
              <w:t>321</w:t>
            </w:r>
          </w:p>
        </w:tc>
        <w:tc>
          <w:tcPr>
            <w:tcW w:w="1872" w:type="dxa"/>
            <w:tcBorders>
              <w:top w:val="single" w:sz="6" w:space="0" w:color="auto"/>
              <w:left w:val="single" w:sz="6" w:space="0" w:color="auto"/>
              <w:bottom w:val="single" w:sz="6" w:space="0" w:color="auto"/>
              <w:right w:val="single" w:sz="6" w:space="0" w:color="auto"/>
            </w:tcBorders>
            <w:vAlign w:val="center"/>
          </w:tcPr>
          <w:p w:rsidR="007D46DA" w:rsidRPr="000D4C00" w:rsidRDefault="007D46DA" w:rsidP="006B1499">
            <w:pPr>
              <w:jc w:val="center"/>
            </w:pPr>
            <w:r w:rsidRPr="000D4C00">
              <w:t>3</w:t>
            </w:r>
            <w:r>
              <w:t>,</w:t>
            </w:r>
            <w:r w:rsidRPr="000D4C00">
              <w:t>042</w:t>
            </w:r>
          </w:p>
        </w:tc>
      </w:tr>
      <w:tr w:rsidR="007D46DA" w:rsidRPr="000D4C00">
        <w:trPr>
          <w:trHeight w:val="290"/>
          <w:jc w:val="center"/>
        </w:trPr>
        <w:tc>
          <w:tcPr>
            <w:tcW w:w="9257" w:type="dxa"/>
            <w:gridSpan w:val="4"/>
            <w:tcBorders>
              <w:top w:val="single" w:sz="6" w:space="0" w:color="auto"/>
              <w:left w:val="single" w:sz="6" w:space="0" w:color="auto"/>
              <w:bottom w:val="single" w:sz="6" w:space="0" w:color="auto"/>
              <w:right w:val="single" w:sz="6" w:space="0" w:color="auto"/>
            </w:tcBorders>
            <w:shd w:val="clear" w:color="auto" w:fill="D9D9D9" w:themeFill="background1" w:themeFillShade="D9"/>
          </w:tcPr>
          <w:p w:rsidR="007D46DA" w:rsidRPr="000D4C00" w:rsidRDefault="007D46DA" w:rsidP="006B1499">
            <w:pPr>
              <w:jc w:val="center"/>
            </w:pPr>
          </w:p>
        </w:tc>
      </w:tr>
      <w:tr w:rsidR="007D46DA" w:rsidRPr="000D4C00">
        <w:trPr>
          <w:trHeight w:val="290"/>
          <w:jc w:val="center"/>
        </w:trPr>
        <w:tc>
          <w:tcPr>
            <w:tcW w:w="3643" w:type="dxa"/>
            <w:tcBorders>
              <w:top w:val="single" w:sz="6" w:space="0" w:color="auto"/>
              <w:left w:val="single" w:sz="6" w:space="0" w:color="auto"/>
              <w:bottom w:val="single" w:sz="6" w:space="0" w:color="auto"/>
              <w:right w:val="single" w:sz="6" w:space="0" w:color="auto"/>
            </w:tcBorders>
          </w:tcPr>
          <w:p w:rsidR="007D46DA" w:rsidRPr="000D4C00" w:rsidRDefault="007D46DA" w:rsidP="006B1499">
            <w:pPr>
              <w:autoSpaceDE w:val="0"/>
              <w:autoSpaceDN w:val="0"/>
              <w:adjustRightInd w:val="0"/>
              <w:rPr>
                <w:bCs/>
                <w:iCs/>
                <w:color w:val="000000"/>
              </w:rPr>
            </w:pPr>
            <w:r w:rsidRPr="000D4C00">
              <w:rPr>
                <w:bCs/>
                <w:iCs/>
                <w:color w:val="000000"/>
              </w:rPr>
              <w:t>World</w:t>
            </w:r>
          </w:p>
        </w:tc>
        <w:tc>
          <w:tcPr>
            <w:tcW w:w="1871" w:type="dxa"/>
            <w:tcBorders>
              <w:top w:val="single" w:sz="6" w:space="0" w:color="auto"/>
              <w:left w:val="single" w:sz="6" w:space="0" w:color="auto"/>
              <w:bottom w:val="single" w:sz="6" w:space="0" w:color="auto"/>
              <w:right w:val="single" w:sz="6" w:space="0" w:color="auto"/>
            </w:tcBorders>
            <w:vAlign w:val="center"/>
          </w:tcPr>
          <w:p w:rsidR="007D46DA" w:rsidRPr="000D4C00" w:rsidRDefault="007D46DA" w:rsidP="006B1499">
            <w:pPr>
              <w:jc w:val="center"/>
            </w:pPr>
            <w:r w:rsidRPr="000D4C00">
              <w:t>393</w:t>
            </w:r>
          </w:p>
        </w:tc>
        <w:tc>
          <w:tcPr>
            <w:tcW w:w="1871" w:type="dxa"/>
            <w:tcBorders>
              <w:top w:val="single" w:sz="6" w:space="0" w:color="auto"/>
              <w:left w:val="single" w:sz="6" w:space="0" w:color="auto"/>
              <w:bottom w:val="single" w:sz="6" w:space="0" w:color="auto"/>
              <w:right w:val="single" w:sz="6" w:space="0" w:color="auto"/>
            </w:tcBorders>
            <w:vAlign w:val="center"/>
          </w:tcPr>
          <w:p w:rsidR="007D46DA" w:rsidRPr="000D4C00" w:rsidRDefault="007D46DA" w:rsidP="006B1499">
            <w:pPr>
              <w:jc w:val="center"/>
            </w:pPr>
            <w:r w:rsidRPr="000D4C00">
              <w:t>524</w:t>
            </w:r>
          </w:p>
        </w:tc>
        <w:tc>
          <w:tcPr>
            <w:tcW w:w="1872" w:type="dxa"/>
            <w:tcBorders>
              <w:top w:val="single" w:sz="6" w:space="0" w:color="auto"/>
              <w:left w:val="single" w:sz="6" w:space="0" w:color="auto"/>
              <w:bottom w:val="single" w:sz="6" w:space="0" w:color="auto"/>
              <w:right w:val="single" w:sz="6" w:space="0" w:color="auto"/>
            </w:tcBorders>
            <w:vAlign w:val="center"/>
          </w:tcPr>
          <w:p w:rsidR="007D46DA" w:rsidRPr="000D4C00" w:rsidRDefault="007D46DA" w:rsidP="006B1499">
            <w:pPr>
              <w:jc w:val="center"/>
            </w:pPr>
            <w:r w:rsidRPr="000D4C00">
              <w:t>694</w:t>
            </w:r>
          </w:p>
        </w:tc>
      </w:tr>
      <w:tr w:rsidR="007D46DA" w:rsidRPr="00CA4EF3">
        <w:trPr>
          <w:trHeight w:val="290"/>
          <w:jc w:val="center"/>
        </w:trPr>
        <w:tc>
          <w:tcPr>
            <w:tcW w:w="9257" w:type="dxa"/>
            <w:gridSpan w:val="4"/>
            <w:tcBorders>
              <w:top w:val="single" w:sz="6" w:space="0" w:color="auto"/>
              <w:left w:val="single" w:sz="6" w:space="0" w:color="auto"/>
              <w:bottom w:val="single" w:sz="6" w:space="0" w:color="auto"/>
              <w:right w:val="single" w:sz="6" w:space="0" w:color="auto"/>
            </w:tcBorders>
            <w:vAlign w:val="center"/>
          </w:tcPr>
          <w:p w:rsidR="007D46DA" w:rsidRPr="00140942" w:rsidRDefault="007D46DA" w:rsidP="006B1499">
            <w:pPr>
              <w:autoSpaceDE w:val="0"/>
              <w:autoSpaceDN w:val="0"/>
              <w:adjustRightInd w:val="0"/>
              <w:rPr>
                <w:b/>
                <w:bCs/>
                <w:i/>
                <w:color w:val="000000"/>
              </w:rPr>
            </w:pPr>
            <w:r w:rsidRPr="00726638">
              <w:rPr>
                <w:bCs/>
                <w:i/>
                <w:color w:val="000000"/>
              </w:rPr>
              <w:t>Source:</w:t>
            </w:r>
            <w:r w:rsidRPr="00726638">
              <w:rPr>
                <w:b/>
                <w:bCs/>
                <w:i/>
                <w:color w:val="000000"/>
              </w:rPr>
              <w:t xml:space="preserve"> </w:t>
            </w:r>
            <w:r w:rsidRPr="00726638">
              <w:rPr>
                <w:i/>
              </w:rPr>
              <w:t>U.S. Energy Information Administration’s International Energy Statistics (</w:t>
            </w:r>
            <w:hyperlink r:id="rId42" w:history="1">
              <w:r w:rsidRPr="00726638">
                <w:rPr>
                  <w:rStyle w:val="Hyperlink"/>
                  <w:i/>
                </w:rPr>
                <w:t>http://www.eia.gov/countries/data.cfm</w:t>
              </w:r>
            </w:hyperlink>
            <w:r w:rsidRPr="00726638">
              <w:rPr>
                <w:i/>
              </w:rPr>
              <w:t xml:space="preserve">) and work by David Canning at the Harvard School of Public Health </w:t>
            </w:r>
            <w:r w:rsidR="00F7383F" w:rsidRPr="00726638">
              <w:rPr>
                <w:i/>
              </w:rPr>
              <w:fldChar w:fldCharType="begin"/>
            </w:r>
            <w:r>
              <w:rPr>
                <w:i/>
              </w:rPr>
              <w:instrText xml:space="preserve"> ADDIN ZOTERO_ITEM {"citationID":"1HxsTq2t","properties":{"formattedCitation":"(Canning 1998; Canning and Farahani 2007)","plainCitation":"(Canning 1998; Canning and Farahani 2007)"},"citationItems":[{"id":1067,"uris":["http://zotero.org/groups/4482/items/59NKURMC"],"uri":["http://zotero.org/groups/4482/items/59NKURMC"],"label":"page"},{"id":500,"uris":["http://zotero.org/groups/4482/items/MSM7T659"],"uri":["http://zotero.org/groups/4482/items/MSM7T659"],"label":"page"}]} </w:instrText>
            </w:r>
            <w:r w:rsidR="00F7383F" w:rsidRPr="00726638">
              <w:rPr>
                <w:i/>
              </w:rPr>
              <w:fldChar w:fldCharType="separate"/>
            </w:r>
            <w:r w:rsidRPr="00AA7B30">
              <w:rPr>
                <w:szCs w:val="21"/>
              </w:rPr>
              <w:t>(Canning 1998; Canning and Farahani 2007)</w:t>
            </w:r>
            <w:r w:rsidR="00F7383F" w:rsidRPr="00726638">
              <w:rPr>
                <w:i/>
              </w:rPr>
              <w:fldChar w:fldCharType="end"/>
            </w:r>
            <w:r w:rsidRPr="00726638">
              <w:rPr>
                <w:i/>
              </w:rPr>
              <w:t>; data available at http://www.hsph.harvard.edu/faculty/david-canning/data-sets/).</w:t>
            </w:r>
          </w:p>
        </w:tc>
      </w:tr>
    </w:tbl>
    <w:p w:rsidR="007D46DA" w:rsidRPr="00CA4EF3" w:rsidRDefault="007D46DA" w:rsidP="007D46DA"/>
    <w:p w:rsidR="007D46DA" w:rsidRPr="00CA4EF3" w:rsidRDefault="007D46DA" w:rsidP="007D46DA">
      <w:r>
        <w:t xml:space="preserve">The amount of electricity generating capacity per capita provides only part of the story on energy access. In the United Nations Energy for All initiative, much attention is paid to access to modern forms of energy, with an emphasis on the use of electricity and other modern sources vis-à-vis traditional solid fuels in the home </w:t>
      </w:r>
      <w:r w:rsidR="00F7383F">
        <w:fldChar w:fldCharType="begin"/>
      </w:r>
      <w:r>
        <w:instrText xml:space="preserve"> ADDIN ZOTERO_ITEM {"citationID":"uqIieiJz","properties":{"formattedCitation":"{\\rtf (United Nations Secretary-General\\uc0\\u8217{}s Advisory Group on Energy and Climate Change (AGECC) 2010)}","plainCitation":"(United Nations Secretary-General’s Advisory Group on Energy and Climate Change (AGECC) 2010)"},"citationItems":[{"id":577,"uris":["http://zotero.org/groups/4482/items/T5IMN89B"],"uri":["http://zotero.org/groups/4482/items/T5IMN89B"]}]} </w:instrText>
      </w:r>
      <w:r w:rsidR="00F7383F">
        <w:fldChar w:fldCharType="separate"/>
      </w:r>
      <w:r w:rsidRPr="005A512D">
        <w:t>(United Nations Secretary-General’s Advisory Group on Energy and Climate Change (AGECC) 2010)</w:t>
      </w:r>
      <w:r w:rsidR="00F7383F">
        <w:fldChar w:fldCharType="end"/>
      </w:r>
      <w:r>
        <w:t>.</w:t>
      </w:r>
      <w:r w:rsidRPr="00CA4EF3">
        <w:t xml:space="preserve"> Over half of the global population still use</w:t>
      </w:r>
      <w:r>
        <w:t>s</w:t>
      </w:r>
      <w:r w:rsidRPr="00CA4EF3">
        <w:t xml:space="preserve"> solid fuels in the home and a quarter do</w:t>
      </w:r>
      <w:r>
        <w:t>es</w:t>
      </w:r>
      <w:r w:rsidRPr="00CA4EF3">
        <w:t xml:space="preserve"> not have access to electricity</w:t>
      </w:r>
      <w:r>
        <w:t xml:space="preserve"> (Table 2.7)</w:t>
      </w:r>
      <w:r w:rsidRPr="00CA4EF3">
        <w:t>. In the low</w:t>
      </w:r>
      <w:r>
        <w:t>-</w:t>
      </w:r>
      <w:r w:rsidRPr="00CA4EF3">
        <w:t>income countries</w:t>
      </w:r>
      <w:r>
        <w:t>,</w:t>
      </w:r>
      <w:r w:rsidRPr="00CA4EF3">
        <w:t xml:space="preserve"> over </w:t>
      </w:r>
      <w:r>
        <w:t>90</w:t>
      </w:r>
      <w:r w:rsidRPr="00CA4EF3">
        <w:t xml:space="preserve"> percent </w:t>
      </w:r>
      <w:r>
        <w:t xml:space="preserve">still </w:t>
      </w:r>
      <w:r w:rsidRPr="00CA4EF3">
        <w:t>us</w:t>
      </w:r>
      <w:r>
        <w:t>e</w:t>
      </w:r>
      <w:r w:rsidRPr="00CA4EF3">
        <w:t xml:space="preserve"> solid fuels and only slightly over one</w:t>
      </w:r>
      <w:r>
        <w:t>-</w:t>
      </w:r>
      <w:r w:rsidRPr="00CA4EF3">
        <w:t>fifth hav</w:t>
      </w:r>
      <w:r>
        <w:t>e</w:t>
      </w:r>
      <w:r w:rsidRPr="00CA4EF3">
        <w:t xml:space="preserve"> access to electricity. Some of the effects of using solid fuel in the home can be ameliorated by the use of advanced cook</w:t>
      </w:r>
      <w:r>
        <w:t xml:space="preserve"> </w:t>
      </w:r>
      <w:r w:rsidRPr="00CA4EF3">
        <w:t>stoves and proper ventilation, but th</w:t>
      </w:r>
      <w:r>
        <w:t>ese are</w:t>
      </w:r>
      <w:r w:rsidRPr="00CA4EF3">
        <w:t xml:space="preserve"> not always available. Across all regions</w:t>
      </w:r>
      <w:r>
        <w:t>,</w:t>
      </w:r>
      <w:r w:rsidRPr="00CA4EF3">
        <w:t xml:space="preserve"> rural populations have less access to electricity than urban populations, </w:t>
      </w:r>
      <w:r>
        <w:t>and</w:t>
      </w:r>
      <w:r w:rsidRPr="00CA4EF3">
        <w:t xml:space="preserve"> this difference </w:t>
      </w:r>
      <w:r>
        <w:t>is</w:t>
      </w:r>
      <w:r w:rsidRPr="00CA4EF3">
        <w:t xml:space="preserve"> more marked in poorer countries.</w:t>
      </w:r>
    </w:p>
    <w:p w:rsidR="007D46DA" w:rsidRPr="00CA4EF3" w:rsidRDefault="007D46DA" w:rsidP="007D46DA"/>
    <w:tbl>
      <w:tblPr>
        <w:tblW w:w="0" w:type="auto"/>
        <w:jc w:val="center"/>
        <w:tblLayout w:type="fixed"/>
        <w:tblLook w:val="0000"/>
      </w:tblPr>
      <w:tblGrid>
        <w:gridCol w:w="2285"/>
        <w:gridCol w:w="2335"/>
        <w:gridCol w:w="1560"/>
        <w:gridCol w:w="1560"/>
        <w:gridCol w:w="1560"/>
      </w:tblGrid>
      <w:tr w:rsidR="007D46DA" w:rsidRPr="00CA4EF3">
        <w:trPr>
          <w:trHeight w:val="290"/>
          <w:jc w:val="center"/>
        </w:trPr>
        <w:tc>
          <w:tcPr>
            <w:tcW w:w="9300" w:type="dxa"/>
            <w:gridSpan w:val="5"/>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rPr>
                <w:b/>
                <w:color w:val="000000"/>
              </w:rPr>
            </w:pPr>
            <w:r w:rsidRPr="00CA4EF3">
              <w:rPr>
                <w:b/>
                <w:color w:val="000000"/>
              </w:rPr>
              <w:t>Table 2.</w:t>
            </w:r>
            <w:r>
              <w:rPr>
                <w:b/>
                <w:color w:val="000000"/>
              </w:rPr>
              <w:t>7</w:t>
            </w:r>
            <w:r w:rsidRPr="00CA4EF3">
              <w:rPr>
                <w:b/>
                <w:color w:val="000000"/>
              </w:rPr>
              <w:t xml:space="preserve"> Access to </w:t>
            </w:r>
            <w:r>
              <w:rPr>
                <w:b/>
                <w:color w:val="000000"/>
              </w:rPr>
              <w:t>m</w:t>
            </w:r>
            <w:r w:rsidRPr="00CA4EF3">
              <w:rPr>
                <w:b/>
                <w:color w:val="000000"/>
              </w:rPr>
              <w:t xml:space="preserve">odern </w:t>
            </w:r>
            <w:r>
              <w:rPr>
                <w:b/>
                <w:color w:val="000000"/>
              </w:rPr>
              <w:t>f</w:t>
            </w:r>
            <w:r w:rsidRPr="00CA4EF3">
              <w:rPr>
                <w:b/>
                <w:color w:val="000000"/>
              </w:rPr>
              <w:t>uels</w:t>
            </w:r>
          </w:p>
        </w:tc>
      </w:tr>
      <w:tr w:rsidR="007D46DA" w:rsidRPr="000D4C00">
        <w:trPr>
          <w:trHeight w:val="290"/>
          <w:jc w:val="center"/>
        </w:trPr>
        <w:tc>
          <w:tcPr>
            <w:tcW w:w="2285" w:type="dxa"/>
            <w:tcBorders>
              <w:top w:val="single" w:sz="2" w:space="0" w:color="000000"/>
              <w:left w:val="single" w:sz="2" w:space="0" w:color="000000"/>
              <w:bottom w:val="single" w:sz="2" w:space="0" w:color="000000"/>
              <w:right w:val="single" w:sz="2" w:space="0" w:color="000000"/>
            </w:tcBorders>
          </w:tcPr>
          <w:p w:rsidR="007D46DA" w:rsidRPr="000D4C00" w:rsidRDefault="007D46DA" w:rsidP="006B1499">
            <w:pPr>
              <w:autoSpaceDE w:val="0"/>
              <w:autoSpaceDN w:val="0"/>
              <w:adjustRightInd w:val="0"/>
              <w:jc w:val="right"/>
              <w:rPr>
                <w:color w:val="000000"/>
              </w:rPr>
            </w:pPr>
          </w:p>
        </w:tc>
        <w:tc>
          <w:tcPr>
            <w:tcW w:w="2335" w:type="dxa"/>
            <w:tcBorders>
              <w:top w:val="single" w:sz="2" w:space="0" w:color="000000"/>
              <w:left w:val="single" w:sz="2" w:space="0" w:color="000000"/>
              <w:bottom w:val="single" w:sz="2" w:space="0" w:color="000000"/>
              <w:right w:val="single" w:sz="2" w:space="0" w:color="000000"/>
            </w:tcBorders>
          </w:tcPr>
          <w:p w:rsidR="007D46DA" w:rsidRPr="000D4C00" w:rsidRDefault="007D46DA" w:rsidP="006B1499">
            <w:pPr>
              <w:autoSpaceDE w:val="0"/>
              <w:autoSpaceDN w:val="0"/>
              <w:adjustRightInd w:val="0"/>
              <w:jc w:val="right"/>
              <w:rPr>
                <w:color w:val="000000"/>
              </w:rPr>
            </w:pPr>
          </w:p>
        </w:tc>
        <w:tc>
          <w:tcPr>
            <w:tcW w:w="4680" w:type="dxa"/>
            <w:gridSpan w:val="3"/>
            <w:tcBorders>
              <w:top w:val="single" w:sz="2" w:space="0" w:color="000000"/>
              <w:left w:val="single" w:sz="2" w:space="0" w:color="000000"/>
              <w:bottom w:val="single" w:sz="2" w:space="0" w:color="000000"/>
              <w:right w:val="single" w:sz="2" w:space="0" w:color="000000"/>
            </w:tcBorders>
          </w:tcPr>
          <w:p w:rsidR="007D46DA" w:rsidRPr="000D4C00" w:rsidRDefault="007D46DA" w:rsidP="006B1499">
            <w:pPr>
              <w:autoSpaceDE w:val="0"/>
              <w:autoSpaceDN w:val="0"/>
              <w:adjustRightInd w:val="0"/>
              <w:jc w:val="center"/>
              <w:rPr>
                <w:color w:val="000000"/>
              </w:rPr>
            </w:pPr>
            <w:r w:rsidRPr="000D4C00">
              <w:rPr>
                <w:color w:val="000000"/>
              </w:rPr>
              <w:t>Percent of population with</w:t>
            </w:r>
            <w:r>
              <w:rPr>
                <w:color w:val="000000"/>
              </w:rPr>
              <w:t>out</w:t>
            </w:r>
            <w:r w:rsidRPr="000D4C00">
              <w:rPr>
                <w:color w:val="000000"/>
              </w:rPr>
              <w:t xml:space="preserve"> access to electricity</w:t>
            </w:r>
          </w:p>
        </w:tc>
      </w:tr>
      <w:tr w:rsidR="007D46DA" w:rsidRPr="000D4C00">
        <w:trPr>
          <w:trHeight w:val="581"/>
          <w:jc w:val="center"/>
        </w:trPr>
        <w:tc>
          <w:tcPr>
            <w:tcW w:w="2285" w:type="dxa"/>
            <w:tcBorders>
              <w:top w:val="single" w:sz="2" w:space="0" w:color="000000"/>
              <w:left w:val="single" w:sz="2" w:space="0" w:color="000000"/>
              <w:bottom w:val="single" w:sz="2" w:space="0" w:color="000000"/>
              <w:right w:val="single" w:sz="2" w:space="0" w:color="000000"/>
            </w:tcBorders>
          </w:tcPr>
          <w:p w:rsidR="007D46DA" w:rsidRPr="000D4C00" w:rsidRDefault="007D46DA" w:rsidP="006B1499">
            <w:pPr>
              <w:autoSpaceDE w:val="0"/>
              <w:autoSpaceDN w:val="0"/>
              <w:adjustRightInd w:val="0"/>
              <w:jc w:val="right"/>
              <w:rPr>
                <w:color w:val="000000"/>
              </w:rPr>
            </w:pPr>
          </w:p>
        </w:tc>
        <w:tc>
          <w:tcPr>
            <w:tcW w:w="2335" w:type="dxa"/>
            <w:tcBorders>
              <w:top w:val="single" w:sz="2" w:space="0" w:color="000000"/>
              <w:left w:val="single" w:sz="2" w:space="0" w:color="000000"/>
              <w:bottom w:val="single" w:sz="2" w:space="0" w:color="000000"/>
              <w:right w:val="single" w:sz="2" w:space="0" w:color="000000"/>
            </w:tcBorders>
            <w:vAlign w:val="bottom"/>
          </w:tcPr>
          <w:p w:rsidR="007D46DA" w:rsidRPr="000D4C00" w:rsidRDefault="007D46DA" w:rsidP="006B1499">
            <w:pPr>
              <w:autoSpaceDE w:val="0"/>
              <w:autoSpaceDN w:val="0"/>
              <w:adjustRightInd w:val="0"/>
              <w:jc w:val="center"/>
              <w:rPr>
                <w:color w:val="000000"/>
              </w:rPr>
            </w:pPr>
            <w:r>
              <w:rPr>
                <w:color w:val="000000"/>
              </w:rPr>
              <w:t>Percent</w:t>
            </w:r>
            <w:r w:rsidRPr="000D4C00">
              <w:rPr>
                <w:color w:val="000000"/>
              </w:rPr>
              <w:t xml:space="preserve"> of Population using solid fuels for heating and cooking</w:t>
            </w:r>
          </w:p>
        </w:tc>
        <w:tc>
          <w:tcPr>
            <w:tcW w:w="1560" w:type="dxa"/>
            <w:tcBorders>
              <w:top w:val="single" w:sz="2" w:space="0" w:color="000000"/>
              <w:left w:val="single" w:sz="2" w:space="0" w:color="000000"/>
              <w:bottom w:val="single" w:sz="2" w:space="0" w:color="000000"/>
              <w:right w:val="single" w:sz="2" w:space="0" w:color="000000"/>
            </w:tcBorders>
            <w:vAlign w:val="bottom"/>
          </w:tcPr>
          <w:p w:rsidR="007D46DA" w:rsidRPr="000D4C00" w:rsidRDefault="007D46DA" w:rsidP="006B1499">
            <w:pPr>
              <w:autoSpaceDE w:val="0"/>
              <w:autoSpaceDN w:val="0"/>
              <w:adjustRightInd w:val="0"/>
              <w:jc w:val="center"/>
              <w:rPr>
                <w:color w:val="000000"/>
              </w:rPr>
            </w:pPr>
            <w:r w:rsidRPr="000D4C00">
              <w:rPr>
                <w:color w:val="000000"/>
              </w:rPr>
              <w:t>National</w:t>
            </w:r>
          </w:p>
        </w:tc>
        <w:tc>
          <w:tcPr>
            <w:tcW w:w="1560" w:type="dxa"/>
            <w:tcBorders>
              <w:top w:val="single" w:sz="2" w:space="0" w:color="000000"/>
              <w:left w:val="single" w:sz="2" w:space="0" w:color="000000"/>
              <w:bottom w:val="single" w:sz="2" w:space="0" w:color="000000"/>
              <w:right w:val="single" w:sz="2" w:space="0" w:color="000000"/>
            </w:tcBorders>
            <w:vAlign w:val="bottom"/>
          </w:tcPr>
          <w:p w:rsidR="007D46DA" w:rsidRPr="000D4C00" w:rsidRDefault="007D46DA" w:rsidP="006B1499">
            <w:pPr>
              <w:autoSpaceDE w:val="0"/>
              <w:autoSpaceDN w:val="0"/>
              <w:adjustRightInd w:val="0"/>
              <w:jc w:val="center"/>
              <w:rPr>
                <w:color w:val="000000"/>
              </w:rPr>
            </w:pPr>
            <w:r w:rsidRPr="000D4C00">
              <w:rPr>
                <w:color w:val="000000"/>
              </w:rPr>
              <w:t>Urban</w:t>
            </w:r>
          </w:p>
        </w:tc>
        <w:tc>
          <w:tcPr>
            <w:tcW w:w="1560" w:type="dxa"/>
            <w:tcBorders>
              <w:top w:val="single" w:sz="2" w:space="0" w:color="000000"/>
              <w:left w:val="single" w:sz="2" w:space="0" w:color="000000"/>
              <w:bottom w:val="single" w:sz="2" w:space="0" w:color="000000"/>
              <w:right w:val="single" w:sz="2" w:space="0" w:color="000000"/>
            </w:tcBorders>
            <w:vAlign w:val="bottom"/>
          </w:tcPr>
          <w:p w:rsidR="007D46DA" w:rsidRPr="000D4C00" w:rsidRDefault="007D46DA" w:rsidP="006B1499">
            <w:pPr>
              <w:autoSpaceDE w:val="0"/>
              <w:autoSpaceDN w:val="0"/>
              <w:adjustRightInd w:val="0"/>
              <w:jc w:val="center"/>
              <w:rPr>
                <w:color w:val="000000"/>
              </w:rPr>
            </w:pPr>
            <w:r w:rsidRPr="000D4C00">
              <w:rPr>
                <w:color w:val="000000"/>
              </w:rPr>
              <w:t>Rural</w:t>
            </w:r>
          </w:p>
        </w:tc>
      </w:tr>
      <w:tr w:rsidR="007D46DA" w:rsidRPr="000D4C00">
        <w:trPr>
          <w:trHeight w:val="290"/>
          <w:jc w:val="center"/>
        </w:trPr>
        <w:tc>
          <w:tcPr>
            <w:tcW w:w="9300" w:type="dxa"/>
            <w:gridSpan w:val="5"/>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7D46DA" w:rsidRPr="000D4C00" w:rsidRDefault="007D46DA" w:rsidP="006B1499">
            <w:pPr>
              <w:autoSpaceDE w:val="0"/>
              <w:autoSpaceDN w:val="0"/>
              <w:adjustRightInd w:val="0"/>
              <w:jc w:val="center"/>
              <w:rPr>
                <w:color w:val="000000"/>
              </w:rPr>
            </w:pPr>
            <w:r w:rsidRPr="000D4C00">
              <w:rPr>
                <w:color w:val="000000"/>
              </w:rPr>
              <w:t xml:space="preserve">By </w:t>
            </w:r>
            <w:r>
              <w:rPr>
                <w:color w:val="000000"/>
              </w:rPr>
              <w:t>r</w:t>
            </w:r>
            <w:r w:rsidRPr="000D4C00">
              <w:rPr>
                <w:color w:val="000000"/>
              </w:rPr>
              <w:t>egion</w:t>
            </w:r>
          </w:p>
        </w:tc>
      </w:tr>
      <w:tr w:rsidR="007D46DA" w:rsidRPr="00CA4EF3">
        <w:trPr>
          <w:trHeight w:val="290"/>
          <w:jc w:val="center"/>
        </w:trPr>
        <w:tc>
          <w:tcPr>
            <w:tcW w:w="2285" w:type="dxa"/>
            <w:tcBorders>
              <w:top w:val="single" w:sz="2" w:space="0" w:color="000000"/>
              <w:left w:val="single" w:sz="2" w:space="0" w:color="000000"/>
              <w:bottom w:val="single" w:sz="2" w:space="0" w:color="000000"/>
              <w:right w:val="single" w:sz="2" w:space="0" w:color="000000"/>
            </w:tcBorders>
          </w:tcPr>
          <w:p w:rsidR="007D46DA" w:rsidRPr="00CA4EF3" w:rsidRDefault="007D46DA" w:rsidP="006B1499">
            <w:pPr>
              <w:autoSpaceDE w:val="0"/>
              <w:autoSpaceDN w:val="0"/>
              <w:adjustRightInd w:val="0"/>
              <w:rPr>
                <w:color w:val="000000"/>
              </w:rPr>
            </w:pPr>
            <w:r w:rsidRPr="00CA4EF3">
              <w:rPr>
                <w:color w:val="000000"/>
              </w:rPr>
              <w:t>East Asia and Pacific</w:t>
            </w:r>
          </w:p>
        </w:tc>
        <w:tc>
          <w:tcPr>
            <w:tcW w:w="2335"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sidRPr="00CA4EF3">
              <w:rPr>
                <w:color w:val="000000"/>
              </w:rPr>
              <w:t>51</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8</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4</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15</w:t>
            </w:r>
          </w:p>
        </w:tc>
      </w:tr>
      <w:tr w:rsidR="007D46DA" w:rsidRPr="00CA4EF3">
        <w:trPr>
          <w:trHeight w:val="290"/>
          <w:jc w:val="center"/>
        </w:trPr>
        <w:tc>
          <w:tcPr>
            <w:tcW w:w="2285" w:type="dxa"/>
            <w:tcBorders>
              <w:top w:val="single" w:sz="2" w:space="0" w:color="000000"/>
              <w:left w:val="single" w:sz="2" w:space="0" w:color="000000"/>
              <w:bottom w:val="single" w:sz="2" w:space="0" w:color="000000"/>
              <w:right w:val="single" w:sz="2" w:space="0" w:color="000000"/>
            </w:tcBorders>
          </w:tcPr>
          <w:p w:rsidR="007D46DA" w:rsidRPr="00CA4EF3" w:rsidRDefault="007D46DA" w:rsidP="006B1499">
            <w:pPr>
              <w:autoSpaceDE w:val="0"/>
              <w:autoSpaceDN w:val="0"/>
              <w:adjustRightInd w:val="0"/>
              <w:rPr>
                <w:color w:val="000000"/>
              </w:rPr>
            </w:pPr>
            <w:r w:rsidRPr="00CA4EF3">
              <w:rPr>
                <w:color w:val="000000"/>
              </w:rPr>
              <w:t>Europe and Central Asia</w:t>
            </w:r>
          </w:p>
        </w:tc>
        <w:tc>
          <w:tcPr>
            <w:tcW w:w="2335"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sidRPr="00CA4EF3">
              <w:rPr>
                <w:color w:val="000000"/>
              </w:rPr>
              <w:t>11</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0</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0</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0</w:t>
            </w:r>
          </w:p>
        </w:tc>
      </w:tr>
      <w:tr w:rsidR="007D46DA" w:rsidRPr="00CA4EF3">
        <w:trPr>
          <w:trHeight w:val="290"/>
          <w:jc w:val="center"/>
        </w:trPr>
        <w:tc>
          <w:tcPr>
            <w:tcW w:w="2285" w:type="dxa"/>
            <w:tcBorders>
              <w:top w:val="single" w:sz="2" w:space="0" w:color="000000"/>
              <w:left w:val="single" w:sz="2" w:space="0" w:color="000000"/>
              <w:bottom w:val="single" w:sz="2" w:space="0" w:color="000000"/>
              <w:right w:val="single" w:sz="2" w:space="0" w:color="000000"/>
            </w:tcBorders>
          </w:tcPr>
          <w:p w:rsidR="007D46DA" w:rsidRPr="00CA4EF3" w:rsidRDefault="007D46DA" w:rsidP="006B1499">
            <w:pPr>
              <w:autoSpaceDE w:val="0"/>
              <w:autoSpaceDN w:val="0"/>
              <w:adjustRightInd w:val="0"/>
              <w:rPr>
                <w:color w:val="000000"/>
              </w:rPr>
            </w:pPr>
            <w:r w:rsidRPr="00CA4EF3">
              <w:rPr>
                <w:color w:val="000000"/>
              </w:rPr>
              <w:t>Latin America and the Caribbean</w:t>
            </w:r>
          </w:p>
        </w:tc>
        <w:tc>
          <w:tcPr>
            <w:tcW w:w="2335"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sidRPr="00CA4EF3">
              <w:rPr>
                <w:color w:val="000000"/>
              </w:rPr>
              <w:t>18</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5</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1</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19</w:t>
            </w:r>
          </w:p>
        </w:tc>
      </w:tr>
      <w:tr w:rsidR="007D46DA" w:rsidRPr="00CA4EF3">
        <w:trPr>
          <w:trHeight w:val="290"/>
          <w:jc w:val="center"/>
        </w:trPr>
        <w:tc>
          <w:tcPr>
            <w:tcW w:w="2285" w:type="dxa"/>
            <w:tcBorders>
              <w:top w:val="single" w:sz="2" w:space="0" w:color="000000"/>
              <w:left w:val="single" w:sz="2" w:space="0" w:color="000000"/>
              <w:bottom w:val="single" w:sz="2" w:space="0" w:color="000000"/>
              <w:right w:val="single" w:sz="2" w:space="0" w:color="000000"/>
            </w:tcBorders>
          </w:tcPr>
          <w:p w:rsidR="007D46DA" w:rsidRPr="00CA4EF3" w:rsidRDefault="007D46DA" w:rsidP="006B1499">
            <w:pPr>
              <w:autoSpaceDE w:val="0"/>
              <w:autoSpaceDN w:val="0"/>
              <w:adjustRightInd w:val="0"/>
              <w:rPr>
                <w:color w:val="000000"/>
              </w:rPr>
            </w:pPr>
            <w:r w:rsidRPr="00CA4EF3">
              <w:rPr>
                <w:color w:val="000000"/>
              </w:rPr>
              <w:t>Middle East and North Africa</w:t>
            </w:r>
          </w:p>
        </w:tc>
        <w:tc>
          <w:tcPr>
            <w:tcW w:w="2335"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sidRPr="00CA4EF3">
              <w:rPr>
                <w:color w:val="000000"/>
              </w:rPr>
              <w:t>7</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7</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2</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13</w:t>
            </w:r>
          </w:p>
        </w:tc>
      </w:tr>
      <w:tr w:rsidR="007D46DA" w:rsidRPr="00CA4EF3">
        <w:trPr>
          <w:trHeight w:val="290"/>
          <w:jc w:val="center"/>
        </w:trPr>
        <w:tc>
          <w:tcPr>
            <w:tcW w:w="2285" w:type="dxa"/>
            <w:tcBorders>
              <w:top w:val="single" w:sz="2" w:space="0" w:color="000000"/>
              <w:left w:val="single" w:sz="2" w:space="0" w:color="000000"/>
              <w:bottom w:val="single" w:sz="2" w:space="0" w:color="000000"/>
              <w:right w:val="single" w:sz="2" w:space="0" w:color="000000"/>
            </w:tcBorders>
          </w:tcPr>
          <w:p w:rsidR="007D46DA" w:rsidRPr="00CA4EF3" w:rsidRDefault="007D46DA" w:rsidP="006B1499">
            <w:pPr>
              <w:autoSpaceDE w:val="0"/>
              <w:autoSpaceDN w:val="0"/>
              <w:adjustRightInd w:val="0"/>
              <w:rPr>
                <w:color w:val="000000"/>
              </w:rPr>
            </w:pPr>
            <w:r w:rsidRPr="00CA4EF3">
              <w:rPr>
                <w:color w:val="000000"/>
              </w:rPr>
              <w:t>South Asia</w:t>
            </w:r>
          </w:p>
        </w:tc>
        <w:tc>
          <w:tcPr>
            <w:tcW w:w="2335"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sidRPr="00CA4EF3">
              <w:rPr>
                <w:color w:val="000000"/>
              </w:rPr>
              <w:t>65</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36</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8</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48</w:t>
            </w:r>
          </w:p>
        </w:tc>
      </w:tr>
      <w:tr w:rsidR="007D46DA" w:rsidRPr="00CA4EF3">
        <w:trPr>
          <w:trHeight w:val="290"/>
          <w:jc w:val="center"/>
        </w:trPr>
        <w:tc>
          <w:tcPr>
            <w:tcW w:w="2285" w:type="dxa"/>
            <w:tcBorders>
              <w:top w:val="single" w:sz="2" w:space="0" w:color="000000"/>
              <w:left w:val="single" w:sz="2" w:space="0" w:color="000000"/>
              <w:bottom w:val="single" w:sz="2" w:space="0" w:color="000000"/>
              <w:right w:val="single" w:sz="2" w:space="0" w:color="000000"/>
            </w:tcBorders>
          </w:tcPr>
          <w:p w:rsidR="007D46DA" w:rsidRPr="00CA4EF3" w:rsidRDefault="007D46DA" w:rsidP="006B1499">
            <w:pPr>
              <w:autoSpaceDE w:val="0"/>
              <w:autoSpaceDN w:val="0"/>
              <w:adjustRightInd w:val="0"/>
              <w:rPr>
                <w:color w:val="000000"/>
              </w:rPr>
            </w:pPr>
            <w:r w:rsidRPr="00CA4EF3">
              <w:rPr>
                <w:color w:val="000000"/>
              </w:rPr>
              <w:t>Sub-Saharan Africa</w:t>
            </w:r>
          </w:p>
        </w:tc>
        <w:tc>
          <w:tcPr>
            <w:tcW w:w="2335"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sidRPr="00CA4EF3">
              <w:rPr>
                <w:color w:val="000000"/>
              </w:rPr>
              <w:t>82</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78</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41</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82</w:t>
            </w:r>
          </w:p>
        </w:tc>
      </w:tr>
      <w:tr w:rsidR="007D46DA" w:rsidRPr="00CA4EF3">
        <w:trPr>
          <w:trHeight w:val="290"/>
          <w:jc w:val="center"/>
        </w:trPr>
        <w:tc>
          <w:tcPr>
            <w:tcW w:w="2285" w:type="dxa"/>
            <w:tcBorders>
              <w:top w:val="single" w:sz="2" w:space="0" w:color="000000"/>
              <w:left w:val="single" w:sz="2" w:space="0" w:color="000000"/>
              <w:bottom w:val="single" w:sz="2" w:space="0" w:color="000000"/>
              <w:right w:val="single" w:sz="2" w:space="0" w:color="000000"/>
            </w:tcBorders>
          </w:tcPr>
          <w:p w:rsidR="007D46DA" w:rsidRPr="00CA4EF3" w:rsidRDefault="007D46DA" w:rsidP="006B1499">
            <w:pPr>
              <w:autoSpaceDE w:val="0"/>
              <w:autoSpaceDN w:val="0"/>
              <w:adjustRightInd w:val="0"/>
              <w:rPr>
                <w:color w:val="000000"/>
              </w:rPr>
            </w:pPr>
            <w:r w:rsidRPr="00CA4EF3">
              <w:rPr>
                <w:color w:val="000000"/>
              </w:rPr>
              <w:t>High</w:t>
            </w:r>
            <w:r>
              <w:rPr>
                <w:color w:val="000000"/>
              </w:rPr>
              <w:t>-</w:t>
            </w:r>
            <w:r w:rsidRPr="00CA4EF3">
              <w:rPr>
                <w:color w:val="000000"/>
              </w:rPr>
              <w:t>income Countries</w:t>
            </w:r>
          </w:p>
        </w:tc>
        <w:tc>
          <w:tcPr>
            <w:tcW w:w="2335"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sidRPr="00CA4EF3">
              <w:rPr>
                <w:color w:val="000000"/>
              </w:rPr>
              <w:t>5</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8</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4</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9</w:t>
            </w:r>
          </w:p>
        </w:tc>
      </w:tr>
      <w:tr w:rsidR="007D46DA" w:rsidRPr="000D4C00">
        <w:trPr>
          <w:trHeight w:val="290"/>
          <w:jc w:val="center"/>
        </w:trPr>
        <w:tc>
          <w:tcPr>
            <w:tcW w:w="9300" w:type="dxa"/>
            <w:gridSpan w:val="5"/>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7D46DA" w:rsidRPr="000D4C00" w:rsidRDefault="000016D4" w:rsidP="006B1499">
            <w:pPr>
              <w:autoSpaceDE w:val="0"/>
              <w:autoSpaceDN w:val="0"/>
              <w:adjustRightInd w:val="0"/>
              <w:jc w:val="center"/>
              <w:rPr>
                <w:color w:val="000000"/>
              </w:rPr>
            </w:pPr>
            <w:r w:rsidRPr="000D4C00">
              <w:rPr>
                <w:color w:val="000000"/>
              </w:rPr>
              <w:t xml:space="preserve">By </w:t>
            </w:r>
            <w:r>
              <w:rPr>
                <w:color w:val="000000"/>
              </w:rPr>
              <w:t>i</w:t>
            </w:r>
            <w:r w:rsidRPr="000D4C00">
              <w:rPr>
                <w:color w:val="000000"/>
              </w:rPr>
              <w:t xml:space="preserve">ncome </w:t>
            </w:r>
            <w:r>
              <w:rPr>
                <w:color w:val="000000"/>
              </w:rPr>
              <w:t>group</w:t>
            </w:r>
          </w:p>
        </w:tc>
      </w:tr>
      <w:tr w:rsidR="007D46DA" w:rsidRPr="00CA4EF3">
        <w:trPr>
          <w:trHeight w:val="290"/>
          <w:jc w:val="center"/>
        </w:trPr>
        <w:tc>
          <w:tcPr>
            <w:tcW w:w="2285" w:type="dxa"/>
            <w:tcBorders>
              <w:top w:val="single" w:sz="2" w:space="0" w:color="000000"/>
              <w:left w:val="single" w:sz="2" w:space="0" w:color="000000"/>
              <w:bottom w:val="single" w:sz="2" w:space="0" w:color="000000"/>
              <w:right w:val="single" w:sz="2" w:space="0" w:color="000000"/>
            </w:tcBorders>
          </w:tcPr>
          <w:p w:rsidR="007D46DA" w:rsidRPr="00CA4EF3" w:rsidRDefault="007D46DA" w:rsidP="006B1499">
            <w:pPr>
              <w:autoSpaceDE w:val="0"/>
              <w:autoSpaceDN w:val="0"/>
              <w:adjustRightInd w:val="0"/>
              <w:rPr>
                <w:color w:val="000000"/>
              </w:rPr>
            </w:pPr>
            <w:r w:rsidRPr="00CA4EF3">
              <w:rPr>
                <w:color w:val="000000"/>
              </w:rPr>
              <w:t>Low</w:t>
            </w:r>
            <w:r>
              <w:rPr>
                <w:color w:val="000000"/>
              </w:rPr>
              <w:t>-</w:t>
            </w:r>
            <w:r w:rsidRPr="00CA4EF3">
              <w:rPr>
                <w:color w:val="000000"/>
              </w:rPr>
              <w:t>income</w:t>
            </w:r>
            <w:r>
              <w:rPr>
                <w:color w:val="000000"/>
              </w:rPr>
              <w:t xml:space="preserve"> countries</w:t>
            </w:r>
          </w:p>
        </w:tc>
        <w:tc>
          <w:tcPr>
            <w:tcW w:w="2335"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sidRPr="00CA4EF3">
              <w:rPr>
                <w:color w:val="000000"/>
              </w:rPr>
              <w:t>91</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78</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48</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78</w:t>
            </w:r>
          </w:p>
        </w:tc>
      </w:tr>
      <w:tr w:rsidR="007D46DA" w:rsidRPr="00CA4EF3">
        <w:trPr>
          <w:trHeight w:val="290"/>
          <w:jc w:val="center"/>
        </w:trPr>
        <w:tc>
          <w:tcPr>
            <w:tcW w:w="2285" w:type="dxa"/>
            <w:tcBorders>
              <w:top w:val="single" w:sz="2" w:space="0" w:color="000000"/>
              <w:left w:val="single" w:sz="2" w:space="0" w:color="000000"/>
              <w:bottom w:val="single" w:sz="2" w:space="0" w:color="000000"/>
              <w:right w:val="single" w:sz="2" w:space="0" w:color="000000"/>
            </w:tcBorders>
          </w:tcPr>
          <w:p w:rsidR="007D46DA" w:rsidRPr="00CA4EF3" w:rsidRDefault="007D46DA" w:rsidP="006B1499">
            <w:pPr>
              <w:autoSpaceDE w:val="0"/>
              <w:autoSpaceDN w:val="0"/>
              <w:adjustRightInd w:val="0"/>
              <w:rPr>
                <w:color w:val="000000"/>
              </w:rPr>
            </w:pPr>
            <w:r w:rsidRPr="00CA4EF3">
              <w:rPr>
                <w:color w:val="000000"/>
              </w:rPr>
              <w:t>Lower</w:t>
            </w:r>
            <w:r>
              <w:rPr>
                <w:color w:val="000000"/>
              </w:rPr>
              <w:t>-</w:t>
            </w:r>
            <w:r w:rsidRPr="00CA4EF3">
              <w:rPr>
                <w:color w:val="000000"/>
              </w:rPr>
              <w:t>middle</w:t>
            </w:r>
            <w:r>
              <w:rPr>
                <w:color w:val="000000"/>
              </w:rPr>
              <w:t>-</w:t>
            </w:r>
            <w:r w:rsidRPr="00CA4EF3">
              <w:rPr>
                <w:color w:val="000000"/>
              </w:rPr>
              <w:t>income</w:t>
            </w:r>
            <w:r>
              <w:rPr>
                <w:color w:val="000000"/>
              </w:rPr>
              <w:t xml:space="preserve"> countries</w:t>
            </w:r>
          </w:p>
        </w:tc>
        <w:tc>
          <w:tcPr>
            <w:tcW w:w="2335"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sidRPr="00CA4EF3">
              <w:rPr>
                <w:color w:val="000000"/>
              </w:rPr>
              <w:t>58</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31</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8</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46</w:t>
            </w:r>
          </w:p>
        </w:tc>
      </w:tr>
      <w:tr w:rsidR="007D46DA" w:rsidRPr="00CA4EF3">
        <w:trPr>
          <w:trHeight w:val="290"/>
          <w:jc w:val="center"/>
        </w:trPr>
        <w:tc>
          <w:tcPr>
            <w:tcW w:w="2285" w:type="dxa"/>
            <w:tcBorders>
              <w:top w:val="single" w:sz="2" w:space="0" w:color="000000"/>
              <w:left w:val="single" w:sz="2" w:space="0" w:color="000000"/>
              <w:bottom w:val="single" w:sz="2" w:space="0" w:color="000000"/>
              <w:right w:val="single" w:sz="2" w:space="0" w:color="000000"/>
            </w:tcBorders>
          </w:tcPr>
          <w:p w:rsidR="007D46DA" w:rsidRPr="00CA4EF3" w:rsidRDefault="007D46DA" w:rsidP="006B1499">
            <w:pPr>
              <w:autoSpaceDE w:val="0"/>
              <w:autoSpaceDN w:val="0"/>
              <w:adjustRightInd w:val="0"/>
              <w:rPr>
                <w:color w:val="000000"/>
              </w:rPr>
            </w:pPr>
            <w:r w:rsidRPr="00CA4EF3">
              <w:rPr>
                <w:color w:val="000000"/>
              </w:rPr>
              <w:t>Upper</w:t>
            </w:r>
            <w:r>
              <w:rPr>
                <w:color w:val="000000"/>
              </w:rPr>
              <w:t>-</w:t>
            </w:r>
            <w:r w:rsidRPr="00CA4EF3">
              <w:rPr>
                <w:color w:val="000000"/>
              </w:rPr>
              <w:t>middle</w:t>
            </w:r>
            <w:r>
              <w:rPr>
                <w:color w:val="000000"/>
              </w:rPr>
              <w:t>-</w:t>
            </w:r>
            <w:r w:rsidRPr="00CA4EF3">
              <w:rPr>
                <w:color w:val="000000"/>
              </w:rPr>
              <w:t>income</w:t>
            </w:r>
            <w:r>
              <w:rPr>
                <w:color w:val="000000"/>
              </w:rPr>
              <w:t xml:space="preserve"> countries</w:t>
            </w:r>
          </w:p>
        </w:tc>
        <w:tc>
          <w:tcPr>
            <w:tcW w:w="2335"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sidRPr="00CA4EF3">
              <w:rPr>
                <w:color w:val="000000"/>
              </w:rPr>
              <w:t>35</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2</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0</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6</w:t>
            </w:r>
          </w:p>
        </w:tc>
      </w:tr>
      <w:tr w:rsidR="007D46DA" w:rsidRPr="00CA4EF3">
        <w:trPr>
          <w:trHeight w:val="290"/>
          <w:jc w:val="center"/>
        </w:trPr>
        <w:tc>
          <w:tcPr>
            <w:tcW w:w="2285" w:type="dxa"/>
            <w:tcBorders>
              <w:top w:val="single" w:sz="2" w:space="0" w:color="000000"/>
              <w:left w:val="single" w:sz="2" w:space="0" w:color="000000"/>
              <w:bottom w:val="single" w:sz="2" w:space="0" w:color="000000"/>
              <w:right w:val="single" w:sz="2" w:space="0" w:color="000000"/>
            </w:tcBorders>
          </w:tcPr>
          <w:p w:rsidR="007D46DA" w:rsidRPr="00CA4EF3" w:rsidRDefault="007D46DA" w:rsidP="006B1499">
            <w:pPr>
              <w:autoSpaceDE w:val="0"/>
              <w:autoSpaceDN w:val="0"/>
              <w:adjustRightInd w:val="0"/>
              <w:rPr>
                <w:color w:val="000000"/>
              </w:rPr>
            </w:pPr>
            <w:r w:rsidRPr="00CA4EF3">
              <w:rPr>
                <w:color w:val="000000"/>
              </w:rPr>
              <w:t>High</w:t>
            </w:r>
            <w:r>
              <w:rPr>
                <w:color w:val="000000"/>
              </w:rPr>
              <w:t>-</w:t>
            </w:r>
            <w:r w:rsidRPr="00CA4EF3">
              <w:rPr>
                <w:color w:val="000000"/>
              </w:rPr>
              <w:t>income</w:t>
            </w:r>
            <w:r>
              <w:rPr>
                <w:color w:val="000000"/>
              </w:rPr>
              <w:t xml:space="preserve"> countries</w:t>
            </w:r>
          </w:p>
        </w:tc>
        <w:tc>
          <w:tcPr>
            <w:tcW w:w="2335"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sidRPr="00CA4EF3">
              <w:rPr>
                <w:color w:val="000000"/>
              </w:rPr>
              <w:t>5</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8</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4</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CA4EF3" w:rsidRDefault="007D46DA" w:rsidP="006B1499">
            <w:pPr>
              <w:autoSpaceDE w:val="0"/>
              <w:autoSpaceDN w:val="0"/>
              <w:adjustRightInd w:val="0"/>
              <w:jc w:val="center"/>
              <w:rPr>
                <w:color w:val="000000"/>
              </w:rPr>
            </w:pPr>
            <w:r>
              <w:rPr>
                <w:color w:val="000000"/>
              </w:rPr>
              <w:t>9</w:t>
            </w:r>
          </w:p>
        </w:tc>
      </w:tr>
      <w:tr w:rsidR="007D46DA" w:rsidRPr="000D4C00">
        <w:trPr>
          <w:trHeight w:val="290"/>
          <w:jc w:val="center"/>
        </w:trPr>
        <w:tc>
          <w:tcPr>
            <w:tcW w:w="9300" w:type="dxa"/>
            <w:gridSpan w:val="5"/>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rsidR="007D46DA" w:rsidRPr="000D4C00" w:rsidRDefault="007D46DA" w:rsidP="006B1499">
            <w:pPr>
              <w:autoSpaceDE w:val="0"/>
              <w:autoSpaceDN w:val="0"/>
              <w:adjustRightInd w:val="0"/>
              <w:jc w:val="center"/>
              <w:rPr>
                <w:color w:val="000000"/>
              </w:rPr>
            </w:pPr>
          </w:p>
        </w:tc>
      </w:tr>
      <w:tr w:rsidR="007D46DA" w:rsidRPr="000D4C00">
        <w:trPr>
          <w:trHeight w:val="290"/>
          <w:jc w:val="center"/>
        </w:trPr>
        <w:tc>
          <w:tcPr>
            <w:tcW w:w="2285" w:type="dxa"/>
            <w:tcBorders>
              <w:top w:val="single" w:sz="2" w:space="0" w:color="000000"/>
              <w:left w:val="single" w:sz="2" w:space="0" w:color="000000"/>
              <w:bottom w:val="single" w:sz="2" w:space="0" w:color="000000"/>
              <w:right w:val="single" w:sz="2" w:space="0" w:color="000000"/>
            </w:tcBorders>
          </w:tcPr>
          <w:p w:rsidR="007D46DA" w:rsidRPr="000D4C00" w:rsidRDefault="007D46DA" w:rsidP="006B1499">
            <w:pPr>
              <w:autoSpaceDE w:val="0"/>
              <w:autoSpaceDN w:val="0"/>
              <w:adjustRightInd w:val="0"/>
              <w:rPr>
                <w:color w:val="000000"/>
              </w:rPr>
            </w:pPr>
            <w:r w:rsidRPr="000D4C00">
              <w:rPr>
                <w:color w:val="000000"/>
              </w:rPr>
              <w:t>World</w:t>
            </w:r>
          </w:p>
        </w:tc>
        <w:tc>
          <w:tcPr>
            <w:tcW w:w="2335" w:type="dxa"/>
            <w:tcBorders>
              <w:top w:val="single" w:sz="2" w:space="0" w:color="000000"/>
              <w:left w:val="single" w:sz="2" w:space="0" w:color="000000"/>
              <w:bottom w:val="single" w:sz="2" w:space="0" w:color="000000"/>
              <w:right w:val="single" w:sz="2" w:space="0" w:color="000000"/>
            </w:tcBorders>
            <w:vAlign w:val="center"/>
          </w:tcPr>
          <w:p w:rsidR="007D46DA" w:rsidRPr="000D4C00" w:rsidRDefault="007D46DA" w:rsidP="006B1499">
            <w:pPr>
              <w:autoSpaceDE w:val="0"/>
              <w:autoSpaceDN w:val="0"/>
              <w:adjustRightInd w:val="0"/>
              <w:jc w:val="center"/>
              <w:rPr>
                <w:color w:val="000000"/>
              </w:rPr>
            </w:pPr>
            <w:r w:rsidRPr="000D4C00">
              <w:rPr>
                <w:color w:val="000000"/>
              </w:rPr>
              <w:t>52</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0D4C00" w:rsidRDefault="007D46DA" w:rsidP="006B1499">
            <w:pPr>
              <w:autoSpaceDE w:val="0"/>
              <w:autoSpaceDN w:val="0"/>
              <w:adjustRightInd w:val="0"/>
              <w:jc w:val="center"/>
              <w:rPr>
                <w:color w:val="000000"/>
              </w:rPr>
            </w:pPr>
            <w:r>
              <w:rPr>
                <w:color w:val="000000"/>
              </w:rPr>
              <w:t>25</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0D4C00" w:rsidRDefault="007D46DA" w:rsidP="006B1499">
            <w:pPr>
              <w:autoSpaceDE w:val="0"/>
              <w:autoSpaceDN w:val="0"/>
              <w:adjustRightInd w:val="0"/>
              <w:jc w:val="center"/>
              <w:rPr>
                <w:color w:val="000000"/>
              </w:rPr>
            </w:pPr>
            <w:r>
              <w:rPr>
                <w:color w:val="000000"/>
              </w:rPr>
              <w:t>10</w:t>
            </w:r>
          </w:p>
        </w:tc>
        <w:tc>
          <w:tcPr>
            <w:tcW w:w="1560" w:type="dxa"/>
            <w:tcBorders>
              <w:top w:val="single" w:sz="2" w:space="0" w:color="000000"/>
              <w:left w:val="single" w:sz="2" w:space="0" w:color="000000"/>
              <w:bottom w:val="single" w:sz="2" w:space="0" w:color="000000"/>
              <w:right w:val="single" w:sz="2" w:space="0" w:color="000000"/>
            </w:tcBorders>
            <w:vAlign w:val="center"/>
          </w:tcPr>
          <w:p w:rsidR="007D46DA" w:rsidRPr="000D4C00" w:rsidRDefault="007D46DA" w:rsidP="006B1499">
            <w:pPr>
              <w:autoSpaceDE w:val="0"/>
              <w:autoSpaceDN w:val="0"/>
              <w:adjustRightInd w:val="0"/>
              <w:jc w:val="center"/>
              <w:rPr>
                <w:color w:val="000000"/>
              </w:rPr>
            </w:pPr>
            <w:r>
              <w:rPr>
                <w:color w:val="000000"/>
              </w:rPr>
              <w:t>35</w:t>
            </w:r>
          </w:p>
        </w:tc>
      </w:tr>
      <w:tr w:rsidR="007D46DA" w:rsidRPr="000D4C00">
        <w:trPr>
          <w:trHeight w:val="290"/>
          <w:jc w:val="center"/>
        </w:trPr>
        <w:tc>
          <w:tcPr>
            <w:tcW w:w="9300" w:type="dxa"/>
            <w:gridSpan w:val="5"/>
            <w:tcBorders>
              <w:top w:val="single" w:sz="2" w:space="0" w:color="000000"/>
              <w:left w:val="single" w:sz="2" w:space="0" w:color="000000"/>
              <w:bottom w:val="single" w:sz="2" w:space="0" w:color="000000"/>
              <w:right w:val="single" w:sz="2" w:space="0" w:color="000000"/>
            </w:tcBorders>
            <w:vAlign w:val="center"/>
          </w:tcPr>
          <w:p w:rsidR="007D46DA" w:rsidRPr="000D4C00" w:rsidRDefault="007D46DA" w:rsidP="006B1499">
            <w:pPr>
              <w:autoSpaceDE w:val="0"/>
              <w:autoSpaceDN w:val="0"/>
              <w:adjustRightInd w:val="0"/>
              <w:rPr>
                <w:i/>
                <w:color w:val="000000"/>
              </w:rPr>
            </w:pPr>
            <w:r w:rsidRPr="000D4C00">
              <w:rPr>
                <w:i/>
                <w:color w:val="000000"/>
              </w:rPr>
              <w:t xml:space="preserve">Source: </w:t>
            </w:r>
            <w:r w:rsidRPr="000D4C00">
              <w:rPr>
                <w:i/>
              </w:rPr>
              <w:t xml:space="preserve">Legros et al. </w:t>
            </w:r>
            <w:r w:rsidR="00F7383F" w:rsidRPr="000D4C00">
              <w:rPr>
                <w:i/>
              </w:rPr>
              <w:fldChar w:fldCharType="begin"/>
            </w:r>
            <w:r>
              <w:rPr>
                <w:i/>
              </w:rPr>
              <w:instrText xml:space="preserve"> ADDIN ZOTERO_ITEM {"citationID":"IAkbHnXn","properties":{"formattedCitation":"(2009)","plainCitation":"(2009)"},"citationItems":[{"id":476,"uris":["http://zotero.org/groups/4482/items/KM4EHMDP"],"uri":["http://zotero.org/groups/4482/items/KM4EHMDP"],"suppress-author":true}]} </w:instrText>
            </w:r>
            <w:r w:rsidR="00F7383F" w:rsidRPr="000D4C00">
              <w:rPr>
                <w:i/>
              </w:rPr>
              <w:fldChar w:fldCharType="separate"/>
            </w:r>
            <w:r w:rsidRPr="00AA7B30">
              <w:rPr>
                <w:szCs w:val="21"/>
              </w:rPr>
              <w:t>(2009)</w:t>
            </w:r>
            <w:r w:rsidR="00F7383F" w:rsidRPr="000D4C00">
              <w:rPr>
                <w:i/>
              </w:rPr>
              <w:fldChar w:fldCharType="end"/>
            </w:r>
            <w:r w:rsidRPr="000D4C00">
              <w:rPr>
                <w:i/>
              </w:rPr>
              <w:t xml:space="preserve"> and International Energy Agency access to electricity database (</w:t>
            </w:r>
            <w:hyperlink r:id="rId43" w:history="1">
              <w:r w:rsidRPr="000D4C00">
                <w:rPr>
                  <w:rStyle w:val="Hyperlink"/>
                  <w:i/>
                </w:rPr>
                <w:t>http://www.iea.org/weo/electricity.asp</w:t>
              </w:r>
            </w:hyperlink>
            <w:r w:rsidRPr="000D4C00">
              <w:rPr>
                <w:i/>
              </w:rPr>
              <w:t>)</w:t>
            </w:r>
          </w:p>
        </w:tc>
      </w:tr>
    </w:tbl>
    <w:p w:rsidR="007D46DA" w:rsidRPr="00CA4EF3" w:rsidRDefault="007D46DA" w:rsidP="007D46DA">
      <w:pPr>
        <w:pStyle w:val="BodyText"/>
      </w:pPr>
    </w:p>
    <w:p w:rsidR="007D46DA" w:rsidRPr="00B40E6A" w:rsidRDefault="007D46DA" w:rsidP="007D46DA">
      <w:pPr>
        <w:pStyle w:val="Heading4"/>
      </w:pPr>
      <w:bookmarkStart w:id="51" w:name="_Toc199580846"/>
      <w:bookmarkStart w:id="52" w:name="_Toc200095272"/>
      <w:r>
        <w:t xml:space="preserve">2.3.1.4 </w:t>
      </w:r>
      <w:r w:rsidRPr="00B40E6A">
        <w:t>Information and Communication Technolog</w:t>
      </w:r>
      <w:r>
        <w:t>ies</w:t>
      </w:r>
      <w:bookmarkEnd w:id="51"/>
      <w:bookmarkEnd w:id="52"/>
    </w:p>
    <w:p w:rsidR="007D46DA" w:rsidRPr="00CA4EF3" w:rsidRDefault="007D46DA" w:rsidP="007D46DA">
      <w:r w:rsidRPr="00CA4EF3">
        <w:t>While the technology used to create and exchange information has changed considerably, the basic need to communicate has existed throughout history. From the earliest examples of cuneiform clay tablets and human couriers, to heliographs and semaphores, followed by the telegraph and radio, to the present era of global telecommunications and the internet, technology has transformed the speed, reach, and penetration of communication. In this section, we profile the current forms of information and communication technolog</w:t>
      </w:r>
      <w:r>
        <w:t>ies</w:t>
      </w:r>
      <w:r w:rsidRPr="00CA4EF3">
        <w:t xml:space="preserve"> (ICT), their historical diffusion, and the gaps therein.</w:t>
      </w:r>
    </w:p>
    <w:p w:rsidR="007D46DA" w:rsidRPr="00CA4EF3" w:rsidRDefault="007D46DA" w:rsidP="007D46DA"/>
    <w:p w:rsidR="007D46DA" w:rsidRPr="00CA4EF3" w:rsidRDefault="007D46DA" w:rsidP="007D46DA">
      <w:r w:rsidRPr="00CA4EF3">
        <w:t xml:space="preserve">ICT includes the hardware, software, networks, and media required to collect, store, process, transmit, and present information </w:t>
      </w:r>
      <w:r w:rsidR="00F7383F" w:rsidRPr="00CA4EF3">
        <w:fldChar w:fldCharType="begin"/>
      </w:r>
      <w:r>
        <w:instrText xml:space="preserve"> ADDIN ZOTERO_ITEM {"citationID":"27147ihmh","properties":{"formattedCitation":"(World Bank 2010)","plainCitation":"(World Bank 2010)"},"citationItems":[{"id":790,"uris":["http://zotero.org/groups/4482/items/JJT73VTA"],"uri":["http://zotero.org/groups/4482/items/JJT73VTA"]}]} </w:instrText>
      </w:r>
      <w:r w:rsidR="00F7383F" w:rsidRPr="00CA4EF3">
        <w:fldChar w:fldCharType="separate"/>
      </w:r>
      <w:r w:rsidRPr="00AA7B30">
        <w:rPr>
          <w:szCs w:val="21"/>
        </w:rPr>
        <w:t>(World Bank 2010)</w:t>
      </w:r>
      <w:r w:rsidR="00F7383F" w:rsidRPr="00CA4EF3">
        <w:fldChar w:fldCharType="end"/>
      </w:r>
      <w:r w:rsidRPr="00CA4EF3">
        <w:t xml:space="preserve">. </w:t>
      </w:r>
      <w:r>
        <w:t>ICT</w:t>
      </w:r>
      <w:r w:rsidRPr="00CA4EF3">
        <w:t xml:space="preserve"> has changed and grown more rapidly in recent years than any other infrastructure, with profound implications for other infrastructures, society, and human well</w:t>
      </w:r>
      <w:r>
        <w:t>-</w:t>
      </w:r>
      <w:r w:rsidRPr="00CA4EF3">
        <w:t xml:space="preserve">being </w:t>
      </w:r>
      <w:r w:rsidR="00F7383F" w:rsidRPr="00CA4EF3">
        <w:fldChar w:fldCharType="begin"/>
      </w:r>
      <w:r>
        <w:instrText xml:space="preserve"> ADDIN ZOTERO_ITEM {"citationID":"lcod1b81","properties":{"formattedCitation":"(Bohlin, Forge, and Blackman 2006)","plainCitation":"(Bohlin, Forge, and Blackman 2006)"},"citationItems":[{"id":1505,"uris":["http://zotero.org/groups/4482/items/PZFTZEIE"],"uri":["http://zotero.org/groups/4482/items/PZFTZEIE"]}]} </w:instrText>
      </w:r>
      <w:r w:rsidR="00F7383F" w:rsidRPr="00CA4EF3">
        <w:fldChar w:fldCharType="separate"/>
      </w:r>
      <w:r w:rsidRPr="00AA7B30">
        <w:rPr>
          <w:szCs w:val="21"/>
        </w:rPr>
        <w:t>(Bohlin, Forge, and Blackman 2006)</w:t>
      </w:r>
      <w:r w:rsidR="00F7383F" w:rsidRPr="00CA4EF3">
        <w:fldChar w:fldCharType="end"/>
      </w:r>
      <w:r w:rsidRPr="00CA4EF3">
        <w:t xml:space="preserve">. Modern ICT is often classified as either information technology (IT) or information and communication infrastructure (ICI) </w:t>
      </w:r>
      <w:fldSimple w:instr=" ADDIN ZOTERO_ITEM {&quot;citationID&quot;:&quot;iQZBiJzz&quot;,&quot;properties&quot;:{&quot;formattedCitation&quot;:&quot;(World Bank 2010)&quot;,&quot;plainCitation&quot;:&quot;(World Bank 2010)&quot;},&quot;citationItems&quot;:[{&quot;id&quot;:790,&quot;uris&quot;:[&quot;http://zotero.org/groups/4482/items/JJT73VTA&quot;],&quot;uri&quot;:[&quot;http://zotero.org/groups/4482/items/JJT73VTA&quot;]}]} ">
        <w:r w:rsidRPr="00AA7B30">
          <w:rPr>
            <w:szCs w:val="21"/>
          </w:rPr>
          <w:t>(World Bank 2010)</w:t>
        </w:r>
      </w:fldSimple>
      <w:r w:rsidRPr="00CA4EF3">
        <w:t xml:space="preserve">. The former consists of the hardware and software required for collecting, storing, processing, and presenting information, while the latter provides transmission services through physical telecommunication systems, networks, and related services. Some forms, like the internet and computer operating systems, </w:t>
      </w:r>
      <w:r>
        <w:t>defy simple categorization</w:t>
      </w:r>
      <w:r w:rsidRPr="00CA4EF3">
        <w:t xml:space="preserve"> </w:t>
      </w:r>
      <w:r w:rsidR="00F7383F" w:rsidRPr="00CA4EF3">
        <w:fldChar w:fldCharType="begin"/>
      </w:r>
      <w:r>
        <w:instrText xml:space="preserve"> ADDIN ZOTERO_ITEM {"citationID":"133hu6foi8","properties":{"formattedCitation":"(Zittrain 2006; Searls 2008)","plainCitation":"(Zittrain 2006; Searls 2008)"},"citationItems":[{"id":867,"uris":["http://zotero.org/groups/4482/items/PZPFNWBZ"],"uri":["http://zotero.org/groups/4482/items/PZPFNWBZ"],"label":"page"},{"id":953,"uris":["http://zotero.org/groups/4482/items/EWT2PJ2P"],"uri":["http://zotero.org/groups/4482/items/EWT2PJ2P"],"label":"page"}]} </w:instrText>
      </w:r>
      <w:r w:rsidR="00F7383F" w:rsidRPr="00CA4EF3">
        <w:fldChar w:fldCharType="separate"/>
      </w:r>
      <w:r w:rsidRPr="00AA7B30">
        <w:rPr>
          <w:szCs w:val="21"/>
        </w:rPr>
        <w:t>(Zittrain 2006; Searls 2008)</w:t>
      </w:r>
      <w:r w:rsidR="00F7383F" w:rsidRPr="00CA4EF3">
        <w:fldChar w:fldCharType="end"/>
      </w:r>
      <w:r w:rsidRPr="00CA4EF3">
        <w:t>.</w:t>
      </w:r>
    </w:p>
    <w:p w:rsidR="007D46DA" w:rsidRPr="00CA4EF3" w:rsidRDefault="007D46DA" w:rsidP="007D46DA"/>
    <w:p w:rsidR="007D46DA" w:rsidRDefault="007D46DA" w:rsidP="007D46DA">
      <w:r w:rsidRPr="00CA4EF3">
        <w:t>In previous studies of infrastructure, the most common quantitative measure of</w:t>
      </w:r>
      <w:r>
        <w:t xml:space="preserve"> </w:t>
      </w:r>
      <w:r w:rsidRPr="00CA4EF3">
        <w:t xml:space="preserve">ICT or telecommunications infrastructure has been the number of fixed telephone lines (see, for example, World Bank </w:t>
      </w:r>
      <w:r w:rsidR="00F7383F" w:rsidRPr="00CA4EF3">
        <w:fldChar w:fldCharType="begin"/>
      </w:r>
      <w:r>
        <w:instrText xml:space="preserve"> ADDIN ZOTERO_ITEM {"citationID":"DA5ZkX58","properties":{"formattedCitation":"(1994)","plainCitation":"(1994)"},"citationItems":[{"id":570,"uris":["http://zotero.org/groups/4482/items/SVRTWC5X"],"uri":["http://zotero.org/groups/4482/items/SVRTWC5X"],"suppress-author":true}]} </w:instrText>
      </w:r>
      <w:r w:rsidR="00F7383F" w:rsidRPr="00CA4EF3">
        <w:fldChar w:fldCharType="separate"/>
      </w:r>
      <w:r w:rsidRPr="00AA7B30">
        <w:rPr>
          <w:szCs w:val="21"/>
        </w:rPr>
        <w:t>(1994)</w:t>
      </w:r>
      <w:r w:rsidR="00F7383F" w:rsidRPr="00CA4EF3">
        <w:fldChar w:fldCharType="end"/>
      </w:r>
      <w:r w:rsidRPr="00CA4EF3">
        <w:t xml:space="preserve"> and Fay </w:t>
      </w:r>
      <w:r w:rsidR="00F7383F" w:rsidRPr="00CA4EF3">
        <w:fldChar w:fldCharType="begin"/>
      </w:r>
      <w:r>
        <w:instrText xml:space="preserve"> ADDIN ZOTERO_ITEM {"citationID":"c9gnc4xi","properties":{"formattedCitation":"(2001)","plainCitation":"(2001)"},"citationItems":[{"id":480,"uris":["http://zotero.org/groups/4482/items/KQS277CN"],"uri":["http://zotero.org/groups/4482/items/KQS277CN"],"suppress-author":true}]} </w:instrText>
      </w:r>
      <w:r w:rsidR="00F7383F" w:rsidRPr="00CA4EF3">
        <w:fldChar w:fldCharType="separate"/>
      </w:r>
      <w:r w:rsidRPr="00AA7B30">
        <w:rPr>
          <w:szCs w:val="21"/>
        </w:rPr>
        <w:t>(2001)</w:t>
      </w:r>
      <w:r w:rsidR="00F7383F" w:rsidRPr="00CA4EF3">
        <w:fldChar w:fldCharType="end"/>
      </w:r>
      <w:r w:rsidRPr="00CA4EF3">
        <w:t xml:space="preserve">. More recent studies have extended this to include mobile telephones and </w:t>
      </w:r>
      <w:r>
        <w:t xml:space="preserve">both wireless and fixed </w:t>
      </w:r>
      <w:r w:rsidRPr="00CA4EF3">
        <w:t xml:space="preserve">broadband technologies (see, for example, Bohlin, Forge, and Blackman </w:t>
      </w:r>
      <w:fldSimple w:instr=" ADDIN ZOTERO_ITEM {&quot;citationID&quot;:&quot;4gs7eoakn&quot;,&quot;properties&quot;:{&quot;formattedCitation&quot;:&quot;(2006)&quot;,&quot;plainCitation&quot;:&quot;(2006)&quot;},&quot;citationItems&quot;:[{&quot;id&quot;:1505,&quot;uris&quot;:[&quot;http://zotero.org/groups/4482/items/PZFTZEIE&quot;],&quot;uri&quot;:[&quot;http://zotero.org/groups/4482/items/PZFTZEIE&quot;],&quot;suppress-author&quot;:true}]} ">
        <w:r w:rsidRPr="00AA7B30">
          <w:rPr>
            <w:szCs w:val="21"/>
          </w:rPr>
          <w:t>(2006)</w:t>
        </w:r>
      </w:fldSimple>
      <w:r w:rsidRPr="00CA4EF3">
        <w:t xml:space="preserve"> and Bhattacharyay </w:t>
      </w:r>
      <w:fldSimple w:instr=" ADDIN ZOTERO_ITEM {&quot;citationID&quot;:&quot;2l17vj63be&quot;,&quot;properties&quot;:{&quot;formattedCitation&quot;:&quot;(2010)&quot;,&quot;plainCitation&quot;:&quot;(2010)&quot;},&quot;citationItems&quot;:[{&quot;id&quot;:1156,&quot;uris&quot;:[&quot;http://zotero.org/groups/4482/items/MQ3EDFBR&quot;],&quot;uri&quot;:[&quot;http://zotero.org/groups/4482/items/MQ3EDFBR&quot;],&quot;suppress-author&quot;:true}]} ">
        <w:r w:rsidRPr="00AA7B30">
          <w:rPr>
            <w:szCs w:val="21"/>
          </w:rPr>
          <w:t>(2010)</w:t>
        </w:r>
      </w:fldSimple>
      <w:r w:rsidRPr="00CA4EF3">
        <w:t>. Th</w:t>
      </w:r>
      <w:r>
        <w:t>ese</w:t>
      </w:r>
      <w:r w:rsidRPr="00CA4EF3">
        <w:t xml:space="preserve"> </w:t>
      </w:r>
      <w:r>
        <w:t xml:space="preserve">measures </w:t>
      </w:r>
      <w:r w:rsidRPr="00CA4EF3">
        <w:t xml:space="preserve">still fall far short of the range of indicators used by the World Summit on the Information Society (WSIS) and the corresponding Partnership on Measuring ICT for Development </w:t>
      </w:r>
      <w:fldSimple w:instr=" ADDIN ZOTERO_ITEM {&quot;citationID&quot;:&quot;pt5g2vef5&quot;,&quot;properties&quot;:{&quot;formattedCitation&quot;:&quot;(ITU 2010a)&quot;,&quot;plainCitation&quot;:&quot;(ITU 2010a)&quot;},&quot;citationItems&quot;:[{&quot;id&quot;:1419,&quot;uris&quot;:[&quot;http://zotero.org/groups/4482/items/R998UWAT&quot;],&quot;uri&quot;:[&quot;http://zotero.org/groups/4482/items/R998UWAT&quot;]}]} ">
        <w:r w:rsidRPr="00AA7B30">
          <w:rPr>
            <w:szCs w:val="21"/>
          </w:rPr>
          <w:t>(ITU 2010a)</w:t>
        </w:r>
      </w:fldSimple>
      <w:r w:rsidRPr="00CA4EF3">
        <w:t xml:space="preserve">. </w:t>
      </w:r>
      <w:r>
        <w:t>Nonetheless</w:t>
      </w:r>
      <w:r w:rsidRPr="00CA4EF3">
        <w:t xml:space="preserve">, this set </w:t>
      </w:r>
      <w:r>
        <w:t xml:space="preserve">of four measures </w:t>
      </w:r>
      <w:r w:rsidRPr="00CA4EF3">
        <w:t xml:space="preserve">is a </w:t>
      </w:r>
      <w:r>
        <w:t xml:space="preserve">far </w:t>
      </w:r>
      <w:r w:rsidRPr="00CA4EF3">
        <w:t xml:space="preserve">better reflection of ICT infrastructure than any single indicator, </w:t>
      </w:r>
      <w:r>
        <w:t xml:space="preserve">and is the set we used for this study as data are more available for its components than for other indicators. However, </w:t>
      </w:r>
      <w:r w:rsidRPr="00CA4EF3">
        <w:t>some important measurement issues remain (Box 2.</w:t>
      </w:r>
      <w:r>
        <w:t>5</w:t>
      </w:r>
      <w:r w:rsidRPr="00CA4EF3">
        <w:t>).</w:t>
      </w:r>
    </w:p>
    <w:p w:rsidR="007D46DA" w:rsidRPr="00CA4EF3" w:rsidRDefault="007D46DA" w:rsidP="007D46DA"/>
    <w:p w:rsidR="007D46DA" w:rsidRDefault="007D46DA" w:rsidP="007D46DA">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7305C1">
        <w:rPr>
          <w:b/>
        </w:rPr>
        <w:t>Box 2.</w:t>
      </w:r>
      <w:r>
        <w:rPr>
          <w:b/>
        </w:rPr>
        <w:t>5</w:t>
      </w:r>
      <w:r w:rsidRPr="007305C1">
        <w:rPr>
          <w:b/>
        </w:rPr>
        <w:t xml:space="preserve"> Measuring </w:t>
      </w:r>
      <w:r>
        <w:rPr>
          <w:b/>
        </w:rPr>
        <w:t>ICT infrastructure</w:t>
      </w:r>
    </w:p>
    <w:p w:rsidR="007D46DA" w:rsidRDefault="007D46DA" w:rsidP="007D46DA">
      <w:pPr>
        <w:pBdr>
          <w:top w:val="single" w:sz="4" w:space="1" w:color="auto"/>
          <w:left w:val="single" w:sz="4" w:space="4" w:color="auto"/>
          <w:bottom w:val="single" w:sz="4" w:space="1" w:color="auto"/>
          <w:right w:val="single" w:sz="4" w:space="4" w:color="auto"/>
        </w:pBdr>
        <w:shd w:val="clear" w:color="auto" w:fill="D9D9D9" w:themeFill="background1" w:themeFillShade="D9"/>
      </w:pPr>
      <w:r>
        <w:t>The measurement of ICT infrastructure is an evolving field, reflecting the rapid evolution of the technologies themselves. Therefore, more than is the case with other forms of infrastructure, it is important to be clear on what indicators actually measure. This is illustrated most clearly by looking at the indicators for mobile phone and mobile broadband penetration.</w:t>
      </w:r>
    </w:p>
    <w:p w:rsidR="007D46DA" w:rsidRDefault="007D46DA" w:rsidP="007D46DA">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7D46DA" w:rsidRDefault="007D46DA" w:rsidP="007D46DA">
      <w:pPr>
        <w:pBdr>
          <w:top w:val="single" w:sz="4" w:space="1" w:color="auto"/>
          <w:left w:val="single" w:sz="4" w:space="4" w:color="auto"/>
          <w:bottom w:val="single" w:sz="4" w:space="1" w:color="auto"/>
          <w:right w:val="single" w:sz="4" w:space="4" w:color="auto"/>
        </w:pBdr>
        <w:shd w:val="clear" w:color="auto" w:fill="D9D9D9" w:themeFill="background1" w:themeFillShade="D9"/>
      </w:pPr>
      <w:r>
        <w:t>While the standard measure for mobile phone penetration is subscriptions per 100 persons, it is possible for an individual to have more than one subscription. Persons may have separate phones for work and personal life, frequent travelers may have multiple subscriptions to avoid high roaming charges when abroad, and still others may have multiple subscriptions to enjoy better coverage across geographic areas. A more appropriate measure of coverage uses survey data to derive the percentage of households with a mobile phone, but it is not widely reported by the International Telecommunication Union, the primary source for ICT data</w:t>
      </w:r>
    </w:p>
    <w:p w:rsidR="007D46DA" w:rsidRDefault="007D46DA" w:rsidP="007D46DA">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7D46DA" w:rsidRDefault="007D46DA" w:rsidP="007D46DA">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3442E2">
        <w:t>A</w:t>
      </w:r>
      <w:r>
        <w:t>ccordingly,</w:t>
      </w:r>
      <w:r w:rsidRPr="003442E2">
        <w:t xml:space="preserve"> </w:t>
      </w:r>
      <w:r>
        <w:t xml:space="preserve">the </w:t>
      </w:r>
      <w:r w:rsidRPr="003442E2">
        <w:t xml:space="preserve">question </w:t>
      </w:r>
      <w:r>
        <w:t xml:space="preserve">remains </w:t>
      </w:r>
      <w:r w:rsidRPr="003442E2">
        <w:t>around the upper limit, or saturation point for th</w:t>
      </w:r>
      <w:r>
        <w:t>e standard</w:t>
      </w:r>
      <w:r w:rsidRPr="003442E2">
        <w:t xml:space="preserve"> indicator. At the turn of the century, the rates of mobile phone adoption began to slow among early adopters, such as Sweden, Norway, Denmark and Finland, and a point of saturation was appearing, somewhere above one mobile phone per person. Other countries, (e.g.</w:t>
      </w:r>
      <w:r>
        <w:t>,</w:t>
      </w:r>
      <w:r w:rsidRPr="003442E2">
        <w:t xml:space="preserve"> Italy</w:t>
      </w:r>
      <w:r>
        <w:t xml:space="preserve"> and the UAE</w:t>
      </w:r>
      <w:r w:rsidRPr="003442E2">
        <w:t xml:space="preserve">), show higher overall levels of mobile phone subscriptions, with an upper end of </w:t>
      </w:r>
      <w:r>
        <w:t>more than two</w:t>
      </w:r>
      <w:r w:rsidRPr="003442E2">
        <w:t xml:space="preserve"> s</w:t>
      </w:r>
      <w:r>
        <w:t>ubscriptions for every one resident</w:t>
      </w:r>
      <w:r w:rsidRPr="003442E2">
        <w:t>.</w:t>
      </w:r>
      <w:r>
        <w:t xml:space="preserve"> Until data-reporting improves, the uncertainty surrounding non-duplicative mobile phone penetration will continue. </w:t>
      </w:r>
    </w:p>
    <w:p w:rsidR="007D46DA" w:rsidRDefault="007D46DA" w:rsidP="007D46DA">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7D46DA" w:rsidRPr="007305C1" w:rsidRDefault="007D46DA" w:rsidP="007D46DA">
      <w:pPr>
        <w:pBdr>
          <w:top w:val="single" w:sz="4" w:space="1" w:color="auto"/>
          <w:left w:val="single" w:sz="4" w:space="4" w:color="auto"/>
          <w:bottom w:val="single" w:sz="4" w:space="1" w:color="auto"/>
          <w:right w:val="single" w:sz="4" w:space="4" w:color="auto"/>
        </w:pBdr>
        <w:shd w:val="clear" w:color="auto" w:fill="D9D9D9" w:themeFill="background1" w:themeFillShade="D9"/>
      </w:pPr>
      <w:r>
        <w:t xml:space="preserve">For mobile broadband penetration, we use the ITU’s indicator: </w:t>
      </w:r>
      <w:r w:rsidRPr="00C9030A">
        <w:rPr>
          <w:i/>
        </w:rPr>
        <w:t>Mobile cellular subscriptions with access to data communication at broad</w:t>
      </w:r>
      <w:r>
        <w:rPr>
          <w:i/>
        </w:rPr>
        <w:t xml:space="preserve">band speed per 100 inhabitants </w:t>
      </w:r>
      <w:r w:rsidRPr="00C9030A">
        <w:rPr>
          <w:i/>
        </w:rPr>
        <w:t>(I911_MB)</w:t>
      </w:r>
      <w:r w:rsidRPr="007E33AA">
        <w:t xml:space="preserve">. </w:t>
      </w:r>
      <w:r>
        <w:t xml:space="preserve">As the description connotes, the indicator measures the </w:t>
      </w:r>
      <w:r w:rsidRPr="00A55F0E">
        <w:rPr>
          <w:i/>
        </w:rPr>
        <w:t>potential</w:t>
      </w:r>
      <w:r>
        <w:t xml:space="preserve"> for broadband access, not active subscriptions or users. The ITU subsequently retired the indicator in the 2011 release and implemented a new subset of indicators measuring active mobile broadband subscriptions. While these new indicators are arguably more accurate, historical data are extremely limited.  We are continuing to use the legacy indicator until data quality for the new measure improves.</w:t>
      </w:r>
    </w:p>
    <w:p w:rsidR="007D46DA" w:rsidRPr="00CA4EF3" w:rsidRDefault="007D46DA" w:rsidP="007D46DA"/>
    <w:p w:rsidR="007D46DA" w:rsidRDefault="007D46DA" w:rsidP="007D46DA">
      <w:r w:rsidRPr="00CA4EF3">
        <w:t xml:space="preserve">We </w:t>
      </w:r>
      <w:r>
        <w:t xml:space="preserve">follow the general practice of </w:t>
      </w:r>
      <w:r w:rsidRPr="00CA4EF3">
        <w:t>conceptualiz</w:t>
      </w:r>
      <w:r>
        <w:t>ing</w:t>
      </w:r>
      <w:r w:rsidRPr="00CA4EF3">
        <w:t xml:space="preserve"> ICT infrastructure along three dimensions. The first is between unidirectional </w:t>
      </w:r>
      <w:r>
        <w:t>(e.g.,</w:t>
      </w:r>
      <w:r w:rsidRPr="00CA4EF3">
        <w:t xml:space="preserve"> pure broadcast</w:t>
      </w:r>
      <w:r>
        <w:t>)</w:t>
      </w:r>
      <w:r w:rsidRPr="00CA4EF3">
        <w:t xml:space="preserve"> and bidirectional transmissions. The second concerns the physical means of transport, usually separated into either fixed-line or wireless technologies. Finally, the information or content provided can be separated into either voice or multimedia, which can include data, video, and also voice.</w:t>
      </w:r>
      <w:r w:rsidRPr="000E4C4E">
        <w:rPr>
          <w:rStyle w:val="FootnoteReference"/>
        </w:rPr>
        <w:footnoteReference w:id="21"/>
      </w:r>
      <w:r w:rsidRPr="00CA4EF3">
        <w:t xml:space="preserve"> Most modern and future ICT will be bidirectional. This still leaves us with four possible combinations based on the second and third categories, giving us four measures that count access to differing services over distinct infrastructures (</w:t>
      </w:r>
      <w:r w:rsidRPr="008450FB">
        <w:t>Figure 2.</w:t>
      </w:r>
      <w:r>
        <w:t>10</w:t>
      </w:r>
      <w:r w:rsidRPr="008450FB">
        <w:t>)</w:t>
      </w:r>
      <w:r>
        <w:t>.</w:t>
      </w:r>
    </w:p>
    <w:p w:rsidR="007D46DA" w:rsidRPr="00CA4EF3" w:rsidRDefault="007D46DA" w:rsidP="007D46DA"/>
    <w:p w:rsidR="007D46DA" w:rsidRPr="00CA4EF3" w:rsidRDefault="00F7383F" w:rsidP="007D46DA">
      <w:r>
        <w:rPr>
          <w:noProof/>
        </w:rPr>
        <w:pict>
          <v:shapetype id="_x0000_t202" coordsize="21600,21600" o:spt="202" path="m0,0l0,21600,21600,21600,21600,0xe">
            <v:stroke joinstyle="miter"/>
            <v:path gradientshapeok="t" o:connecttype="rect"/>
          </v:shapetype>
          <v:shape id="Text Box 2" o:spid="_x0000_s1026" type="#_x0000_t202" style="position:absolute;margin-left:151.9pt;margin-top:4.75pt;width:167.8pt;height:129.6pt;z-index:2516633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" stroked="f">
            <v:fill opacity="0"/>
            <v:textbox style="mso-next-textbox:#Text Box 2;mso-fit-shape-to-text:t">
              <w:txbxContent>
                <w:p w:rsidR="002C11AA" w:rsidRPr="007E486B" w:rsidRDefault="002C11AA" w:rsidP="007D46DA">
                  <w:pPr>
                    <w:jc w:val="center"/>
                    <w:rPr>
                      <w:rFonts w:asciiTheme="minorHAnsi" w:hAnsiTheme="minorHAnsi" w:cstheme="minorHAnsi"/>
                    </w:rPr>
                  </w:pPr>
                  <w:r>
                    <w:rPr>
                      <w:rFonts w:asciiTheme="minorHAnsi" w:hAnsiTheme="minorHAnsi" w:cstheme="minorHAnsi"/>
                    </w:rPr>
                    <w:t>Wireless infrastructure</w:t>
                  </w:r>
                </w:p>
              </w:txbxContent>
            </v:textbox>
          </v:shape>
        </w:pict>
      </w:r>
      <w:r>
        <w:rPr>
          <w:noProof/>
        </w:rPr>
        <w:pict>
          <v:shape id="_x0000_s1027" type="#_x0000_t202" style="position:absolute;margin-left:151.9pt;margin-top:234.8pt;width:167.8pt;height:129.6pt;z-index:2516643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" stroked="f">
            <v:fill opacity="0"/>
            <v:textbox style="mso-next-textbox:#_x0000_s1027;mso-fit-shape-to-text:t">
              <w:txbxContent>
                <w:p w:rsidR="002C11AA" w:rsidRPr="007E486B" w:rsidRDefault="002C11AA" w:rsidP="007D46DA">
                  <w:pPr>
                    <w:jc w:val="center"/>
                    <w:rPr>
                      <w:rFonts w:asciiTheme="minorHAnsi" w:hAnsiTheme="minorHAnsi" w:cstheme="minorHAnsi"/>
                    </w:rPr>
                  </w:pPr>
                  <w:r>
                    <w:rPr>
                      <w:rFonts w:asciiTheme="minorHAnsi" w:hAnsiTheme="minorHAnsi" w:cstheme="minorHAnsi"/>
                    </w:rPr>
                    <w:t>Fixed-line infrastructure</w:t>
                  </w:r>
                </w:p>
              </w:txbxContent>
            </v:textbox>
          </v:shape>
        </w:pict>
      </w:r>
      <w:r>
        <w:rPr>
          <w:noProof/>
        </w:rPr>
        <w:pict>
          <v:shape id="_x0000_s1029" type="#_x0000_t202" style="position:absolute;margin-left:12pt;margin-top:113pt;width:96.35pt;height:129.2pt;z-index:2516664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" stroked="f">
            <v:fill opacity="0"/>
            <v:textbox style="mso-next-textbox:#_x0000_s1029;mso-fit-shape-to-text:t">
              <w:txbxContent>
                <w:p w:rsidR="002C11AA" w:rsidRPr="007E486B" w:rsidRDefault="002C11AA" w:rsidP="007D46DA">
                  <w:pPr>
                    <w:jc w:val="center"/>
                    <w:rPr>
                      <w:rFonts w:asciiTheme="minorHAnsi" w:hAnsiTheme="minorHAnsi" w:cstheme="minorHAnsi"/>
                    </w:rPr>
                  </w:pPr>
                  <w:r>
                    <w:rPr>
                      <w:rFonts w:asciiTheme="minorHAnsi" w:hAnsiTheme="minorHAnsi" w:cstheme="minorHAnsi"/>
                    </w:rPr>
                    <w:t>Voice-only service</w:t>
                  </w:r>
                </w:p>
              </w:txbxContent>
            </v:textbox>
          </v:shape>
        </w:pict>
      </w:r>
      <w:r>
        <w:rPr>
          <w:noProof/>
        </w:rPr>
        <w:pict>
          <v:shape id="_x0000_s1028" type="#_x0000_t202" style="position:absolute;margin-left:366.1pt;margin-top:116.9pt;width:96.4pt;height:129.6pt;z-index:25166540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" stroked="f">
            <v:fill opacity="0"/>
            <v:textbox style="mso-next-textbox:#_x0000_s1028;mso-fit-shape-to-text:t">
              <w:txbxContent>
                <w:p w:rsidR="002C11AA" w:rsidRPr="007E486B" w:rsidRDefault="002C11AA" w:rsidP="007D46DA">
                  <w:pPr>
                    <w:jc w:val="center"/>
                    <w:rPr>
                      <w:rFonts w:asciiTheme="minorHAnsi" w:hAnsiTheme="minorHAnsi" w:cstheme="minorHAnsi"/>
                    </w:rPr>
                  </w:pPr>
                  <w:r>
                    <w:rPr>
                      <w:rFonts w:asciiTheme="minorHAnsi" w:hAnsiTheme="minorHAnsi" w:cstheme="minorHAnsi"/>
                    </w:rPr>
                    <w:t>Multimedia services</w:t>
                  </w:r>
                </w:p>
              </w:txbxContent>
            </v:textbox>
          </v:shape>
        </w:pict>
      </w:r>
      <w:r w:rsidR="007D46DA" w:rsidRPr="00CA4EF3">
        <w:rPr>
          <w:noProof/>
        </w:rPr>
        <w:drawing>
          <wp:inline distT="0" distB="0" distL="0" distR="0">
            <wp:extent cx="5943600" cy="3315418"/>
            <wp:effectExtent l="25400" t="0" r="0" b="0"/>
            <wp:docPr id="21" name="Diagram 7"/>
            <wp:cNvGraphicFramePr/>
            <a:graphic xmlns:a="http://schemas.openxmlformats.org/drawingml/2006/main">
              <a:graphicData uri="http://schemas.openxmlformats.org/drawingml/2006/diagram">
                <a:relIds xmlns:dgm="http://schemas.openxmlformats.org/drawingml/2006/diagram" xmlns:r="http://schemas.openxmlformats.org/officeDocument/2006/relationships" r:dm="rId44" r:lo="rId45" r:qs="rId46" r:cs="rId47"/>
              </a:graphicData>
            </a:graphic>
          </wp:inline>
        </w:drawing>
      </w:r>
    </w:p>
    <w:p w:rsidR="007D46DA" w:rsidRPr="008450FB" w:rsidRDefault="007D46DA" w:rsidP="007D46DA">
      <w:pPr>
        <w:rPr>
          <w:b/>
        </w:rPr>
      </w:pPr>
      <w:r w:rsidRPr="008450FB">
        <w:rPr>
          <w:b/>
        </w:rPr>
        <w:t>Figure 2.</w:t>
      </w:r>
      <w:r>
        <w:rPr>
          <w:b/>
        </w:rPr>
        <w:t xml:space="preserve">10 </w:t>
      </w:r>
      <w:r w:rsidRPr="008450FB">
        <w:rPr>
          <w:b/>
        </w:rPr>
        <w:t xml:space="preserve">Key </w:t>
      </w:r>
      <w:r>
        <w:rPr>
          <w:b/>
        </w:rPr>
        <w:t>dimensions</w:t>
      </w:r>
      <w:r w:rsidRPr="008450FB">
        <w:rPr>
          <w:b/>
        </w:rPr>
        <w:t xml:space="preserve"> of ICT </w:t>
      </w:r>
      <w:r>
        <w:rPr>
          <w:b/>
        </w:rPr>
        <w:t>i</w:t>
      </w:r>
      <w:r w:rsidRPr="008450FB">
        <w:rPr>
          <w:b/>
        </w:rPr>
        <w:t>nfrastructure</w:t>
      </w:r>
    </w:p>
    <w:p w:rsidR="007D46DA" w:rsidRPr="00D212E4" w:rsidRDefault="007D46DA" w:rsidP="007D46DA">
      <w:pPr>
        <w:rPr>
          <w:i/>
        </w:rPr>
      </w:pPr>
      <w:r w:rsidRPr="00726638">
        <w:rPr>
          <w:i/>
        </w:rPr>
        <w:t>Source: Created by authors.</w:t>
      </w:r>
    </w:p>
    <w:p w:rsidR="007D46DA" w:rsidRPr="00CA4EF3" w:rsidRDefault="007D46DA" w:rsidP="007D46DA"/>
    <w:p w:rsidR="007D46DA" w:rsidRDefault="007D46DA" w:rsidP="007D46DA">
      <w:r w:rsidRPr="008450FB">
        <w:t>Figure 2.</w:t>
      </w:r>
      <w:r>
        <w:t>11</w:t>
      </w:r>
      <w:r w:rsidRPr="00CA4EF3">
        <w:t xml:space="preserve"> shows the trend for our four ICT access indicators</w:t>
      </w:r>
      <w:r>
        <w:t xml:space="preserve"> at a global level</w:t>
      </w:r>
      <w:r w:rsidRPr="00CA4EF3">
        <w:t xml:space="preserve"> dating back to 1975</w:t>
      </w:r>
      <w:r>
        <w:t xml:space="preserve">, and </w:t>
      </w:r>
      <w:r w:rsidRPr="00CA4EF3">
        <w:t>highlights the relatively recent introduction of technologies other than fixed telephones</w:t>
      </w:r>
      <w:r>
        <w:t xml:space="preserve"> and </w:t>
      </w:r>
      <w:r w:rsidRPr="00CA4EF3">
        <w:t>their</w:t>
      </w:r>
      <w:r>
        <w:t xml:space="preserve"> accelerated </w:t>
      </w:r>
      <w:r w:rsidRPr="00CA4EF3">
        <w:t xml:space="preserve">growth patterns. It also highlights the beginning of what appears to be a trend toward divestment in fixed telephones </w:t>
      </w:r>
      <w:r>
        <w:t>and their</w:t>
      </w:r>
      <w:r w:rsidRPr="00CA4EF3">
        <w:t xml:space="preserve"> replace</w:t>
      </w:r>
      <w:r>
        <w:t xml:space="preserve">ment </w:t>
      </w:r>
      <w:r w:rsidRPr="00CA4EF3">
        <w:t>by other technologies</w:t>
      </w:r>
      <w:r>
        <w:t>.</w:t>
      </w:r>
    </w:p>
    <w:p w:rsidR="007D46DA" w:rsidRPr="00CA4EF3" w:rsidRDefault="007D46DA" w:rsidP="007D46DA"/>
    <w:p w:rsidR="007D46DA" w:rsidRPr="00CA4EF3" w:rsidRDefault="007D46DA" w:rsidP="007D46DA">
      <w:r w:rsidRPr="00CA4EF3">
        <w:t xml:space="preserve"> </w:t>
      </w:r>
    </w:p>
    <w:p w:rsidR="007D46DA" w:rsidRPr="00CA4EF3" w:rsidRDefault="007D46DA" w:rsidP="007D46DA">
      <w:pPr>
        <w:rPr>
          <w:b/>
        </w:rPr>
      </w:pPr>
      <w:r>
        <w:rPr>
          <w:noProof/>
        </w:rPr>
        <w:drawing>
          <wp:anchor distT="0" distB="0" distL="114300" distR="114300" simplePos="0" relativeHeight="251670528" behindDoc="0" locked="0" layoutInCell="1" allowOverlap="1">
            <wp:simplePos x="0" y="0"/>
            <wp:positionH relativeFrom="column">
              <wp:posOffset>24130</wp:posOffset>
            </wp:positionH>
            <wp:positionV relativeFrom="paragraph">
              <wp:posOffset>36195</wp:posOffset>
            </wp:positionV>
            <wp:extent cx="5961380" cy="3791585"/>
            <wp:effectExtent l="25400" t="25400" r="7620" b="0"/>
            <wp:wrapTopAndBottom/>
            <wp:docPr id="42" name="C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Pr="00CA4EF3">
        <w:rPr>
          <w:b/>
        </w:rPr>
        <w:t>Figure 2.</w:t>
      </w:r>
      <w:r>
        <w:rPr>
          <w:b/>
        </w:rPr>
        <w:t>11</w:t>
      </w:r>
      <w:r w:rsidRPr="00CA4EF3">
        <w:rPr>
          <w:b/>
        </w:rPr>
        <w:t xml:space="preserve"> World total of lines and subscriptions per 100 persons by ICT</w:t>
      </w:r>
      <w:r>
        <w:rPr>
          <w:b/>
        </w:rPr>
        <w:t xml:space="preserve"> type (1975-2010)</w:t>
      </w:r>
    </w:p>
    <w:p w:rsidR="007D46DA" w:rsidRPr="00827E72" w:rsidRDefault="007D46DA" w:rsidP="007D46DA">
      <w:r w:rsidRPr="001C428D">
        <w:rPr>
          <w:i/>
        </w:rPr>
        <w:t>Source:</w:t>
      </w:r>
      <w:r w:rsidRPr="001C428D">
        <w:t xml:space="preserve"> </w:t>
      </w:r>
      <w:r w:rsidRPr="001C428D">
        <w:rPr>
          <w:i/>
        </w:rPr>
        <w:t>ITU 2011</w:t>
      </w:r>
    </w:p>
    <w:p w:rsidR="007D46DA" w:rsidRDefault="007D46DA" w:rsidP="007D46DA"/>
    <w:p w:rsidR="007D46DA" w:rsidRDefault="007D46DA" w:rsidP="007D46DA">
      <w:r w:rsidRPr="00CA4EF3">
        <w:t>O</w:t>
      </w:r>
      <w:r>
        <w:t xml:space="preserve">f </w:t>
      </w:r>
      <w:r w:rsidRPr="00CA4EF3">
        <w:t>course, these summary trends mask considerable regional and economic differences</w:t>
      </w:r>
      <w:r>
        <w:t>,</w:t>
      </w:r>
      <w:r w:rsidRPr="00CA4EF3">
        <w:t xml:space="preserve"> which warrant a closer look.</w:t>
      </w:r>
      <w:r>
        <w:t xml:space="preserve"> The next several figures look at each form of ICT infrastructure in turn, both by region and by income class. We begin with fixed-line telephones.</w:t>
      </w:r>
    </w:p>
    <w:p w:rsidR="007D46DA" w:rsidRPr="00CA4EF3" w:rsidRDefault="007D46DA" w:rsidP="007D46DA"/>
    <w:p w:rsidR="007D46DA" w:rsidRPr="00CA4EF3" w:rsidRDefault="007D46DA" w:rsidP="007D46DA">
      <w:r w:rsidRPr="00CA4EF3">
        <w:t xml:space="preserve">The International Telecommunication Union defines fixed-line telephones as the traditional devices connected to the public switched telephone network providing voice communication. They also support dial-up data access (i.e. narrowband) to various providers and the internet, but this is quite distinct from a digital subscriber line (DSL) broadband connection, which is included in our measure of fixed-line broadband. </w:t>
      </w:r>
      <w:r>
        <w:t>T</w:t>
      </w:r>
      <w:r w:rsidRPr="00CA4EF3">
        <w:t>he recent trend of slowing growth and then declines in fixed-line telephony is not limited to high-income countries</w:t>
      </w:r>
      <w:r>
        <w:t xml:space="preserve"> (Figure 2.12)</w:t>
      </w:r>
      <w:r w:rsidRPr="00CA4EF3">
        <w:t>. For example, between 2005 and 2010</w:t>
      </w:r>
      <w:r>
        <w:t>,</w:t>
      </w:r>
      <w:r w:rsidRPr="00CA4EF3">
        <w:t xml:space="preserve"> Finland, South Korea, and Japan reduced the number of fixed-lines per 100 persons by an average of almost 15.5 lines. </w:t>
      </w:r>
      <w:r>
        <w:t>I</w:t>
      </w:r>
      <w:r w:rsidRPr="00CA4EF3">
        <w:t>n Turkey, China, and Macedonia</w:t>
      </w:r>
      <w:r>
        <w:t>, this value</w:t>
      </w:r>
      <w:r w:rsidRPr="00CA4EF3">
        <w:t xml:space="preserve"> declined by an average of 5.7 lines </w:t>
      </w:r>
      <w:r>
        <w:t>over</w:t>
      </w:r>
      <w:r w:rsidRPr="00CA4EF3">
        <w:t xml:space="preserve"> the same period. Overall, only about half of the countries with data showed an increase in the number of fixed-line telephones per 100 persons between 2005 and 2010. In the countries</w:t>
      </w:r>
      <w:r>
        <w:t xml:space="preserve"> with least fixed-line coverage</w:t>
      </w:r>
      <w:r w:rsidRPr="00CA4EF3">
        <w:t xml:space="preserve">, </w:t>
      </w:r>
      <w:r>
        <w:t xml:space="preserve">future </w:t>
      </w:r>
      <w:r w:rsidRPr="00CA4EF3">
        <w:t xml:space="preserve">growth is not </w:t>
      </w:r>
      <w:r>
        <w:t>foreseen</w:t>
      </w:r>
      <w:r w:rsidRPr="00CA4EF3">
        <w:t xml:space="preserve">, as </w:t>
      </w:r>
      <w:r>
        <w:t xml:space="preserve">these </w:t>
      </w:r>
      <w:r w:rsidRPr="00CA4EF3">
        <w:t>countries are expected to leap</w:t>
      </w:r>
      <w:r>
        <w:t>-</w:t>
      </w:r>
      <w:r w:rsidRPr="00CA4EF3">
        <w:t xml:space="preserve">frog directly to mobile telephony </w:t>
      </w:r>
      <w:r w:rsidR="00F7383F" w:rsidRPr="00CA4EF3">
        <w:fldChar w:fldCharType="begin"/>
      </w:r>
      <w:r>
        <w:instrText xml:space="preserve"> ADDIN ZOTERO_ITEM {"citationID":"79voi8drg","properties":{"formattedCitation":"(Daga, Manuel, and Narasimhan 2010; James 2009)","plainCitation":"(Daga, Manuel, and Narasimhan 2010; James 2009)"},"citationItems":[{"id":770,"uris":["http://zotero.org/groups/4482/items/4UPEZ9GD"],"uri":["http://zotero.org/groups/4482/items/4UPEZ9GD"],"label":"page"},{"id":1383,"uris":["http://zotero.org/groups/4482/items/2Z9UVZTD"],"uri":["http://zotero.org/groups/4482/items/2Z9UVZTD"],"label":"page"}]} </w:instrText>
      </w:r>
      <w:r w:rsidR="00F7383F" w:rsidRPr="00CA4EF3">
        <w:fldChar w:fldCharType="separate"/>
      </w:r>
      <w:r w:rsidRPr="00AA7B30">
        <w:rPr>
          <w:szCs w:val="21"/>
        </w:rPr>
        <w:t>(Daga, Manuel, and Narasimhan 2010; James 2009)</w:t>
      </w:r>
      <w:r w:rsidR="00F7383F" w:rsidRPr="00CA4EF3">
        <w:fldChar w:fldCharType="end"/>
      </w:r>
      <w:r w:rsidRPr="00CA4EF3">
        <w:t>.</w:t>
      </w:r>
    </w:p>
    <w:p w:rsidR="007D46DA" w:rsidRPr="00CA4EF3" w:rsidRDefault="007D46DA" w:rsidP="007D46DA"/>
    <w:p w:rsidR="007D46DA" w:rsidRDefault="007D46DA" w:rsidP="007D46DA">
      <w:r w:rsidRPr="00CA4EF3">
        <w:t xml:space="preserve">While the competitive pressures from mobile and broadband continue, the </w:t>
      </w:r>
      <w:r>
        <w:t>complete</w:t>
      </w:r>
      <w:r w:rsidRPr="00CA4EF3">
        <w:t xml:space="preserve"> demise of the traditional telephone is far from certain.</w:t>
      </w:r>
      <w:r>
        <w:t xml:space="preserve"> Future </w:t>
      </w:r>
      <w:r w:rsidRPr="00CA4EF3">
        <w:t>changes in technology will most likely bear the most influence. The effects of convergence and ubiquitous broadband continue to blur the distinction between telephony and the myriad of other services</w:t>
      </w:r>
      <w:r>
        <w:t xml:space="preserve"> as traditional telephony infrastructure gives way to broadband based, internet protocol communications. Because </w:t>
      </w:r>
      <w:r w:rsidRPr="00CA4EF3">
        <w:t>technological change is an uneven process globally, we expect significant inter-country variation for the foreseeable future. Ultimately, not unlike integrated services digital network lines</w:t>
      </w:r>
      <w:r>
        <w:t xml:space="preserve"> (</w:t>
      </w:r>
      <w:r w:rsidRPr="00CA4EF3">
        <w:t>a forerunner of DSL broadband technology</w:t>
      </w:r>
      <w:r>
        <w:t>)</w:t>
      </w:r>
      <w:r w:rsidRPr="00CA4EF3">
        <w:t xml:space="preserve">, some residual amount </w:t>
      </w:r>
      <w:r>
        <w:t xml:space="preserve">of fixed-line telephony </w:t>
      </w:r>
      <w:r w:rsidRPr="00CA4EF3">
        <w:t xml:space="preserve">may persist indefinitely </w:t>
      </w:r>
      <w:r w:rsidR="00F7383F">
        <w:fldChar w:fldCharType="begin"/>
      </w:r>
      <w:r>
        <w:instrText xml:space="preserve"> ADDIN ZOTERO_ITEM {"citationID":"1rjgpsi0gm","properties":{"formattedCitation":"(Organisation for Economic Cooperation and Development (OECD) 2011)","plainCitation":"(Organisation for Economic Cooperation and Development (OECD) 2011)"},"citationItems":[{"id":1402,"uris":["http://zotero.org/groups/4482/items/CRVV2TE5"],"uri":["http://zotero.org/groups/4482/items/CRVV2TE5"]}]} </w:instrText>
      </w:r>
      <w:r w:rsidR="00F7383F">
        <w:fldChar w:fldCharType="separate"/>
      </w:r>
      <w:r w:rsidRPr="00B64F25">
        <w:rPr>
          <w:szCs w:val="21"/>
        </w:rPr>
        <w:t>(Organisation for Economic Cooperation and Development (OECD) 2011)</w:t>
      </w:r>
      <w:r w:rsidR="00F7383F">
        <w:fldChar w:fldCharType="end"/>
      </w:r>
      <w:r w:rsidRPr="00CA4EF3">
        <w:t>.</w:t>
      </w:r>
    </w:p>
    <w:p w:rsidR="007D46DA" w:rsidRPr="00CA4EF3" w:rsidRDefault="007D46DA" w:rsidP="007D46DA"/>
    <w:p w:rsidR="007D46DA" w:rsidRDefault="007D46DA" w:rsidP="007D46DA">
      <w:r w:rsidRPr="00CA4EF3">
        <w:t xml:space="preserve">The stagnation and decline in fixed-line telephony is obviously being driven in large part by the revolution over the past two decades in the diffusion of the mobile telephone. </w:t>
      </w:r>
      <w:r>
        <w:t>G</w:t>
      </w:r>
      <w:r w:rsidRPr="00CA4EF3">
        <w:t>lobal subscription rates grew from effectively zero in 1990 to 77 for every 100 persons in 2010, equating to nearly 5.3 billion subscriptions</w:t>
      </w:r>
      <w:r>
        <w:t xml:space="preserve"> (Figure 2.13)</w:t>
      </w:r>
      <w:r w:rsidRPr="00CA4EF3">
        <w:t>. While the high-income countries enjoyed an early start, penetration in the developing regions continues to grow rapidly, with the rate of penetration in the developing countries in Europe and Central Asia surpassing that seen in the high-income countries in recent years. Still, gaps remain in both the level of diffusion and apparent growth rates between the highest and lowest performers</w:t>
      </w:r>
      <w:r>
        <w:t xml:space="preserve">; </w:t>
      </w:r>
      <w:r w:rsidRPr="00CA4EF3">
        <w:t xml:space="preserve">even in the latter, </w:t>
      </w:r>
      <w:r>
        <w:t>growth in mobile phone subscription rates</w:t>
      </w:r>
      <w:r w:rsidRPr="00CA4EF3">
        <w:t xml:space="preserve"> are striking when compared to </w:t>
      </w:r>
      <w:r>
        <w:t xml:space="preserve">growth in </w:t>
      </w:r>
      <w:r w:rsidRPr="00CA4EF3">
        <w:t>other forms of infrastructure.</w:t>
      </w:r>
    </w:p>
    <w:p w:rsidR="007D46DA" w:rsidRDefault="007D46DA" w:rsidP="007D46DA"/>
    <w:p w:rsidR="007D46DA" w:rsidRDefault="007D46DA" w:rsidP="007D46DA">
      <w:pPr>
        <w:jc w:val="center"/>
        <w:rPr>
          <w:b/>
        </w:rPr>
      </w:pPr>
      <w:r w:rsidRPr="00934C38">
        <w:rPr>
          <w:noProof/>
        </w:rPr>
        <w:drawing>
          <wp:inline distT="0" distB="0" distL="0" distR="0">
            <wp:extent cx="5071872" cy="3718560"/>
            <wp:effectExtent l="25400" t="25400" r="8128" b="0"/>
            <wp:docPr id="47" name="C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D46DA" w:rsidRPr="00CA4EF3" w:rsidRDefault="007D46DA" w:rsidP="007D46DA">
      <w:pPr>
        <w:rPr>
          <w:b/>
        </w:rPr>
      </w:pPr>
      <w:r w:rsidRPr="00CA4EF3">
        <w:rPr>
          <w:b/>
        </w:rPr>
        <w:t>Figure 2.</w:t>
      </w:r>
      <w:r>
        <w:rPr>
          <w:b/>
        </w:rPr>
        <w:t>12</w:t>
      </w:r>
      <w:r w:rsidRPr="00CA4EF3">
        <w:rPr>
          <w:b/>
        </w:rPr>
        <w:t xml:space="preserve"> Fixed</w:t>
      </w:r>
      <w:r>
        <w:rPr>
          <w:b/>
        </w:rPr>
        <w:t xml:space="preserve"> </w:t>
      </w:r>
      <w:r w:rsidRPr="00CA4EF3">
        <w:rPr>
          <w:b/>
        </w:rPr>
        <w:t xml:space="preserve">line telephone </w:t>
      </w:r>
      <w:r>
        <w:rPr>
          <w:b/>
        </w:rPr>
        <w:t>lines</w:t>
      </w:r>
      <w:r w:rsidRPr="00CA4EF3">
        <w:rPr>
          <w:b/>
        </w:rPr>
        <w:t xml:space="preserve"> per 100 persons by income </w:t>
      </w:r>
      <w:r>
        <w:rPr>
          <w:b/>
        </w:rPr>
        <w:t>group (1975-2010)</w:t>
      </w:r>
    </w:p>
    <w:p w:rsidR="007D46DA" w:rsidRPr="00827E72" w:rsidRDefault="007D46DA" w:rsidP="007D46DA">
      <w:pPr>
        <w:rPr>
          <w:i/>
        </w:rPr>
      </w:pPr>
      <w:r w:rsidRPr="001C428D">
        <w:rPr>
          <w:i/>
        </w:rPr>
        <w:t>Source: ITU 2011</w:t>
      </w:r>
    </w:p>
    <w:p w:rsidR="007D46DA" w:rsidRDefault="007D46DA" w:rsidP="007D46DA">
      <w:pPr>
        <w:ind w:firstLine="720"/>
      </w:pPr>
    </w:p>
    <w:p w:rsidR="007D46DA" w:rsidRDefault="007D46DA" w:rsidP="007D46DA">
      <w:pPr>
        <w:ind w:firstLine="720"/>
      </w:pPr>
      <w:r w:rsidRPr="00827E72">
        <w:rPr>
          <w:noProof/>
        </w:rPr>
        <w:drawing>
          <wp:inline distT="0" distB="0" distL="0" distR="0">
            <wp:extent cx="5080000" cy="3486150"/>
            <wp:effectExtent l="25400" t="25400" r="0" b="0"/>
            <wp:docPr id="52" name="C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D46DA" w:rsidRPr="00CA4EF3" w:rsidRDefault="007D46DA" w:rsidP="007D46DA">
      <w:pPr>
        <w:rPr>
          <w:b/>
        </w:rPr>
      </w:pPr>
      <w:r w:rsidRPr="00CA4EF3">
        <w:rPr>
          <w:b/>
        </w:rPr>
        <w:t>Figure 2.</w:t>
      </w:r>
      <w:r>
        <w:rPr>
          <w:b/>
        </w:rPr>
        <w:t>13</w:t>
      </w:r>
      <w:r w:rsidRPr="00CA4EF3">
        <w:rPr>
          <w:b/>
        </w:rPr>
        <w:t xml:space="preserve"> Mobile phone subscriptions per 100 persons by income </w:t>
      </w:r>
      <w:r>
        <w:rPr>
          <w:b/>
        </w:rPr>
        <w:t>group (1990-2010)</w:t>
      </w:r>
    </w:p>
    <w:p w:rsidR="007D46DA" w:rsidRPr="00827E72" w:rsidRDefault="007D46DA" w:rsidP="007D46DA">
      <w:r w:rsidRPr="001C428D">
        <w:rPr>
          <w:i/>
        </w:rPr>
        <w:t>Source:</w:t>
      </w:r>
      <w:r w:rsidRPr="001C428D">
        <w:t xml:space="preserve"> </w:t>
      </w:r>
      <w:r w:rsidRPr="001C428D">
        <w:rPr>
          <w:i/>
        </w:rPr>
        <w:t>ITU 2011</w:t>
      </w:r>
    </w:p>
    <w:p w:rsidR="007D46DA" w:rsidRDefault="007D46DA" w:rsidP="007D46DA"/>
    <w:p w:rsidR="007D46DA" w:rsidRDefault="007D46DA" w:rsidP="007D46DA">
      <w:r w:rsidRPr="00CA4EF3">
        <w:t xml:space="preserve">The ITU defines broadband, fixed-line </w:t>
      </w:r>
      <w:r>
        <w:t>and</w:t>
      </w:r>
      <w:r w:rsidRPr="00CA4EF3">
        <w:t xml:space="preserve"> mobile, as an internet connection with downstream data transfer speeds equal to or above 256 </w:t>
      </w:r>
      <w:r>
        <w:t>kilobits per second</w:t>
      </w:r>
      <w:r w:rsidRPr="00CA4EF3">
        <w:t xml:space="preserve"> </w:t>
      </w:r>
      <w:r w:rsidR="00F7383F" w:rsidRPr="00CA4EF3">
        <w:fldChar w:fldCharType="begin"/>
      </w:r>
      <w:r>
        <w:instrText xml:space="preserve"> ADDIN ZOTERO_ITEM {"citationID":"oua1jvchv","properties":{"formattedCitation":"(ITU 2010b)","plainCitation":"(ITU 2010b)"},"citationItems":[{"id":981,"uris":["http://zotero.org/groups/4482/items/U2NC8K9C"],"uri":["http://zotero.org/groups/4482/items/U2NC8K9C"]}]} </w:instrText>
      </w:r>
      <w:r w:rsidR="00F7383F" w:rsidRPr="00CA4EF3">
        <w:fldChar w:fldCharType="separate"/>
      </w:r>
      <w:r w:rsidRPr="00AA7B30">
        <w:rPr>
          <w:szCs w:val="21"/>
        </w:rPr>
        <w:t>(ITU 2010b)</w:t>
      </w:r>
      <w:r w:rsidR="00F7383F" w:rsidRPr="00CA4EF3">
        <w:fldChar w:fldCharType="end"/>
      </w:r>
      <w:r w:rsidRPr="00CA4EF3">
        <w:t>. High investment costs have constrained growth in all but the wealthiest countries in fixed-line broadband (see Figure 2.</w:t>
      </w:r>
      <w:r>
        <w:t>14</w:t>
      </w:r>
      <w:r w:rsidRPr="00CA4EF3">
        <w:t>). Additionally, countries that have existing investments in fixed-line infrastructure are able to leverage these networks to provide broadband access through more modest technology investments. This is clearly apparent in the relationship between the historic</w:t>
      </w:r>
      <w:r>
        <w:t>al</w:t>
      </w:r>
      <w:r w:rsidRPr="00CA4EF3">
        <w:t xml:space="preserve"> patterns in fixed-line telephony (Figure 2.</w:t>
      </w:r>
      <w:r>
        <w:t>12</w:t>
      </w:r>
      <w:r w:rsidRPr="00CA4EF3">
        <w:t>) and fixed-line bro</w:t>
      </w:r>
      <w:r w:rsidRPr="008450FB">
        <w:t>adband (Figure 2.1</w:t>
      </w:r>
      <w:r>
        <w:t>4</w:t>
      </w:r>
      <w:r w:rsidRPr="008450FB">
        <w:t>). The most aggressive diffusion in fixed-line broadband has occurred in high-income countr</w:t>
      </w:r>
      <w:r w:rsidRPr="00CA4EF3">
        <w:t>ies where fixed-line telephone infrastructure is most extensive. Conversely, regions with limited fixed</w:t>
      </w:r>
      <w:r>
        <w:t>-</w:t>
      </w:r>
      <w:r w:rsidRPr="00CA4EF3">
        <w:t>line infrastructure have trailed and regions with very little fixed</w:t>
      </w:r>
      <w:r>
        <w:t>-</w:t>
      </w:r>
      <w:r w:rsidRPr="00CA4EF3">
        <w:t>line infrastructure have effectively no fixed-line broadband to date.</w:t>
      </w:r>
    </w:p>
    <w:p w:rsidR="007D46DA" w:rsidRPr="00CA4EF3" w:rsidRDefault="007D46DA" w:rsidP="007D46DA"/>
    <w:p w:rsidR="007D46DA" w:rsidRPr="00CA4EF3" w:rsidRDefault="007D46DA" w:rsidP="007D46DA">
      <w:r w:rsidRPr="00CA4EF3">
        <w:t>As with telephony, the lack of fixed-line broadband does not mean that countries will be left behind, but the challenge may be greater here. Mobile broadband is an emerging technology that offers both benefits and limitations when compared with fixed-line broadband. In general, mobile broadband provides inferior service levels and data transfer speeds</w:t>
      </w:r>
      <w:r>
        <w:t>;</w:t>
      </w:r>
      <w:r w:rsidRPr="00CA4EF3">
        <w:t xml:space="preserve"> however </w:t>
      </w:r>
      <w:r>
        <w:t xml:space="preserve">its </w:t>
      </w:r>
      <w:r w:rsidRPr="00CA4EF3">
        <w:t>investment cost is lower and the service is portable. While still evolving, the historic</w:t>
      </w:r>
      <w:r>
        <w:t>al</w:t>
      </w:r>
      <w:r w:rsidRPr="00CA4EF3">
        <w:t xml:space="preserve"> trends suggest </w:t>
      </w:r>
      <w:r>
        <w:t xml:space="preserve">an </w:t>
      </w:r>
      <w:r w:rsidRPr="00CA4EF3">
        <w:t xml:space="preserve">exponential growth pattern </w:t>
      </w:r>
      <w:r>
        <w:t xml:space="preserve">similar to that </w:t>
      </w:r>
      <w:r w:rsidRPr="00CA4EF3">
        <w:t>of mobile telephony in at least two regions</w:t>
      </w:r>
      <w:r>
        <w:t>, namely in East Asia and Pacific and in Europe and Central Asia</w:t>
      </w:r>
      <w:r w:rsidRPr="00CA4EF3">
        <w:t xml:space="preserve"> (</w:t>
      </w:r>
      <w:r w:rsidRPr="007738C1">
        <w:t>Figure 2.1</w:t>
      </w:r>
      <w:r>
        <w:t>5</w:t>
      </w:r>
      <w:r w:rsidRPr="00CA4EF3">
        <w:t xml:space="preserve">). As with telephony, where fixed-line infrastructure is minimal, mobile broadband </w:t>
      </w:r>
      <w:r>
        <w:t>is</w:t>
      </w:r>
      <w:r w:rsidRPr="00CA4EF3">
        <w:t xml:space="preserve"> effectively substitut</w:t>
      </w:r>
      <w:r>
        <w:t>ing</w:t>
      </w:r>
      <w:r w:rsidRPr="00CA4EF3">
        <w:t xml:space="preserve"> for fixed-line broadband </w:t>
      </w:r>
      <w:r w:rsidR="00F7383F">
        <w:fldChar w:fldCharType="begin"/>
      </w:r>
      <w:r>
        <w:instrText xml:space="preserve"> ADDIN ZOTERO_ITEM {"citationID":"1olukgt9b9","properties":{"formattedCitation":"(European Commission 2010)","plainCitation":"(European Commission 2010)"},"citationItems":[{"id":1422,"uris":["http://zotero.org/groups/4482/items/TC8FH54Q"],"uri":["http://zotero.org/groups/4482/items/TC8FH54Q"]}]} </w:instrText>
      </w:r>
      <w:r w:rsidR="00F7383F">
        <w:fldChar w:fldCharType="separate"/>
      </w:r>
      <w:r w:rsidRPr="00AA7B30">
        <w:rPr>
          <w:szCs w:val="21"/>
        </w:rPr>
        <w:t>(European Commission 2010)</w:t>
      </w:r>
      <w:r w:rsidR="00F7383F">
        <w:fldChar w:fldCharType="end"/>
      </w:r>
      <w:r w:rsidRPr="00CA4EF3">
        <w:t xml:space="preserve">. </w:t>
      </w:r>
      <w:r>
        <w:t>In the high-income countries</w:t>
      </w:r>
      <w:r w:rsidRPr="00CA4EF3">
        <w:t xml:space="preserve">, the trend has been more </w:t>
      </w:r>
      <w:r>
        <w:t xml:space="preserve">one </w:t>
      </w:r>
      <w:r w:rsidRPr="00CA4EF3">
        <w:t>of coexistence.</w:t>
      </w:r>
    </w:p>
    <w:p w:rsidR="007D46DA" w:rsidRPr="00CA4EF3" w:rsidRDefault="007D46DA" w:rsidP="007D46DA"/>
    <w:p w:rsidR="007D46DA" w:rsidRDefault="007D46DA" w:rsidP="007D46DA">
      <w:r w:rsidRPr="00CA4EF3">
        <w:t>In summary, the recent history of ICT indicates a significant departure from the historical trends of more traditional forms of infrastructure. While gaps persist between the high-income and developing countries, the rapid technological change in these technologies has brought access to an unprecedented portion of the world’s inhabitants</w:t>
      </w:r>
      <w:r>
        <w:t>.</w:t>
      </w:r>
    </w:p>
    <w:p w:rsidR="007D46DA" w:rsidRDefault="007D46DA" w:rsidP="007D46DA"/>
    <w:p w:rsidR="007D46DA" w:rsidRPr="00CA4EF3" w:rsidRDefault="007D46DA" w:rsidP="007D46DA">
      <w:pPr>
        <w:ind w:firstLine="720"/>
      </w:pPr>
      <w:r w:rsidRPr="00124579">
        <w:rPr>
          <w:noProof/>
        </w:rPr>
        <w:drawing>
          <wp:inline distT="0" distB="0" distL="0" distR="0">
            <wp:extent cx="5308600" cy="3478486"/>
            <wp:effectExtent l="25400" t="25400" r="0" b="1314"/>
            <wp:docPr id="55" name="C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7D46DA" w:rsidRPr="00CA4EF3" w:rsidRDefault="007D46DA" w:rsidP="007D46DA">
      <w:pPr>
        <w:rPr>
          <w:b/>
        </w:rPr>
      </w:pPr>
      <w:r w:rsidRPr="00CA4EF3">
        <w:t>F</w:t>
      </w:r>
      <w:r w:rsidRPr="00CA4EF3">
        <w:rPr>
          <w:b/>
        </w:rPr>
        <w:t>igure 2.</w:t>
      </w:r>
      <w:r>
        <w:rPr>
          <w:b/>
        </w:rPr>
        <w:t>14</w:t>
      </w:r>
      <w:r w:rsidRPr="00CA4EF3">
        <w:rPr>
          <w:b/>
        </w:rPr>
        <w:t xml:space="preserve"> Fixed-line broadband subscribers per 100 persons by income </w:t>
      </w:r>
      <w:r>
        <w:rPr>
          <w:b/>
        </w:rPr>
        <w:t>group (1998-2010)</w:t>
      </w:r>
    </w:p>
    <w:p w:rsidR="007D46DA" w:rsidRPr="00827E72" w:rsidRDefault="007D46DA" w:rsidP="007D46DA">
      <w:pPr>
        <w:rPr>
          <w:i/>
        </w:rPr>
      </w:pPr>
      <w:r w:rsidRPr="001C428D">
        <w:rPr>
          <w:i/>
        </w:rPr>
        <w:t>Source: ITU 2011</w:t>
      </w:r>
    </w:p>
    <w:p w:rsidR="007D46DA" w:rsidRDefault="007D46DA" w:rsidP="007D46DA">
      <w:pPr>
        <w:ind w:firstLine="720"/>
      </w:pPr>
    </w:p>
    <w:p w:rsidR="007D46DA" w:rsidRPr="00CA4EF3" w:rsidRDefault="007D46DA" w:rsidP="007D46DA">
      <w:pPr>
        <w:rPr>
          <w:b/>
        </w:rPr>
      </w:pPr>
      <w:r w:rsidRPr="005613A9">
        <w:rPr>
          <w:noProof/>
        </w:rPr>
        <w:drawing>
          <wp:anchor distT="0" distB="0" distL="114300" distR="114300" simplePos="0" relativeHeight="251669504" behindDoc="0" locked="0" layoutInCell="1" allowOverlap="1">
            <wp:simplePos x="0" y="0"/>
            <wp:positionH relativeFrom="column">
              <wp:posOffset>487680</wp:posOffset>
            </wp:positionH>
            <wp:positionV relativeFrom="paragraph">
              <wp:posOffset>24130</wp:posOffset>
            </wp:positionV>
            <wp:extent cx="5308600" cy="3604260"/>
            <wp:effectExtent l="25400" t="25400" r="0" b="2540"/>
            <wp:wrapTopAndBottom/>
            <wp:docPr id="57" name="C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Pr="00CA4EF3">
        <w:t>F</w:t>
      </w:r>
      <w:r w:rsidRPr="00CA4EF3">
        <w:rPr>
          <w:b/>
        </w:rPr>
        <w:t>igure 2.</w:t>
      </w:r>
      <w:r>
        <w:rPr>
          <w:b/>
        </w:rPr>
        <w:t>15</w:t>
      </w:r>
      <w:r w:rsidRPr="00CA4EF3">
        <w:rPr>
          <w:b/>
        </w:rPr>
        <w:t xml:space="preserve"> Mobile </w:t>
      </w:r>
      <w:r>
        <w:rPr>
          <w:b/>
        </w:rPr>
        <w:t>s</w:t>
      </w:r>
      <w:r w:rsidRPr="00CA4EF3">
        <w:rPr>
          <w:b/>
        </w:rPr>
        <w:t xml:space="preserve">ubscriptions with </w:t>
      </w:r>
      <w:r>
        <w:rPr>
          <w:b/>
        </w:rPr>
        <w:t>a</w:t>
      </w:r>
      <w:r w:rsidRPr="00CA4EF3">
        <w:rPr>
          <w:b/>
        </w:rPr>
        <w:t xml:space="preserve">ccess to </w:t>
      </w:r>
      <w:r>
        <w:rPr>
          <w:b/>
        </w:rPr>
        <w:t>d</w:t>
      </w:r>
      <w:r w:rsidRPr="00CA4EF3">
        <w:rPr>
          <w:b/>
        </w:rPr>
        <w:t xml:space="preserve">ata </w:t>
      </w:r>
      <w:r>
        <w:rPr>
          <w:b/>
        </w:rPr>
        <w:t>c</w:t>
      </w:r>
      <w:r w:rsidRPr="00CA4EF3">
        <w:rPr>
          <w:b/>
        </w:rPr>
        <w:t xml:space="preserve">ommunications at </w:t>
      </w:r>
      <w:r>
        <w:rPr>
          <w:b/>
        </w:rPr>
        <w:t>b</w:t>
      </w:r>
      <w:r w:rsidRPr="00CA4EF3">
        <w:rPr>
          <w:b/>
        </w:rPr>
        <w:t xml:space="preserve">roadband </w:t>
      </w:r>
      <w:r>
        <w:rPr>
          <w:b/>
        </w:rPr>
        <w:t>s</w:t>
      </w:r>
      <w:r w:rsidRPr="00CA4EF3">
        <w:rPr>
          <w:b/>
        </w:rPr>
        <w:t xml:space="preserve">peeds per 100 persons by income </w:t>
      </w:r>
      <w:r>
        <w:rPr>
          <w:b/>
        </w:rPr>
        <w:t>group (2001-2009)</w:t>
      </w:r>
    </w:p>
    <w:p w:rsidR="007D46DA" w:rsidRPr="00827E72" w:rsidRDefault="007D46DA" w:rsidP="007D46DA">
      <w:r w:rsidRPr="001C428D">
        <w:rPr>
          <w:i/>
        </w:rPr>
        <w:t>Source: ITU 2010c</w:t>
      </w:r>
    </w:p>
    <w:p w:rsidR="007D46DA" w:rsidRDefault="007D46DA" w:rsidP="007D46DA"/>
    <w:p w:rsidR="007D46DA" w:rsidRPr="00C807DF" w:rsidRDefault="007D46DA" w:rsidP="007D46DA">
      <w:pPr>
        <w:pStyle w:val="Heading4"/>
      </w:pPr>
      <w:bookmarkStart w:id="53" w:name="_Toc199580847"/>
      <w:bookmarkStart w:id="54" w:name="_Toc200095273"/>
      <w:r>
        <w:t>2.3.1.5 Patterns in infrastructure development</w:t>
      </w:r>
      <w:bookmarkEnd w:id="53"/>
      <w:bookmarkEnd w:id="54"/>
    </w:p>
    <w:p w:rsidR="007D46DA" w:rsidRDefault="007D46DA" w:rsidP="007D46DA">
      <w:r>
        <w:t xml:space="preserve">Citizens in high-income countries now have very nearly universal access to safe water, improved sanitation, electricity and all-weather roads. As countries move from low-income status to high-income status, are there any patterns that characterize their sequence of progression toward such universality of access?  Figure 1.3 of the previous chapter and the discussion here suggest that there may be some such patterns, albeit highly variable across countries and eras.  </w:t>
      </w:r>
    </w:p>
    <w:p w:rsidR="007D46DA" w:rsidRDefault="007D46DA" w:rsidP="007D46DA"/>
    <w:p w:rsidR="007D46DA" w:rsidRDefault="007D46DA" w:rsidP="007D46DA">
      <w:r>
        <w:t>For instance, 60 percent of populations in low-income countries already had access to improved water in 2005, whereas fewer than 40 percent had access to improved sanitation, only about 30 percent had access to all-weather roads, and fewer than 20 percent had access to electricity.  The higher rates of access to safe water almost certainly reflect the immediate health implications of unsafe water, and probably also are responsive to the frequently quite dispersed physical availability (via streams and wells) of sources for it.  Except where it must be conveyed over long distances, it often requires less public organization than do roads or electricity systems.</w:t>
      </w:r>
    </w:p>
    <w:p w:rsidR="007D46DA" w:rsidRDefault="007D46DA" w:rsidP="007D46DA"/>
    <w:p w:rsidR="007D46DA" w:rsidRDefault="007D46DA" w:rsidP="007D46DA">
      <w:r>
        <w:t>The lowest-income countries often have great difficulty advancing their access rates on all infrastructure forms.  In some cases, as we have seen above with respect to roads in Africa, they are challenged simply to keep up with higher population growth rates than middle-income and high-income countries experience.  They are often also, as Chapter 3 will discuss, handicapped by poorly developed governance capacity, including low ability to mobilize revenues and to use them effectively and with limited corruption for very expensive projects.</w:t>
      </w:r>
    </w:p>
    <w:p w:rsidR="007D46DA" w:rsidRDefault="007D46DA" w:rsidP="007D46DA"/>
    <w:p w:rsidR="007D46DA" w:rsidRDefault="007D46DA" w:rsidP="007D46DA">
      <w:r>
        <w:t>Middle-income countries continue to advance their rates of access to water, but not nearly so rapidly as they do access to all-weather roads and especially to electricity (to which access is pretty much universal already for upper-middle income countries).  This almost certainly reflects the high level of demand by citizens with increasing income levels for basic electrical service in support of lighting, refrigeration, and, of course, televisions, as well often of cooking, heating, and cooling. Somewhat higher incomes give rise to ownership of vehicles, private as well as commercial, which pushes up demand for higher-quality roads.  Business people and public authorities also perceive electricity and good roads to be fundamentally important to economic development, providing additional impetus.  Interestingly, access to improvements to sanitation systems tends to grow considerably slower with income than that for other infrastructure.  Not only are such systems very expensive, but individuals can externalize the costs of not having them (including fouling of the water of others) in ways not possible with electricity and all-weather roads, and their importance for economic advance is not as clear-cut.</w:t>
      </w:r>
    </w:p>
    <w:p w:rsidR="007D46DA" w:rsidRDefault="007D46DA" w:rsidP="007D46DA"/>
    <w:p w:rsidR="007D46DA" w:rsidRDefault="007D46DA" w:rsidP="007D46DA">
      <w:r>
        <w:t>Access to mobile phones is, of course, a special case.   Figure 2.13 shows that in 2010 citizens of low-income countries had a lower overall access rate to them than we have seen for safe water.  The curve of advance, however, driven by technological change, high levels of citizen demand, and delivery by the nimble private sector, is rapidly moving these access rates up to and above those for other infrastructure forms across the country income categories.</w:t>
      </w:r>
    </w:p>
    <w:p w:rsidR="007D46DA" w:rsidRDefault="007D46DA" w:rsidP="007D46DA"/>
    <w:p w:rsidR="007D46DA" w:rsidDel="004D29C3" w:rsidRDefault="007D46DA" w:rsidP="007D46DA">
      <w:r>
        <w:t>Although we can thus see some patterns in the historical data that we may also expect to influence our forecasts, we must refer back also to another key point of Chapter 1.  Low- and middle-income countries are engaged in a massive catch-up process with high-income ones that have often aggressively built out their own modern infrastructures over the last two centuries.  In the playing out of these global movements towards convergence to truly universal access, we can expect to see both very rapid advance in all infrastructure forms in the developing world, as well as highly variable country patterns driven by idiosyncratic geographies, historical foundations, and private and public choices.  What we can be most certain of is that the push for catch-up will be rapid and will be financially expensive.</w:t>
      </w:r>
    </w:p>
    <w:p w:rsidR="007D46DA" w:rsidRPr="00D824ED" w:rsidRDefault="007D46DA" w:rsidP="00877E30">
      <w:pPr>
        <w:pStyle w:val="Heading3"/>
        <w:numPr>
          <w:ilvl w:val="2"/>
          <w:numId w:val="30"/>
        </w:numPr>
      </w:pPr>
      <w:bookmarkStart w:id="55" w:name="_Toc199580848"/>
      <w:bookmarkStart w:id="56" w:name="_Toc200095274"/>
      <w:r w:rsidRPr="00D824ED">
        <w:t>Historical spending on infrastructure</w:t>
      </w:r>
      <w:bookmarkEnd w:id="55"/>
      <w:bookmarkEnd w:id="56"/>
    </w:p>
    <w:p w:rsidR="007D46DA" w:rsidRDefault="007D46DA" w:rsidP="007D46DA">
      <w:r>
        <w:t xml:space="preserve">There are costs associated with infrastructure throughout its lifetime—from construction through operation, maintenance, renewal, and decommissioning. Even prior to construction, there are expenses related to, </w:t>
      </w:r>
      <w:r>
        <w:rPr>
          <w:i/>
        </w:rPr>
        <w:t>inter alia</w:t>
      </w:r>
      <w:r>
        <w:t>, commissioning, establishing and obtaining rights of way (including to electromagnetic spectrum), etc. These costs are covered in a myriad of ways: by local and national governments, domestic and international private entities, official development assistance and direct investment by foreign governments, and by end users.</w:t>
      </w:r>
      <w:r w:rsidDel="00E33950">
        <w:t xml:space="preserve"> </w:t>
      </w:r>
      <w:r>
        <w:t>The exact breakdown varies from project to project. Ideally, there would be consistent and comprehensive data that present us with a picture not only of total infrastructure spending, but also broken down by the type of infrastructure, purpose of the spending (e.g., new construction vs. maintenance), and source of the funding. However, as discussed earlier in this chapter (section 2.3), such data are limited and, by no means, consistent or comprehensive. Still, so that we are able to have some faith in the forecasts we present later in this volume, it is important for us to try to get a handle on past historical spending on infrastructure using those data that do exist.</w:t>
      </w:r>
    </w:p>
    <w:p w:rsidR="007D46DA" w:rsidRDefault="007D46DA" w:rsidP="007D46DA"/>
    <w:p w:rsidR="007D46DA" w:rsidRDefault="007D46DA" w:rsidP="007D46DA">
      <w:r>
        <w:t xml:space="preserve">Beginning with the </w:t>
      </w:r>
      <w:r>
        <w:rPr>
          <w:i/>
        </w:rPr>
        <w:t>World Development Report 1994: Infrastructure for Development</w:t>
      </w:r>
      <w:r>
        <w:t xml:space="preserve">, a number of studies have presented aggregate estimates of infrastructure spending in the developing countries. In 1994, the World Bank estimated that developing countries spent anywhere from 2 to 8 percent of their GDP on new infrastructure, with an average of 4 percent </w:t>
      </w:r>
      <w:r w:rsidRPr="00CA4EF3">
        <w:t>(World Bank 1994</w:t>
      </w:r>
      <w:r>
        <w:t>, 14). This was “rarely less than 30 percent and sometimes as much as 70 percent” of total government investment (p.90). They estimated that private investment</w:t>
      </w:r>
      <w:r w:rsidRPr="00B20E81">
        <w:t xml:space="preserve"> </w:t>
      </w:r>
      <w:r>
        <w:t>and official development assistance (ODA) accounted for around 7 and 12 percent of total infrastructure investment, respectively, leaving some 81 percent to come from domestic governments (p.90, 93).</w:t>
      </w:r>
    </w:p>
    <w:p w:rsidR="007D46DA" w:rsidRDefault="007D46DA" w:rsidP="007D46DA"/>
    <w:p w:rsidR="007D46DA" w:rsidRDefault="007D46DA" w:rsidP="007D46DA">
      <w:r>
        <w:t xml:space="preserve">Eight years later, the UK’s Department for International Development </w:t>
      </w:r>
      <w:r w:rsidR="00F7383F">
        <w:fldChar w:fldCharType="begin"/>
      </w:r>
      <w:r>
        <w:instrText xml:space="preserve"> ADDIN ZOTERO_ITEM {"citationID":"ox49w3lK","properties":{"formattedCitation":"(Department for International Development 2002, 20)","plainCitation":"(Department for International Development 2002, 20)"},"citationItems":[{"id":1300,"uris":["http://zotero.org/groups/4482/items/PCDRG2JT"],"uri":["http://zotero.org/groups/4482/items/PCDRG2JT"],"locator":"20","label":"page"}]} </w:instrText>
      </w:r>
      <w:r w:rsidR="00F7383F">
        <w:fldChar w:fldCharType="separate"/>
      </w:r>
      <w:r>
        <w:rPr>
          <w:noProof/>
        </w:rPr>
        <w:t>(Department for International Development (DFID) 2002, 20)</w:t>
      </w:r>
      <w:r w:rsidR="00F7383F">
        <w:fldChar w:fldCharType="end"/>
      </w:r>
      <w:r>
        <w:t xml:space="preserve"> estimated that this investment had increased by 20 percent in absolute terms. Meanwhile, total GDP in developing countries increased by over 28 percent from 1994 to 2002, implying a decline in spending on infrastructure as a share of GDP.</w:t>
      </w:r>
      <w:r w:rsidRPr="000E4C4E">
        <w:rPr>
          <w:rStyle w:val="FootnoteReference"/>
        </w:rPr>
        <w:footnoteReference w:id="22"/>
      </w:r>
      <w:r>
        <w:t xml:space="preserve"> DFID also noted that the share provided by ODA had fallen to represent less than 5 percent of infrastructure spending. They estimated that the share provided by the private sector may have been as high as 25 percent, but acknowledged that this “may be overstated to the extent that it is backed by public sector funds.”</w:t>
      </w:r>
    </w:p>
    <w:p w:rsidR="007D46DA" w:rsidRDefault="007D46DA" w:rsidP="007D46DA"/>
    <w:p w:rsidR="007D46DA" w:rsidRDefault="007D46DA" w:rsidP="007D46DA">
      <w:r w:rsidRPr="00FF2F70">
        <w:t xml:space="preserve">Briceno-Garmendia, Estache, and Shafik </w:t>
      </w:r>
      <w:r w:rsidR="00F7383F" w:rsidRPr="00FF2F70">
        <w:fldChar w:fldCharType="begin"/>
      </w:r>
      <w:r w:rsidRPr="00FF2F70">
        <w:instrText xml:space="preserve"> ADDIN ZOTERO_ITEM {"citationID":"gg0Sd9M7","properties":{"formattedCitation":"{\\rtf (Brice\\uc0\\u241{}o-Garmendia, Estache, and Shafik 2004, 16\\uc0\\u8211{}17)}","plainCitation":"(Briceño-Garmendia, Estache, and Shafik 2004, 16–17)"},"citationItems":[{"id":630,"uris":["http://zotero.org/groups/4482/items/VI9I44TW"],"uri":["http://zotero.org/groups/4482/items/VI9I44TW"],"locator":"16-17","label":"page"}]} </w:instrText>
      </w:r>
      <w:r w:rsidR="00F7383F" w:rsidRPr="00FF2F70">
        <w:fldChar w:fldCharType="separate"/>
      </w:r>
      <w:r w:rsidRPr="00FF2F70">
        <w:t>(2004, 16–17)</w:t>
      </w:r>
      <w:r w:rsidR="00F7383F" w:rsidRPr="00FF2F70">
        <w:fldChar w:fldCharType="end"/>
      </w:r>
      <w:r w:rsidRPr="00FF2F70">
        <w:t xml:space="preserve"> reiterated the DFID results and provided some further details. They pointed to general declines in public sector funding as a share of GDP</w:t>
      </w:r>
      <w:r>
        <w:t xml:space="preserve"> in the 1990s, to the point that it was roughly 2 percent in high middle-income countries and 4 percent in low-income countries at the time of their study. They argued that these declines came “as a result of: (i) an unmet hope for a major financing of infrastructure by the private sector, (ii) fiscal adjustment programs, and (iii) decentralization resulting in mismatches between resources and needs.” (p.17) </w:t>
      </w:r>
      <w:r w:rsidRPr="00FF2F70">
        <w:t xml:space="preserve">Briceno-Garmendia, Estache, and Shafik </w:t>
      </w:r>
      <w:r w:rsidR="00F7383F">
        <w:fldChar w:fldCharType="begin"/>
      </w:r>
      <w:r>
        <w:instrText xml:space="preserve"> ADDIN ZOTERO_ITEM {"citationID":"6ClLITyd","properties":{"formattedCitation":"{\\rtf (Brice\\uc0\\u241{}o-Garmendia, Estache, and Shafik 2004, 16\\uc0\\u8211{}17)}","plainCitation":"(Briceño-Garmendia, Estache, and Shafik 2004, 16–17)"},"citationItems":[{"id":630,"uris":["http://zotero.org/groups/4482/items/VI9I44TW"],"uri":["http://zotero.org/groups/4482/items/VI9I44TW"],"locator":"16-17","label":"page"}]} </w:instrText>
      </w:r>
      <w:r w:rsidR="00F7383F">
        <w:fldChar w:fldCharType="separate"/>
      </w:r>
      <w:r w:rsidRPr="00FF2F70">
        <w:t>(2004, 16–17)</w:t>
      </w:r>
      <w:r w:rsidR="00F7383F">
        <w:fldChar w:fldCharType="end"/>
      </w:r>
      <w:r>
        <w:t xml:space="preserve"> also noted a sharp fall in ODA for infrastructure in the 1990s. Again they pointed to overoptimistic expectation of private sector participation in infrastructure financing. They estimated that private sector commitments (they had no data on actual expenditures) to infrastructure amounted to 20-22 percent of total investments during the 1990s, but this was not enough to make up for the declines in public expenditures and ODA. Furthermore, these commitments tended to be highly concentrated in a small number of countries (p.20-21).</w:t>
      </w:r>
    </w:p>
    <w:p w:rsidR="007D46DA" w:rsidRDefault="007D46DA" w:rsidP="007D46DA"/>
    <w:p w:rsidR="007D46DA" w:rsidRDefault="007D46DA" w:rsidP="007D46DA">
      <w:r>
        <w:t xml:space="preserve">More recently, Estache </w:t>
      </w:r>
      <w:fldSimple w:instr=" ADDIN ZOTERO_ITEM {&quot;citationID&quot;:&quot;LvJmrRhe&quot;,&quot;properties&quot;:{&quot;formattedCitation&quot;:&quot;(Estache 2010, 67)&quot;,&quot;plainCitation&quot;:&quot;(Estache 2010, 67)&quot;},&quot;citationItems&quot;:[{&quot;id&quot;:1296,&quot;uris&quot;:[&quot;http://zotero.org/groups/4482/items/CMRD8ASZ&quot;],&quot;uri&quot;:[&quot;http://zotero.org/groups/4482/items/CMRD8ASZ&quot;],&quot;locator&quot;:&quot;67&quot;}]} ">
        <w:r>
          <w:rPr>
            <w:noProof/>
          </w:rPr>
          <w:t>(2010, 67)</w:t>
        </w:r>
      </w:fldSimple>
      <w:r>
        <w:t xml:space="preserve"> reviewed a range of studies and stated that “it seems reasonable to assume that the average investment in infrastructure in the developing world is somewhere between 3 and 4.5 percent of GDP.” He provided ballpark estimates of 5 percent, 3.3 percent, and roughly 1 percent for low-income, lower middle-income and upper middle-income countries, respectively, while noting higher values in some fast growing middle-income countries in Asia including China, Malaysia, and Thailand (p. 68). Estache (2010, 72) also provided “back of the envelope calculations” indicating that “private-sector commitments represented roughly between 25 and 19 percent” of total infrastructure investment in 2006-2007 and ODA “between 4.5 and 3 percent”, which translate into at most 1 and 0.2 percent of GDP, respectively.</w:t>
      </w:r>
    </w:p>
    <w:p w:rsidR="007D46DA" w:rsidRDefault="007D46DA" w:rsidP="007D46DA"/>
    <w:p w:rsidR="007D46DA" w:rsidRDefault="007D46DA" w:rsidP="007D46DA">
      <w:r>
        <w:t xml:space="preserve">Many of the above results are based upon regional studies that have attempted to gather detailed data on infrastructure spending for individual countries </w:t>
      </w:r>
      <w:r w:rsidR="00F7383F">
        <w:fldChar w:fldCharType="begin"/>
      </w:r>
      <w:r>
        <w:instrText xml:space="preserve"> ADDIN ZOTERO_ITEM {"citationID":"V9s3h4mu","properties":{"formattedCitation":"{\\rtf (Asian Development Bank (ADB), Japan Bank for International Cooperation (JBIC), and World Bank 2005; Calder\\uc0\\u243{}n, Odawara, and Serv\\uc0\\u233{}n 2012; Calder\\uc0\\u243{}n and Serv\\uc0\\u233{}n 2004; Calder\\uc0\\u243{}n and Serv\\uc0\\u233{}n 2010; Kim and Nangia 2010; Organisation for Economic Cooperation and Development (OECD) 2009; Foster and Brice\\uc0\\u241{}o-Garmendia 2010)}","plainCitation":"(Asian Development Bank (ADB), Japan Bank for International Cooperation (JBIC), and World Bank 2005; Calderón, Odawara, and Servén 2012; Calderón and Servén 2004; Calderón and Servén 2010; Kim and Nangia 2010; Organisation for Economic Cooperation and Development (OECD) 2009; Foster and Briceño-Garmendia 2010)"},"citationItems":[{"id":921,"uris":["http://zotero.org/groups/4482/items/T6QH93WA"],"uri":["http://zotero.org/groups/4482/items/T6QH93WA"],"label":"page"},{"id":1311,"uris":["http://zotero.org/groups/4482/items/TFNPN4FC"],"uri":["http://zotero.org/groups/4482/items/TFNPN4FC"],"label":"page"},{"id":909,"uris":["http://zotero.org/groups/4482/items/3VMR8XSA"],"uri":["http://zotero.org/groups/4482/items/3VMR8XSA"],"label":"page"},{"id":726,"uris":["http://zotero.org/groups/4482/items/HRVUPP3U"],"uri":["http://zotero.org/groups/4482/items/HRVUPP3U"],"label":"page"},{"id":1155,"uris":["http://zotero.org/groups/4482/items/HTKAHJNN"],"uri":["http://zotero.org/groups/4482/items/HTKAHJNN"],"label":"page"},{"id":911,"uris":["http://zotero.org/groups/4482/items/GBDQQ67P"],"uri":["http://zotero.org/groups/4482/items/GBDQQ67P"],"label":"page"},{"id":301,"uris":["http://zotero.org/groups/4482/items/8R277WSI"],"uri":["http://zotero.org/groups/4482/items/8R277WSI"],"label":"page"}]} </w:instrText>
      </w:r>
      <w:r w:rsidR="00F7383F">
        <w:fldChar w:fldCharType="separate"/>
      </w:r>
      <w:r w:rsidRPr="00B64F25">
        <w:t>(Asian Development Bank (ADB), Japan Bank for International Cooperation (JBIC), and World Bank 2005; Calderón, Odawara, and Servén 2012; Calderón and Servén 2004; Calderón and Servén 2010; Kim and Nangia 2010; Organisation for Economic Cooperation and Development (OECD) 2009; Foster and Briceño-Garmendia 2010)</w:t>
      </w:r>
      <w:r w:rsidR="00F7383F">
        <w:fldChar w:fldCharType="end"/>
      </w:r>
      <w:r>
        <w:t xml:space="preserve">. For this volume, we have pulled together the data from a number of these sources, along with data from individual country studies where these are easily available </w:t>
      </w:r>
      <w:r w:rsidR="00F7383F">
        <w:fldChar w:fldCharType="begin"/>
      </w:r>
      <w:r>
        <w:instrText xml:space="preserve"> ADDIN ZOTERO_ITEM {"citationID":"QrklFhiG","properties":{"formattedCitation":"(Congressional Budget Office 2010)","plainCitation":"(Congressional Budget Office 2010)"},"citationItems":[{"id":1038,"uris":["http://zotero.org/groups/4482/items/2IDH5FNJ"],"uri":["http://zotero.org/groups/4482/items/2IDH5FNJ"]}]} </w:instrText>
      </w:r>
      <w:r w:rsidR="00F7383F">
        <w:fldChar w:fldCharType="separate"/>
      </w:r>
      <w:r w:rsidRPr="00F8673F">
        <w:rPr>
          <w:szCs w:val="21"/>
        </w:rPr>
        <w:t>(Congressional Budget Office 2010)</w:t>
      </w:r>
      <w:r w:rsidR="00F7383F">
        <w:fldChar w:fldCharType="end"/>
      </w:r>
      <w:r>
        <w:t xml:space="preserve">. The specific sources were summarized in Table 2.3. As we noted earlier, these studies differ in a number of significant dimensions: temporal coverage, infrastructure included, sources of funding (e.g. public versus private), and purpose of expenditure (e.g. new construction versus maintenance). There are also definitional differences across countries within individual studies (see, for example, ITF and OECD </w:t>
      </w:r>
      <w:r w:rsidR="00F7383F" w:rsidRPr="00F7383F">
        <w:rPr>
          <w:szCs w:val="24"/>
        </w:rPr>
        <w:fldChar w:fldCharType="begin"/>
      </w:r>
      <w:r>
        <w:instrText xml:space="preserve"> ADDIN ZOTERO_ITEM {"citationID":"VNsA6t0n","properties":{"formattedCitation":"(2011)","plainCitation":"(2011)"},"citationItems":[{"id":130,"uris":["http://zotero.org/groups/4482/items/NZKXCC93"],"uri":["http://zotero.org/groups/4482/items/NZKXCC93"],"suppress-author":true}]} </w:instrText>
      </w:r>
      <w:r w:rsidR="00F7383F" w:rsidRPr="00F7383F">
        <w:rPr>
          <w:szCs w:val="24"/>
        </w:rPr>
        <w:fldChar w:fldCharType="separate"/>
      </w:r>
      <w:r w:rsidRPr="00FB6C4D">
        <w:rPr>
          <w:szCs w:val="21"/>
        </w:rPr>
        <w:t>(2011)</w:t>
      </w:r>
      <w:r w:rsidR="00F7383F">
        <w:rPr>
          <w:szCs w:val="21"/>
        </w:rPr>
        <w:fldChar w:fldCharType="end"/>
      </w:r>
      <w:r>
        <w:t>). Therefore, the conclusions we draw from these data are highly contingent and should be viewed with caution. Except where noted, the statements presented in the next few paragraphs are from our own analysis of these data.</w:t>
      </w:r>
    </w:p>
    <w:p w:rsidR="007D46DA" w:rsidRDefault="007D46DA" w:rsidP="007D46DA"/>
    <w:p w:rsidR="007D46DA" w:rsidRDefault="007D46DA" w:rsidP="007D46DA">
      <w:r w:rsidRPr="00536216">
        <w:rPr>
          <w:i/>
        </w:rPr>
        <w:t>The data show a wide range in the total spending on infrastructure</w:t>
      </w:r>
      <w:r>
        <w:rPr>
          <w:i/>
        </w:rPr>
        <w:t xml:space="preserve"> as a share of GDP</w:t>
      </w:r>
      <w:r w:rsidRPr="00536216">
        <w:rPr>
          <w:i/>
        </w:rPr>
        <w:t>.</w:t>
      </w:r>
      <w:r w:rsidRPr="00536216">
        <w:t xml:space="preserve"> </w:t>
      </w:r>
      <w:r>
        <w:t>Figure 2.16 presents the most recent spending estimates for a number of countries gleaned from available studies, keeping in mind the problems in comparability across studies discussed above. In sub-Saharan Africa, for example, countries spend an average of 5.5 percent of GDP per year on infrastructure.</w:t>
      </w:r>
      <w:r w:rsidRPr="000E4C4E">
        <w:rPr>
          <w:rStyle w:val="FootnoteReference"/>
        </w:rPr>
        <w:footnoteReference w:id="23"/>
      </w:r>
      <w:r>
        <w:t xml:space="preserve"> But spending in individual countries ranges from high spending countries Cape Verde (15 percent), Lesotho (8.7 percent), Ethiopia (8.45), and Namibia (8.06), to low spending countries like the Democratic Republic of Congo (0.43 percent), Chad (1.2 percent), and Rwanda (1.6).</w:t>
      </w:r>
      <w:r w:rsidRPr="000E4C4E">
        <w:rPr>
          <w:rStyle w:val="FootnoteReference"/>
        </w:rPr>
        <w:footnoteReference w:id="24"/>
      </w:r>
      <w:r>
        <w:t xml:space="preserve"> </w:t>
      </w:r>
      <w:r w:rsidRPr="00D824ED">
        <w:t>In East and South East Asia</w:t>
      </w:r>
      <w:r>
        <w:t>,</w:t>
      </w:r>
      <w:r w:rsidRPr="00D824ED">
        <w:t xml:space="preserve"> spending averaged 6.2 percent, with Thailand spending 15.4 percent and Cambodia 2.3 percent.</w:t>
      </w:r>
      <w:r w:rsidRPr="000E4C4E">
        <w:rPr>
          <w:rStyle w:val="FootnoteReference"/>
        </w:rPr>
        <w:footnoteReference w:id="25"/>
      </w:r>
      <w:r>
        <w:t xml:space="preserve"> Even the OECD (average spending is 3.26 percent) shows a fair amount of variation, with South Korea and Ireland spending the most at 5.3 and 4.5, respectively, and France, the Netherlands, and the United States spending the least at 1.8, 2.25, and 2.4, respectively.</w:t>
      </w:r>
      <w:r w:rsidRPr="000E4C4E">
        <w:rPr>
          <w:rStyle w:val="FootnoteReference"/>
        </w:rPr>
        <w:footnoteReference w:id="26"/>
      </w:r>
      <w:r>
        <w:t xml:space="preserve"> </w:t>
      </w:r>
      <w:r w:rsidR="00F7383F">
        <w:fldChar w:fldCharType="begin"/>
      </w:r>
      <w:r>
        <w:instrText xml:space="preserve"> ADDIN ZOTERO_ITEM {"citationID":"1q5icfhk6u","properties":{"formattedCitation":"{\\rtf (Calder\\uc0\\u243{}n 2008, 11)}","plainCitation":"(Calderón 2008, 11)"},"citationItems":[{"id":1179,"uris":["http://zotero.org/groups/4482/items/ZCSGT7PU"],"uri":["http://zotero.org/groups/4482/items/ZCSGT7PU"],"locator":"11","label":"page"}]} </w:instrText>
      </w:r>
      <w:r w:rsidR="00F7383F">
        <w:fldChar w:fldCharType="separate"/>
      </w:r>
    </w:p>
    <w:p w:rsidR="007D46DA" w:rsidRDefault="007D46DA" w:rsidP="007D46DA"/>
    <w:p w:rsidR="007D46DA" w:rsidRDefault="007D46DA" w:rsidP="007D46DA">
      <w:r w:rsidRPr="00F532A4">
        <w:t xml:space="preserve">Calderón </w:t>
      </w:r>
      <w:r>
        <w:t>(</w:t>
      </w:r>
      <w:r w:rsidRPr="00F532A4">
        <w:t>2008, 11)</w:t>
      </w:r>
      <w:r w:rsidR="00F7383F">
        <w:fldChar w:fldCharType="end"/>
      </w:r>
      <w:r>
        <w:t xml:space="preserve"> reported that most authors were unable to find any clear pattern between the range of investment rates and country income</w:t>
      </w:r>
      <w:r w:rsidRPr="00D824ED">
        <w:t xml:space="preserve">. </w:t>
      </w:r>
      <w:r>
        <w:t xml:space="preserve"> The studies reported above by </w:t>
      </w:r>
      <w:r w:rsidRPr="00FF2F70">
        <w:t>Briceno-Garmendia, Estache, and Shafik (2004) and Estache (2010), however, as well as</w:t>
      </w:r>
      <w:r>
        <w:t xml:space="preserve"> our own data analysis, suggest there is a general tendency for total and public spending on infrastructure to decline as a portion of GDP when GDP per capita rises, even while the variation around average levels in lower-income countries is much greater than that in high-income countries. See again also Figure 2.16—although there are developing countries that spend a small share of GDP on infrastructure, including Rwanda, Burkina Faso, and Chad, a large portion of the countries at that end of the scale are high-income countries; in contrast, essentially all of those countries spending high portions of GDP are developing societies.</w:t>
      </w:r>
    </w:p>
    <w:p w:rsidR="007D46DA" w:rsidRDefault="007D46DA" w:rsidP="007D46DA"/>
    <w:p w:rsidR="007D46DA" w:rsidRDefault="007D46DA" w:rsidP="007D46DA">
      <w:r>
        <w:t>This pattern with rising income suggests that infrastructure spending has a very different character for societies than do education or health spending. In the latter instances, our own cross-country analysis shows a modest tendency for public educational expenditures to rise as a share of GDP with higher income and a strong tendency for public health expenditures to so rise.  Variations of spending rates for lower-income countries around the average patterns are again sharply greater than in high-income countries.  Infrastructure is not what economists would label an "inferior good", that is one for which demand falls in absolute terms with rises in income (as demand for mass-market beer or white bread tends to do for individuals), but its share of budgets does notably tend to decline on average.  That has important and somewhat positive implications, to which later chapters will return, for the ability of societies to meet physical infrastructure targets.</w:t>
      </w:r>
    </w:p>
    <w:p w:rsidR="007D46DA" w:rsidRPr="00CA4EF3" w:rsidRDefault="007D46DA" w:rsidP="007D46DA"/>
    <w:p w:rsidR="007D46DA" w:rsidRPr="00CA4EF3" w:rsidRDefault="007D46DA" w:rsidP="007D46DA">
      <w:pPr>
        <w:rPr>
          <w:b/>
        </w:rPr>
      </w:pPr>
      <w:r w:rsidRPr="00CA4EF3">
        <w:rPr>
          <w:noProof/>
        </w:rPr>
        <w:drawing>
          <wp:anchor distT="0" distB="0" distL="114300" distR="114300" simplePos="0" relativeHeight="251668480" behindDoc="0" locked="1" layoutInCell="1" allowOverlap="1">
            <wp:simplePos x="952500" y="1108548"/>
            <wp:positionH relativeFrom="column">
              <wp:align>center</wp:align>
            </wp:positionH>
            <wp:positionV relativeFrom="paragraph">
              <wp:posOffset>18415</wp:posOffset>
            </wp:positionV>
            <wp:extent cx="5944816" cy="6403718"/>
            <wp:effectExtent l="19050" t="19050" r="17834" b="16132"/>
            <wp:wrapTopAndBottom/>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5944816" cy="6403718"/>
                    </a:xfrm>
                    <a:prstGeom prst="rect">
                      <a:avLst/>
                    </a:prstGeom>
                    <a:noFill/>
                    <a:ln w="9525">
                      <a:solidFill>
                        <a:schemeClr val="accent1"/>
                      </a:solidFill>
                      <a:miter lim="800000"/>
                      <a:headEnd/>
                      <a:tailEnd/>
                    </a:ln>
                  </pic:spPr>
                </pic:pic>
              </a:graphicData>
            </a:graphic>
          </wp:anchor>
        </w:drawing>
      </w:r>
      <w:r w:rsidRPr="00CA4EF3">
        <w:rPr>
          <w:b/>
        </w:rPr>
        <w:t>Figure 2.</w:t>
      </w:r>
      <w:r>
        <w:rPr>
          <w:b/>
        </w:rPr>
        <w:t>16</w:t>
      </w:r>
      <w:r w:rsidRPr="00CA4EF3">
        <w:rPr>
          <w:b/>
        </w:rPr>
        <w:t xml:space="preserve"> Recent </w:t>
      </w:r>
      <w:r>
        <w:rPr>
          <w:b/>
        </w:rPr>
        <w:t>e</w:t>
      </w:r>
      <w:r w:rsidRPr="00CA4EF3">
        <w:rPr>
          <w:b/>
        </w:rPr>
        <w:t xml:space="preserve">stimates of </w:t>
      </w:r>
      <w:r>
        <w:rPr>
          <w:b/>
        </w:rPr>
        <w:t>i</w:t>
      </w:r>
      <w:r w:rsidRPr="00CA4EF3">
        <w:rPr>
          <w:b/>
        </w:rPr>
        <w:t xml:space="preserve">nfrastructure </w:t>
      </w:r>
      <w:r>
        <w:rPr>
          <w:b/>
        </w:rPr>
        <w:t>s</w:t>
      </w:r>
      <w:r w:rsidRPr="00CA4EF3">
        <w:rPr>
          <w:b/>
        </w:rPr>
        <w:t xml:space="preserve">pending as a </w:t>
      </w:r>
      <w:r>
        <w:rPr>
          <w:b/>
        </w:rPr>
        <w:t>p</w:t>
      </w:r>
      <w:r w:rsidRPr="00CA4EF3">
        <w:rPr>
          <w:b/>
        </w:rPr>
        <w:t>ercentage of GDP</w:t>
      </w:r>
    </w:p>
    <w:p w:rsidR="007D46DA" w:rsidRPr="00441E0F" w:rsidRDefault="007D46DA" w:rsidP="007D46DA">
      <w:pPr>
        <w:rPr>
          <w:i/>
        </w:rPr>
      </w:pPr>
      <w:r w:rsidRPr="003779E3">
        <w:rPr>
          <w:i/>
        </w:rPr>
        <w:t xml:space="preserve">Sources: </w:t>
      </w:r>
      <w:r w:rsidR="00F7383F" w:rsidRPr="003779E3">
        <w:rPr>
          <w:i/>
        </w:rPr>
        <w:fldChar w:fldCharType="begin"/>
      </w:r>
      <w:r w:rsidRPr="003779E3">
        <w:rPr>
          <w:i/>
        </w:rPr>
        <w:instrText xml:space="preserve"> ADDIN ZOTERO_ITEM {"citationID":"3ga5vb0kc","properties":{"formattedCitation":"{\\rtf (Asian Development Bank (ADB), Japan Bank for International Cooperation (JBIC), and World Bank 2005; Calder\\uc0\\u243{}n and Serv\\uc0\\u233{}n 2004; Commission on Growth and Development 2008; Foster and Brice\\uc0\\u241{}o-Garmendia 2010; Organisation for Economic Cooperation and Development (OECD) 2009)}","plainCitation":"(Asian Development Bank (ADB), Japan Bank for International Cooperation (JBIC), and World Bank 2005; Calderón and Servén 2004; Commission on Growth and Development 2008; Foster and Briceño-Garmendia 2010; Organisation for Economic Cooperation and Development (OECD) 2009)"},"citationItems":[{"id":921,"uris":["http://zotero.org/groups/4482/items/T6QH93WA"],"uri":["http://zotero.org/groups/4482/items/T6QH93WA"],"label":"page"},{"id":909,"uris":["http://zotero.org/groups/4482/items/3VMR8XSA"],"uri":["http://zotero.org/groups/4482/items/3VMR8XSA"],"label":"page"},{"id":1257,"uris":["http://zotero.org/groups/4482/items/D9FUNAA7"],"uri":["http://zotero.org/groups/4482/items/D9FUNAA7"],"label":"page"},{"id":301,"uris":["http://zotero.org/groups/4482/items/8R277WSI"],"uri":["http://zotero.org/groups/4482/items/8R277WSI"],"label":"page"},{"id":911,"uris":["http://zotero.org/groups/4482/items/GBDQQ67P"],"uri":["http://zotero.org/groups/4482/items/GBDQQ67P"],"label":"page"}]} </w:instrText>
      </w:r>
      <w:r w:rsidR="00F7383F" w:rsidRPr="003779E3">
        <w:rPr>
          <w:i/>
        </w:rPr>
        <w:fldChar w:fldCharType="separate"/>
      </w:r>
      <w:r w:rsidRPr="003779E3">
        <w:rPr>
          <w:i/>
        </w:rPr>
        <w:t>(Asian Development Bank (ADB), Japan Bank for International Cooperation (JBIC), and World Bank 2005; Calderón and Servén 2004; Commission on Growth and Development 2008; Foster and Briceño-Garmendia 2010; Organisation for Economic Cooperation and Development (OECD) 2009)</w:t>
      </w:r>
      <w:r w:rsidR="00F7383F" w:rsidRPr="003779E3">
        <w:rPr>
          <w:i/>
        </w:rPr>
        <w:fldChar w:fldCharType="end"/>
      </w:r>
    </w:p>
    <w:p w:rsidR="007D46DA" w:rsidRPr="00957B59" w:rsidRDefault="007D46DA" w:rsidP="007D46DA"/>
    <w:p w:rsidR="007D46DA" w:rsidRDefault="007D46DA" w:rsidP="007D46DA">
      <w:r>
        <w:rPr>
          <w:i/>
        </w:rPr>
        <w:t>Most</w:t>
      </w:r>
      <w:r w:rsidRPr="00536216">
        <w:rPr>
          <w:i/>
        </w:rPr>
        <w:t xml:space="preserve"> countries have seen public spending on infrastructure as percent of their GDP decline </w:t>
      </w:r>
      <w:r>
        <w:rPr>
          <w:i/>
        </w:rPr>
        <w:t xml:space="preserve">or remain flat </w:t>
      </w:r>
      <w:r w:rsidRPr="00536216">
        <w:rPr>
          <w:i/>
        </w:rPr>
        <w:t xml:space="preserve">over the last few decades. </w:t>
      </w:r>
      <w:r>
        <w:t xml:space="preserve">Figure 2.17 shows the trends from the studies that provide time series data for individual countries </w:t>
      </w:r>
      <w:r w:rsidR="00F7383F">
        <w:fldChar w:fldCharType="begin"/>
      </w:r>
      <w:r>
        <w:instrText xml:space="preserve"> ADDIN ZOTERO_ITEM {"citationID":"T7nAkcgB","properties":{"formattedCitation":"{\\rtf (Calder\\uc0\\u243{}n and Serv\\uc0\\u233{}n 2010; Kim and Nangia 2010; Organisation for Economic Cooperation and Development (OECD) 2009; US Department of the Treasury 2010)}","plainCitation":"(Calderón and Servén 2010; Kim and Nangia 2010; Organisation for Economic Cooperation and Development (OECD) 2009; US Department of the Treasury 2010)"},"citationItems":[{"id":726,"uris":["http://zotero.org/groups/4482/items/HRVUPP3U"],"uri":["http://zotero.org/groups/4482/items/HRVUPP3U"],"label":"page"},{"id":1155,"uris":["http://zotero.org/groups/4482/items/HTKAHJNN"],"uri":["http://zotero.org/groups/4482/items/HTKAHJNN"],"label":"page"},{"id":911,"uris":["http://zotero.org/groups/4482/items/GBDQQ67P"],"uri":["http://zotero.org/groups/4482/items/GBDQQ67P"],"label":"page"},{"id":1524,"uris":["http://zotero.org/groups/4482/items/PCXVBEQ3"],"uri":["http://zotero.org/groups/4482/items/PCXVBEQ3"],"label":"page"}]} </w:instrText>
      </w:r>
      <w:r w:rsidR="00F7383F">
        <w:fldChar w:fldCharType="separate"/>
      </w:r>
      <w:r w:rsidRPr="00B64F25">
        <w:t>(Calderón and Servén 2010; Kim and Nangia 2010; Organisation for Economic Cooperation and Development (OECD) 2009; US Department of the Treasury 2010)</w:t>
      </w:r>
      <w:r w:rsidR="00F7383F">
        <w:fldChar w:fldCharType="end"/>
      </w:r>
      <w:r>
        <w:t>. This has also been directly highlighted by a number of authors.</w:t>
      </w:r>
      <w:r w:rsidRPr="00D824ED">
        <w:t xml:space="preserve"> Calder</w:t>
      </w:r>
      <w:r w:rsidRPr="00D45F09">
        <w:t>ó</w:t>
      </w:r>
      <w:r>
        <w:t>n and Servén (2010) and Estache (2005) noted that, in much of the developing world, the debt and financial crises of the 1980s and 1990s and the resulting push for structural adjustment and austerity programs led to significant declines in public spending that have yet to reverse in some countries. This was most evidently so in Latin America, where public sector spending fell by an average of two-thirds, from a peak of 3.18 percent of GDP in 1987 to a low of .94 percent in 2004 (</w:t>
      </w:r>
      <w:r w:rsidRPr="00D824ED">
        <w:t>Calder</w:t>
      </w:r>
      <w:r w:rsidRPr="00D45F09">
        <w:t>ó</w:t>
      </w:r>
      <w:r>
        <w:t xml:space="preserve">n and Servén 2010). </w:t>
      </w:r>
      <w:r w:rsidRPr="00D824ED">
        <w:t xml:space="preserve">Kim and Nangia </w:t>
      </w:r>
      <w:r w:rsidR="00F7383F">
        <w:fldChar w:fldCharType="begin"/>
      </w:r>
      <w:r>
        <w:instrText xml:space="preserve"> ADDIN ZOTERO_ITEM {"citationID":"WvCJ8AvP","properties":{"formattedCitation":"{\\rtf (2010, 102\\uc0\\u8211{}103)}","plainCitation":"(2010, 102–103)"},"citationItems":[{"id":1155,"uris":["http://zotero.org/groups/4482/items/HTKAHJNN"],"uri":["http://zotero.org/groups/4482/items/HTKAHJNN"],"locator":"102-103","label":"page","suppress-author":true}]} </w:instrText>
      </w:r>
      <w:r w:rsidR="00F7383F">
        <w:fldChar w:fldCharType="separate"/>
      </w:r>
      <w:r w:rsidRPr="001139CE">
        <w:t>(2010, 102–103)</w:t>
      </w:r>
      <w:r w:rsidR="00F7383F">
        <w:fldChar w:fldCharType="end"/>
      </w:r>
      <w:r w:rsidRPr="00D824ED">
        <w:t xml:space="preserve"> noted that</w:t>
      </w:r>
      <w:r>
        <w:t xml:space="preserve"> while</w:t>
      </w:r>
      <w:r w:rsidRPr="00D824ED">
        <w:t xml:space="preserve"> annual infrastructure investment in East Asia as a share of GDP increased “from 3.6 percent in the 1970s to 4.6 percent in the 1980</w:t>
      </w:r>
      <w:r>
        <w:t>s, and to 5.3 percent in 1993… a</w:t>
      </w:r>
      <w:r w:rsidRPr="00D824ED">
        <w:t>fter the Asian financial crisis in the late 1990s, infrastructure investments collapsed in m</w:t>
      </w:r>
      <w:r>
        <w:t xml:space="preserve">any of the affected countries.” </w:t>
      </w:r>
      <w:r w:rsidRPr="00D824ED">
        <w:t xml:space="preserve">Jones </w:t>
      </w:r>
      <w:r w:rsidR="00F7383F">
        <w:fldChar w:fldCharType="begin"/>
      </w:r>
      <w:r>
        <w:instrText xml:space="preserve"> ADDIN ZOTERO_ITEM {"citationID":"1g7flljcne","properties":{"formattedCitation":"(2006, 6)","plainCitation":"(2006, 6)"},"citationItems":[{"id":1523,"uris":["http://zotero.org/groups/4482/items/FE6JDWR7"],"uri":["http://zotero.org/groups/4482/items/FE6JDWR7"],"locator":"6","label":"page","suppress-author":true}]} </w:instrText>
      </w:r>
      <w:r w:rsidR="00F7383F">
        <w:fldChar w:fldCharType="separate"/>
      </w:r>
      <w:r w:rsidRPr="001E4060">
        <w:rPr>
          <w:szCs w:val="21"/>
        </w:rPr>
        <w:t>(2006, 6)</w:t>
      </w:r>
      <w:r w:rsidR="00F7383F">
        <w:fldChar w:fldCharType="end"/>
      </w:r>
      <w:r>
        <w:t xml:space="preserve">, in reviewing much of the data assembled for the </w:t>
      </w:r>
      <w:r>
        <w:rPr>
          <w:i/>
        </w:rPr>
        <w:t>Connecting East Asia</w:t>
      </w:r>
      <w:r>
        <w:t xml:space="preserve"> report, </w:t>
      </w:r>
      <w:r w:rsidRPr="00D824ED">
        <w:t>found a similar pattern</w:t>
      </w:r>
      <w:r>
        <w:t>,</w:t>
      </w:r>
      <w:r w:rsidRPr="00D824ED">
        <w:t xml:space="preserve"> with public spending declining in many countries from the 1990s to the early 2000s, again due in large part to financial crisis and response. Cambodia, India, Indonesia, Pakistan and the Philippines saw declines in</w:t>
      </w:r>
      <w:r>
        <w:t xml:space="preserve"> </w:t>
      </w:r>
      <w:r w:rsidRPr="00D824ED">
        <w:t>public funding</w:t>
      </w:r>
      <w:r>
        <w:t xml:space="preserve">, while spending increased in </w:t>
      </w:r>
      <w:r w:rsidRPr="00D824ED">
        <w:t>Chin</w:t>
      </w:r>
      <w:r>
        <w:t xml:space="preserve">a, Vietnam and Thailand outpacing declines in the other of the countries </w:t>
      </w:r>
      <w:r w:rsidR="00F7383F">
        <w:fldChar w:fldCharType="begin"/>
      </w:r>
      <w:r>
        <w:instrText xml:space="preserve"> ADDIN ZOTERO_ITEM {"citationID":"HqXEh66y","properties":{"formattedCitation":"(Jones 2006, 6)","plainCitation":"(Jones 2006, 6)"},"citationItems":[{"id":1523,"uris":["http://zotero.org/groups/4482/items/FE6JDWR7"],"uri":["http://zotero.org/groups/4482/items/FE6JDWR7"],"locator":"6","label":"page"}]} </w:instrText>
      </w:r>
      <w:r w:rsidR="00F7383F">
        <w:fldChar w:fldCharType="separate"/>
      </w:r>
      <w:r>
        <w:rPr>
          <w:szCs w:val="21"/>
        </w:rPr>
        <w:t>(Jones 2006, 6)</w:t>
      </w:r>
      <w:r w:rsidR="00F7383F">
        <w:fldChar w:fldCharType="end"/>
      </w:r>
      <w:r w:rsidRPr="00D824ED">
        <w:t>.</w:t>
      </w:r>
      <w:r>
        <w:t xml:space="preserve"> Nearly every OECD country for which we have data also saw their infrastructure spending as a percent of GDP fall over time, with the average OECD country seeing a 13 percent decline in spending levels, from a high of 3.83 percent of GDP in 1989 to 3.32 percent in 2005.</w:t>
      </w:r>
      <w:r w:rsidRPr="000E4C4E">
        <w:rPr>
          <w:rStyle w:val="FootnoteReference"/>
        </w:rPr>
        <w:footnoteReference w:id="27"/>
      </w:r>
      <w:r>
        <w:t xml:space="preserve"> In the US, public spending on infrastructure underwent a gradual but steady decline from a high of 3.1 percent of GDP in 1963 to a low of 2.3 to 2.4 in the early 2000s (CBO 2010).</w:t>
      </w:r>
    </w:p>
    <w:p w:rsidR="007D46DA" w:rsidRDefault="007D46DA" w:rsidP="007D46DA"/>
    <w:p w:rsidR="007D46DA" w:rsidRPr="00957B59" w:rsidRDefault="007D46DA" w:rsidP="007D46DA">
      <w:r w:rsidRPr="00957B59">
        <w:rPr>
          <w:noProof/>
        </w:rPr>
        <w:drawing>
          <wp:inline distT="0" distB="0" distL="0" distR="0">
            <wp:extent cx="5943600" cy="3381437"/>
            <wp:effectExtent l="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rto="http://schemas.microsoft.com/office/word/2006/arto" xmlns:mo="http://schemas.microsoft.com/office/mac/office/2008/main" xmlns:mv="urn:schemas-microsoft-com:mac:vm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5943600" cy="3381437"/>
                    </a:xfrm>
                    <a:prstGeom prst="rect">
                      <a:avLst/>
                    </a:prstGeom>
                    <a:noFill/>
                    <a:ln>
                      <a:noFill/>
                    </a:ln>
                  </pic:spPr>
                </pic:pic>
              </a:graphicData>
            </a:graphic>
          </wp:inline>
        </w:drawing>
      </w:r>
      <w:r>
        <w:rPr>
          <w:b/>
        </w:rPr>
        <w:t>Figure 2.17 Trends in total and public infrastructure spending as a % of GDP since 1975</w:t>
      </w:r>
    </w:p>
    <w:p w:rsidR="007D46DA" w:rsidRDefault="007D46DA" w:rsidP="007D46DA">
      <w:r>
        <w:rPr>
          <w:i/>
        </w:rPr>
        <w:t>Sources: Calderón and Servén 2010, Kim and Nangia 2010, OECD 2009, U.S. Department of Treasury 2010.</w:t>
      </w:r>
    </w:p>
    <w:p w:rsidR="007D46DA" w:rsidRPr="005302F1" w:rsidRDefault="007D46DA" w:rsidP="007D46DA"/>
    <w:p w:rsidR="007D46DA" w:rsidRDefault="007D46DA" w:rsidP="007D46DA">
      <w:r w:rsidRPr="00536216">
        <w:rPr>
          <w:i/>
        </w:rPr>
        <w:t>Private investment in infrastructure has increased in most countries and in most sectors over the last few decades, but except for a few countries, these increases have been unable to make up for the declines in public spending.</w:t>
      </w:r>
      <w:r>
        <w:t xml:space="preserve"> A primary reason is that most private investments have been highly concentrated in terms of sector and geography. Worldwide, 10 countries accounted for 70 percent of all private investment in infrastructure—Argentina, Brazil, China, India, Malaysia, </w:t>
      </w:r>
      <w:r w:rsidRPr="00E714B9">
        <w:t xml:space="preserve">Mexico, the Philippines, South Korea, and Thailand </w:t>
      </w:r>
      <w:r w:rsidR="00F7383F" w:rsidRPr="00E714B9">
        <w:fldChar w:fldCharType="begin"/>
      </w:r>
      <w:r w:rsidRPr="00E714B9">
        <w:instrText xml:space="preserve"> ADDIN ZOTERO_ITEM {"citationID":"Mso6FJlt","properties":{"formattedCitation":"{\\rtf (Brice\\uc0\\u241{}o-Garmendia, Estache, and Shafik 2004, 20)}","plainCitation":"(Briceño-Garmendia, Estache, and Shafik 2004, 20)"},"citationItems":[{"id":630,"uris":["http://zotero.org/groups/4482/items/VI9I44TW"],"uri":["http://zotero.org/groups/4482/items/VI9I44TW"],"locator":"20"}]} </w:instrText>
      </w:r>
      <w:r w:rsidR="00F7383F" w:rsidRPr="00E714B9">
        <w:fldChar w:fldCharType="separate"/>
      </w:r>
      <w:r w:rsidRPr="00E714B9">
        <w:t>(Briceño-Garmendia, Estache, and Shafik 2004, 20)</w:t>
      </w:r>
      <w:r w:rsidR="00F7383F" w:rsidRPr="00E714B9">
        <w:fldChar w:fldCharType="end"/>
      </w:r>
      <w:r w:rsidRPr="00E714B9">
        <w:t>. Estache (2010) identified Latin America as the best-performing region of the world in terms of private financing of infrastructure at 35 percent of total spending (regional average) thanks to a strong push for privatization. In 1990, private companies in Latin America provided only 3 percent of telephone and electricity</w:t>
      </w:r>
      <w:r>
        <w:t xml:space="preserve"> connections and close to no water connections. By 2003, private investment levels in Latin </w:t>
      </w:r>
      <w:r w:rsidRPr="00E714B9">
        <w:t xml:space="preserve">America dramatically increased from 0.72 percent of GDP in 1990 to 1.3 percent. Private companies in 2003 were managing 86 percent of all telecom subscriptions, 60 percent of electricity and 11 percent of water connections </w:t>
      </w:r>
      <w:r w:rsidR="00F7383F" w:rsidRPr="00E714B9">
        <w:fldChar w:fldCharType="begin"/>
      </w:r>
      <w:r w:rsidRPr="00E714B9">
        <w:instrText xml:space="preserve"> ADDIN ZOTERO_ITEM {"citationID":"LDKdTbCl","properties":{"formattedCitation":"(Fay and Morrison 2007, iv)","plainCitation":"(Fay and Morrison 2007, iv)"},"citationItems":[{"id":347,"uris":["http://zotero.org/groups/4482/items/BF954KCA"],"uri":["http://zotero.org/groups/4482/items/BF954KCA"],"locator":"iv","label":"page"}]} </w:instrText>
      </w:r>
      <w:r w:rsidR="00F7383F" w:rsidRPr="00E714B9">
        <w:fldChar w:fldCharType="separate"/>
      </w:r>
      <w:r w:rsidRPr="00E714B9">
        <w:rPr>
          <w:noProof/>
        </w:rPr>
        <w:t>(Fay and Morrison 2007, iv)</w:t>
      </w:r>
      <w:r w:rsidR="00F7383F" w:rsidRPr="00E714B9">
        <w:fldChar w:fldCharType="end"/>
      </w:r>
      <w:r w:rsidRPr="00E714B9">
        <w:t xml:space="preserve">. Even so, this investment was “insufficient to offset the fall in public investment” </w:t>
      </w:r>
      <w:r w:rsidR="00F7383F" w:rsidRPr="00E714B9">
        <w:fldChar w:fldCharType="begin"/>
      </w:r>
      <w:r w:rsidRPr="00E714B9">
        <w:instrText xml:space="preserve"> ADDIN ZOTERO_ITEM {"citationID":"2n291dc2nv","properties":{"formattedCitation":"{\\rtf (Calder\\uc0\\u243{}n and Serv\\uc0\\u233{}n 2010, 23)}","plainCitation":"(Calderón and Servén 2010, 23)"},"citationItems":[{"id":726,"uris":["http://zotero.org/groups/4482/items/HRVUPP3U"],"uri":["http://zotero.org/groups/4482/items/HRVUPP3U"],"locator":"23","label":"page"}]} </w:instrText>
      </w:r>
      <w:r w:rsidR="00F7383F" w:rsidRPr="00E714B9">
        <w:fldChar w:fldCharType="separate"/>
      </w:r>
      <w:r w:rsidRPr="00E714B9">
        <w:t>(Calderón and Servén 2010, 23)</w:t>
      </w:r>
      <w:r w:rsidR="00F7383F" w:rsidRPr="00E714B9">
        <w:fldChar w:fldCharType="end"/>
      </w:r>
      <w:r w:rsidRPr="00E714B9">
        <w:t>. In sub-Saharan Africa, the worst performing region, private investment only provided about 10 percent of total spending, with over 70 percent of the spending going to ICT and 20 percent to electricity, and a negligible amount to transportation and water and sanitation (Estache (2010, 68).</w:t>
      </w:r>
    </w:p>
    <w:p w:rsidR="007D46DA" w:rsidRDefault="007D46DA" w:rsidP="007D46DA"/>
    <w:p w:rsidR="007D46DA" w:rsidRDefault="007D46DA" w:rsidP="007D46DA">
      <w:r w:rsidRPr="00536216">
        <w:rPr>
          <w:i/>
        </w:rPr>
        <w:t>The largest shares of overall and public spending on infrastructure tend to be for power generation and transportation. ICT generally receives the largest share of private investment.</w:t>
      </w:r>
      <w:r>
        <w:t xml:space="preserve"> The breakdown of infrastructure spending across sectors and in terms of new construction versus maintenance both show more of a pattern across regions. In Latin America, the electricity sector saw the largest share of public spending in the 1980s averaging 1.54 percent of GDP, with transportation second most (.83) and the ICT and water sectors the least (.4 and .2 respectively). By 2005, spending in all sectors had become much more evenly distributed, with transportation now seeing the most at .76, electricity second at .7, ICT a close third at .65 thanks to high levels of private investment and water at .28. In sub-Saharan Africa, the electricity sector also saw the highest level of spending, at 2 percent of GDP, transportation was again the second most at 1.8 percent, and ICT and water and sanitation were both much lower at .77 and .67 percent respectively. East Asia’s spending breakdown was quite similar, with electricity at 2.45 percent of GDP, transportation at 2.6 percent, and ICT and water at .76 and .71 percent respectively.</w:t>
      </w:r>
    </w:p>
    <w:p w:rsidR="007D46DA" w:rsidRDefault="007D46DA" w:rsidP="007D46DA"/>
    <w:p w:rsidR="007D46DA" w:rsidRDefault="007D46DA" w:rsidP="007D46DA">
      <w:r>
        <w:rPr>
          <w:i/>
        </w:rPr>
        <w:t xml:space="preserve">A significant proportion of infrastructure spending tends to be directed towards operations and maintenance, with higher income countries devoting a larger share of funds to maintenance than lower income countries. </w:t>
      </w:r>
      <w:r>
        <w:t xml:space="preserve">In the OECD, maintenance on existing infrastructure tends to account for roughly half of all infrastructure spending </w:t>
      </w:r>
      <w:r w:rsidR="00F7383F">
        <w:fldChar w:fldCharType="begin"/>
      </w:r>
      <w:r>
        <w:instrText xml:space="preserve"> ADDIN ZOTERO_ITEM CSL_CITATION {"citationID":"Eb2WNx8w","properties":{"formattedCitation":"(Organisation for Economic Cooperation and Development (OECD) 2006, 218)","plainCitation":"(Organisation for Economic Cooperation and Development (OECD) 2006, 218)"},"citationItems":[{"id":1462,"uris":["http://zotero.org/groups/4482/items/5MCXH4FW"],"uri":["http://zotero.org/groups/4482/items/5MCXH4FW"],"itemData":{"id":1462,"type":"book","title":"Infrastructure to 2030 Volume 1: Telecom, Land Transport, Water and Electricity","collection-title":"Infrastructure to 2030","publisher":"OECD","publisher-place":"Paris","number-of-pages":"355","event-place":"Paris","abstract":"Infrastructures are the very foundation of modern economies and societies.  Energy, transport, water, telecommunications, all will continue to be essential to future development and growth.  However, infrastructure investment requirements over the coming decades will be massive, running into trillions of dollars.  The bulk of investment will be in the developing world, especially in the major economies such as China, India and Brazil.","ISBN":"9264023984","call-number":"0000","author":[{"family":"Organisation for Economic Cooperation and Development (OECD)","given":""}],"issued":{"year":2006}},"locator":"218","label":"page"}],"schema":"https://github.com/citation-style-language/schema/raw/master/csl-citation.json"} </w:instrText>
      </w:r>
      <w:r w:rsidR="00F7383F">
        <w:fldChar w:fldCharType="separate"/>
      </w:r>
      <w:r>
        <w:rPr>
          <w:noProof/>
        </w:rPr>
        <w:t>(Organisation for Economic Cooperation and Development (OECD) 2006, 218)</w:t>
      </w:r>
      <w:r w:rsidR="00F7383F">
        <w:fldChar w:fldCharType="end"/>
      </w:r>
      <w:r>
        <w:t xml:space="preserve">. The US, for example, has since 1984 devoted an average of 50 to 55 percent of its infrastructure spending to operations and maintenance </w:t>
      </w:r>
      <w:r w:rsidR="00F7383F">
        <w:fldChar w:fldCharType="begin"/>
      </w:r>
      <w:r>
        <w:instrText xml:space="preserve"> ADDIN ZOTERO_ITEM CSL_CITATION {"citationID":"nGpmNqv4","properties":{"formattedCitation":"(US Department of the Treasury 2010)","plainCitation":"(US Department of the Treasury 2010)"},"citationItems":[{"id":1524,"uris":["http://zotero.org/groups/4482/items/PCXVBEQ3"],"uri":["http://zotero.org/groups/4482/items/PCXVBEQ3"],"itemData":{"id":1524,"type":"manuscript","title":"An Economic Analysis of Infrastructure Investment","publisher-place":"Washington, D.C.","event-place":"Washington, D.C.","URL":"http://www.whitehouse.gov/sites/default/files/infrastructure_investment_report.pdf","call-number":"0000","author":[{"family":"US Department of the Treasury","given":""}],"issued":{"year":2010}}}],"schema":"https://github.com/citation-style-language/schema/raw/master/csl-citation.json"} </w:instrText>
      </w:r>
      <w:r w:rsidR="00F7383F">
        <w:fldChar w:fldCharType="separate"/>
      </w:r>
      <w:r>
        <w:rPr>
          <w:noProof/>
        </w:rPr>
        <w:t>(US Department of the Treasury 2010)</w:t>
      </w:r>
      <w:r w:rsidR="00F7383F">
        <w:fldChar w:fldCharType="end"/>
      </w:r>
      <w:r>
        <w:t xml:space="preserve">. In sub-Saharan Africa, on the other hand, maintenance and operations account for only 20 percent of total infrastructure spending, whereas 80 percent has gone to new construction </w:t>
      </w:r>
      <w:r w:rsidR="00F7383F">
        <w:fldChar w:fldCharType="begin"/>
      </w:r>
      <w:r>
        <w:instrText xml:space="preserve"> ADDIN ZOTERO_ITEM CSL_CITATION {"citationID":"Ulx4w7v1","properties":{"formattedCitation":"{\\rtf (Brice\\uc0\\u241{}o-Garmendia, Smits, and Foster 2008, 3)}","plainCitation":"(Briceño-Garmendia, Smits, and Foster 2008, 3)"},"citationItems":[{"id":1196,"uris":["http://zotero.org/groups/4482/items/UP8ZFQK9"],"uri":["http://zotero.org/groups/4482/items/UP8ZFQK9"],"locator":"3","label":"page"}],"schema":"https://github.com/citation-style-language/schema/raw/master/csl-citation.json"} </w:instrText>
      </w:r>
      <w:r w:rsidR="00F7383F">
        <w:fldChar w:fldCharType="separate"/>
      </w:r>
      <w:r w:rsidRPr="004B507B">
        <w:rPr>
          <w:rFonts w:ascii="Cambria"/>
        </w:rPr>
        <w:t>(Brice</w:t>
      </w:r>
      <w:r w:rsidRPr="004B507B">
        <w:rPr>
          <w:rFonts w:ascii="Cambria"/>
        </w:rPr>
        <w:t>ñ</w:t>
      </w:r>
      <w:r w:rsidRPr="004B507B">
        <w:rPr>
          <w:rFonts w:ascii="Cambria"/>
        </w:rPr>
        <w:t>o-Garmendia, Smits, and Foster 2008, 3)</w:t>
      </w:r>
      <w:r w:rsidR="00F7383F">
        <w:fldChar w:fldCharType="end"/>
      </w:r>
      <w:r>
        <w:t xml:space="preserve">. Although this is consistent with the need of low-income countries to build much more new infrastructure, it is also one of the major factors leading to the under-maintenance that plagues Africa’s infrastructure sector </w:t>
      </w:r>
      <w:r w:rsidR="00F7383F">
        <w:fldChar w:fldCharType="begin"/>
      </w:r>
      <w:r>
        <w:instrText xml:space="preserve"> ADDIN ZOTERO_ITEM CSL_CITATION {"citationID":"rvKs919l","properties":{"formattedCitation":"{\\rtf (Foster and Brice\\uc0\\u241{}o-Garmendia 2010, 73)}","plainCitation":"(Foster and Briceño-Garmendia 2010, 73)"},"citationItems":[{"id":301,"uris":["http://zotero.org/groups/4482/items/8R277WSI"],"uri":["http://zotero.org/groups/4482/items/8R277WSI"],"itemData":{"id":301,"type":"book","title":"Africa's Infrastructure: A Time for Transformation","publisher":"Agence Française de Développement and the World Bank","publisher-place":"Washington, DC","event-place":"Washington, DC","ISBN":"9780821380413","author":[{"family":"Foster","given":"Vivien"},{"family":"Briceño-Garmendia","given":"Cecilia"}],"issued":{"year":2010}},"locator":"73","label":"page"}],"schema":"https://github.com/citation-style-language/schema/raw/master/csl-citation.json"} </w:instrText>
      </w:r>
      <w:r w:rsidR="00F7383F">
        <w:fldChar w:fldCharType="separate"/>
      </w:r>
      <w:r w:rsidRPr="0071199B">
        <w:rPr>
          <w:rFonts w:ascii="Cambria" w:hAnsiTheme="minorHAnsi"/>
        </w:rPr>
        <w:t>(Foster and Briceño-Garmendia 2010, 73)</w:t>
      </w:r>
      <w:r w:rsidR="00F7383F">
        <w:fldChar w:fldCharType="end"/>
      </w:r>
      <w:r>
        <w:t xml:space="preserve"> and that of other developing countries. </w:t>
      </w:r>
    </w:p>
    <w:p w:rsidR="007D46DA" w:rsidRPr="00CA4EF3" w:rsidRDefault="007D46DA" w:rsidP="00877E30">
      <w:pPr>
        <w:pStyle w:val="Heading2"/>
        <w:numPr>
          <w:ilvl w:val="1"/>
          <w:numId w:val="30"/>
        </w:numPr>
      </w:pPr>
      <w:bookmarkStart w:id="57" w:name="_Toc250297162"/>
      <w:bookmarkStart w:id="58" w:name="_Toc250297163"/>
      <w:bookmarkEnd w:id="57"/>
      <w:bookmarkEnd w:id="58"/>
      <w:r>
        <w:t xml:space="preserve"> </w:t>
      </w:r>
      <w:bookmarkStart w:id="59" w:name="_Toc199580849"/>
      <w:bookmarkStart w:id="60" w:name="_Toc200095275"/>
      <w:r w:rsidRPr="00CA4EF3">
        <w:t>Conclusion</w:t>
      </w:r>
      <w:bookmarkEnd w:id="59"/>
      <w:bookmarkEnd w:id="60"/>
    </w:p>
    <w:p w:rsidR="007D46DA" w:rsidRPr="00CA4EF3" w:rsidRDefault="007D46DA" w:rsidP="007D46DA">
      <w:pPr>
        <w:tabs>
          <w:tab w:val="left" w:pos="3264"/>
        </w:tabs>
      </w:pPr>
      <w:r w:rsidRPr="00CA4EF3">
        <w:t>Infrastructure takes many forms. Some, like roads, have been with us for much of our history. Others, like mobile broadband networks, are little more than a decade old.</w:t>
      </w:r>
      <w:r w:rsidRPr="00CA4EF3" w:rsidDel="006B0DDE">
        <w:t xml:space="preserve"> </w:t>
      </w:r>
      <w:r w:rsidRPr="00CA4EF3">
        <w:t>In this chapter we have presented a picture of the recent history of infrastructure</w:t>
      </w:r>
      <w:r>
        <w:t>—</w:t>
      </w:r>
      <w:r w:rsidRPr="00CA4EF3">
        <w:t>at least insofar as how much there is</w:t>
      </w:r>
      <w:r>
        <w:t xml:space="preserve"> and </w:t>
      </w:r>
      <w:r w:rsidRPr="00CA4EF3">
        <w:t>how much has been spent on it</w:t>
      </w:r>
      <w:r>
        <w:t>—</w:t>
      </w:r>
      <w:r w:rsidRPr="00CA4EF3">
        <w:t xml:space="preserve">and how </w:t>
      </w:r>
      <w:r>
        <w:t>it</w:t>
      </w:r>
      <w:r w:rsidRPr="00CA4EF3">
        <w:t xml:space="preserve"> </w:t>
      </w:r>
      <w:r>
        <w:t xml:space="preserve">has </w:t>
      </w:r>
      <w:r w:rsidRPr="00CA4EF3">
        <w:t>var</w:t>
      </w:r>
      <w:r>
        <w:t>ied</w:t>
      </w:r>
      <w:r w:rsidRPr="00CA4EF3">
        <w:t xml:space="preserve"> across countries and over time. Even as some poorer countries have moved rapidly to close the gap with more </w:t>
      </w:r>
      <w:r>
        <w:t>developed</w:t>
      </w:r>
      <w:r w:rsidRPr="00CA4EF3">
        <w:t xml:space="preserve"> countries, </w:t>
      </w:r>
      <w:r>
        <w:t xml:space="preserve">very </w:t>
      </w:r>
      <w:r w:rsidRPr="00CA4EF3">
        <w:t xml:space="preserve">significant differences </w:t>
      </w:r>
      <w:r>
        <w:t xml:space="preserve">remain </w:t>
      </w:r>
      <w:r w:rsidRPr="00CA4EF3">
        <w:t xml:space="preserve">in the availability of infrastructure. Progress has occurred in fits and starts, reflecting the high up-front costs of most infrastructure, the time frames required for new construction, and the </w:t>
      </w:r>
      <w:r>
        <w:t>key roles</w:t>
      </w:r>
      <w:r w:rsidRPr="00CA4EF3">
        <w:t xml:space="preserve"> that political and institutional factors </w:t>
      </w:r>
      <w:r>
        <w:t>play in</w:t>
      </w:r>
      <w:r w:rsidRPr="00CA4EF3">
        <w:t xml:space="preserve"> its development and maintenance.</w:t>
      </w:r>
    </w:p>
    <w:p w:rsidR="007D46DA" w:rsidRPr="00CA4EF3" w:rsidRDefault="007D46DA" w:rsidP="007D46DA"/>
    <w:p w:rsidR="007D46DA" w:rsidRDefault="007D46DA" w:rsidP="007D46DA">
      <w:r w:rsidRPr="00CA4EF3">
        <w:t>As we reflect on th</w:t>
      </w:r>
      <w:r>
        <w:t>e</w:t>
      </w:r>
      <w:r w:rsidRPr="00CA4EF3">
        <w:t xml:space="preserve"> progress</w:t>
      </w:r>
      <w:r>
        <w:t xml:space="preserve"> described in this chapter</w:t>
      </w:r>
      <w:r w:rsidRPr="00CA4EF3">
        <w:t>, we must not forget that</w:t>
      </w:r>
      <w:r>
        <w:t>:</w:t>
      </w:r>
    </w:p>
    <w:p w:rsidR="007D46DA" w:rsidRDefault="007D46DA" w:rsidP="007D46DA"/>
    <w:p w:rsidR="007D46DA" w:rsidRDefault="007D46DA" w:rsidP="007D46DA">
      <w:pPr>
        <w:ind w:left="864" w:right="864"/>
      </w:pPr>
      <w:r w:rsidRPr="00CA4EF3">
        <w:t>Infrastructures are not an end in themselves. Rather, they are a means for ensuring the delivery of goods and services that promote prosperity and growth and contribute to the quality of life, including the social wellbeing, health and safety of citizens, and the quality of their environments (Stevens et al. 2006, 20)</w:t>
      </w:r>
      <w:r>
        <w:t>.</w:t>
      </w:r>
    </w:p>
    <w:p w:rsidR="007D46DA" w:rsidRDefault="007D46DA" w:rsidP="007D46DA"/>
    <w:p w:rsidR="007D46DA" w:rsidRPr="00CA4EF3" w:rsidRDefault="007D46DA" w:rsidP="007D46DA">
      <w:r w:rsidRPr="00CA4EF3">
        <w:t>In the next chapter, we turn our attention to the relationships between infrastructure and human development</w:t>
      </w:r>
      <w:r>
        <w:t xml:space="preserve"> and environmental sustainability</w:t>
      </w:r>
      <w:r w:rsidRPr="00CA4EF3">
        <w:t>. This will complete the conceptual foundation and historical review needed to move forward with our own analysis of the future of infrastructure.</w:t>
      </w:r>
    </w:p>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Pr="005C2421" w:rsidRDefault="007D46DA" w:rsidP="007D46DA">
      <w:pPr>
        <w:pStyle w:val="Heading1"/>
        <w:numPr>
          <w:ilvl w:val="0"/>
          <w:numId w:val="0"/>
        </w:numPr>
      </w:pPr>
      <w:bookmarkStart w:id="61" w:name="_Toc199583374"/>
      <w:bookmarkStart w:id="62" w:name="_Toc200095276"/>
      <w:r w:rsidRPr="005C2421">
        <w:t xml:space="preserve">3. Infrastructure, Human Development, and </w:t>
      </w:r>
      <w:r w:rsidRPr="00E105B1">
        <w:t>the Environment</w:t>
      </w:r>
      <w:bookmarkEnd w:id="61"/>
      <w:bookmarkEnd w:id="62"/>
    </w:p>
    <w:p w:rsidR="007D46DA" w:rsidRPr="005C2421" w:rsidRDefault="007D46DA" w:rsidP="007D46DA"/>
    <w:p w:rsidR="007D46DA" w:rsidRPr="005C2421" w:rsidRDefault="007D46DA" w:rsidP="007D46DA">
      <w:pPr>
        <w:jc w:val="center"/>
      </w:pPr>
      <w:r w:rsidRPr="00E105B1">
        <w:rPr>
          <w:i/>
        </w:rPr>
        <w:t xml:space="preserve">Infrastructures are at the very heart of economic and social development. They provide the foundations for virtually all modern-day economic activity, constitute a major economic sector in their own right, and contribute importantly to raising living standards and the quality of life. However, infrastructures also have less desirable consequences. To name but a few – more roads may mean more traffic and more noise, power plants may add considerably to greenhouse gas emissions, and dams may entail the destruction of large areas of countryside and the displacement of population </w:t>
      </w:r>
      <w:r w:rsidR="00F7383F" w:rsidRPr="00E105B1">
        <w:rPr>
          <w:i/>
        </w:rPr>
        <w:fldChar w:fldCharType="begin"/>
      </w:r>
      <w:r w:rsidRPr="00E105B1">
        <w:rPr>
          <w:i/>
        </w:rPr>
        <w:instrText xml:space="preserve"> ADDIN ZOTERO_ITEM {"citationID":"nu6r4hj2m","properties":{"formattedCitation":"(Organisation for Economic Cooperation and Development (OECD) 2006, 14)","plainCitation":"(Organisation for Economic Cooperation and Development (OECD) 2006, 14)"},"citationItems":[{"id":1462,"uris":["http://zotero.org/groups/4482/items/5MCXH4FW"],"uri":["http://zotero.org/groups/4482/items/5MCXH4FW"],"locator":"14","label":"page"}]} </w:instrText>
      </w:r>
      <w:r w:rsidR="00F7383F" w:rsidRPr="00E105B1">
        <w:rPr>
          <w:i/>
        </w:rPr>
        <w:fldChar w:fldCharType="separate"/>
      </w:r>
      <w:r w:rsidRPr="00E105B1">
        <w:t>(Organisation for Economic Cooperation and Development (OECD) 2006, 14)</w:t>
      </w:r>
      <w:r w:rsidR="00F7383F" w:rsidRPr="00E105B1">
        <w:rPr>
          <w:i/>
        </w:rPr>
        <w:fldChar w:fldCharType="end"/>
      </w:r>
      <w:r w:rsidRPr="00E105B1">
        <w:rPr>
          <w:i/>
        </w:rPr>
        <w:t>.</w:t>
      </w:r>
    </w:p>
    <w:p w:rsidR="007D46DA" w:rsidRPr="005C2421" w:rsidRDefault="007D46DA" w:rsidP="007D46DA"/>
    <w:p w:rsidR="007D46DA" w:rsidRPr="005C2421" w:rsidRDefault="007D46DA" w:rsidP="007D46DA">
      <w:pPr>
        <w:jc w:val="center"/>
      </w:pPr>
      <w:r w:rsidRPr="00E105B1">
        <w:rPr>
          <w:i/>
        </w:rPr>
        <w:t>The extent and quality of physical infrastructure are among the most crucial characteristics defining development. Any traveler from the First World to the Third World will be struck by the sheer difficulty of getting around, the economic opportunities lost for lack of transport or reliable energy, the flooding during heavy rains, or the stench of untreated sewage. It is almost trite to say that physical infrastructure is the backbone of any developed economy and a pillar of quality of life. For that matter, the quality of physical infrastructure can determine which developed nations maintain this quality of life in their cities and towns by preventing the collapse of bridges, disruption of neighborhoods, emission of toxic fumes, and the loss of touch with nature as rivers disappear under concrete. Countries with very strong physical infrastructure can maintain dense populations in comfort and cam move people, goods, and information swiftly and at low cost; countries with weaker infrastructure, whether developed or developing, cannot</w:t>
      </w:r>
      <w:r w:rsidRPr="00E105B1">
        <w:t xml:space="preserve"> </w:t>
      </w:r>
      <w:r w:rsidR="00F7383F" w:rsidRPr="00E105B1">
        <w:fldChar w:fldCharType="begin"/>
      </w:r>
      <w:r w:rsidRPr="00E105B1">
        <w:instrText xml:space="preserve"> ADDIN ZOTERO_ITEM {"citationID":"2ltsgl3qr5","properties":{"formattedCitation":"(Ascher and Krupp 2010, 1)","plainCitation":"(Ascher and Krupp 2010, 1)"},"citationItems":[{"id":1177,"uris":["http://zotero.org/groups/4482/items/JTR36TSP"],"uri":["http://zotero.org/groups/4482/items/JTR36TSP"],"locator":"1","label":"page"}]} </w:instrText>
      </w:r>
      <w:r w:rsidR="00F7383F" w:rsidRPr="00E105B1">
        <w:fldChar w:fldCharType="separate"/>
      </w:r>
      <w:r w:rsidRPr="00E105B1">
        <w:t>(Ascher and Krupp 2010, 1)</w:t>
      </w:r>
      <w:r w:rsidR="00F7383F" w:rsidRPr="00E105B1">
        <w:fldChar w:fldCharType="end"/>
      </w:r>
      <w:r w:rsidRPr="00E105B1">
        <w:t>.</w:t>
      </w:r>
    </w:p>
    <w:p w:rsidR="007D46DA" w:rsidRPr="005C2421" w:rsidRDefault="007D46DA" w:rsidP="007D46DA">
      <w:pPr>
        <w:jc w:val="center"/>
      </w:pPr>
    </w:p>
    <w:p w:rsidR="007D46DA" w:rsidRPr="005C2421" w:rsidRDefault="007D46DA" w:rsidP="007D46DA">
      <w:pPr>
        <w:jc w:val="center"/>
      </w:pPr>
      <w:r w:rsidRPr="00E105B1">
        <w:rPr>
          <w:i/>
        </w:rPr>
        <w:t>No country has sustained rapid growth without also keeping up impressive rates of public investment—in infrastructure, education, and health.”</w:t>
      </w:r>
      <w:r w:rsidRPr="00E105B1">
        <w:t xml:space="preserve"> </w:t>
      </w:r>
      <w:r w:rsidR="00F7383F" w:rsidRPr="00E105B1">
        <w:fldChar w:fldCharType="begin"/>
      </w:r>
      <w:r w:rsidRPr="00E105B1">
        <w:instrText xml:space="preserve"> ADDIN ZOTERO_ITEM {"citationID":"1vii5veh53","properties":{"formattedCitation":"(Commission on Growth and Development 2008, 5)","plainCitation":"(Commission on Growth and Development 2008, 5)"},"citationItems":[{"id":1257,"uris":["http://zotero.org/groups/4482/items/D9FUNAA7"],"uri":["http://zotero.org/groups/4482/items/D9FUNAA7"],"locator":"5","label":"page"}]} </w:instrText>
      </w:r>
      <w:r w:rsidR="00F7383F" w:rsidRPr="00E105B1">
        <w:fldChar w:fldCharType="separate"/>
      </w:r>
      <w:r w:rsidRPr="00E105B1">
        <w:t>(Commission on Growth and Development 2008, 5)</w:t>
      </w:r>
      <w:r w:rsidR="00F7383F" w:rsidRPr="00E105B1">
        <w:fldChar w:fldCharType="end"/>
      </w:r>
    </w:p>
    <w:p w:rsidR="007D46DA" w:rsidRPr="005C2421" w:rsidRDefault="007D46DA" w:rsidP="007D46DA"/>
    <w:p w:rsidR="007D46DA" w:rsidRPr="005C2421" w:rsidRDefault="007D46DA" w:rsidP="007D46DA">
      <w:r w:rsidRPr="00E105B1">
        <w:t>For many people in the developed world, daily life rests heavily on infrastructure and the services they provide. Transportation infrastructure allows us to travel to and from work, the supermarket, and even vacation spots around the world. Information and communications technology infrastructure lets us check email and stay up-to-date on world events from our computers, laptops, tablets, and mobile phones. Energy infrastructure heats our homes in the winter and keeps them cool in the summer, and water infrastructure enables us to take a shower every morning. The data on our use of infrastructure services is staggering. In the US alone, the average family in 2010 used 11,500 kilowatt-hours of electricity and 400 gallons of water in pursuit of daily activities (showers accounting for 16 percent of the water consumption). The country’s transportation networks carried some 137 million personal vehicles on its roads and flew some 680 million passengers to destinations across the country and around the world. At the same time, its data networks supported 245 million Internet users, 81 million fixed broadband connections, and 280 million mobile phone subscriptions.</w:t>
      </w:r>
      <w:r>
        <w:rPr>
          <w:rStyle w:val="FootnoteReference"/>
        </w:rPr>
        <w:footnoteReference w:id="28"/>
      </w:r>
      <w:r w:rsidRPr="00E105B1">
        <w:t xml:space="preserve"> Having access to infrastructure services clearly makes daily life better on an individual basis, but it is only in the aggregate that these benefits come together to create healthier, more educated, safer, and more productive societies. This raises several important questions: what are the mechanisms by which infrastructure and its services produce such macro-level benefits? Conversely, what are the implications for human development of poor or inadequate infrastructure? This chapter seeks to answer these questions in order to further our ability to model the forward linkages from infrastructure to human development. </w:t>
      </w:r>
    </w:p>
    <w:p w:rsidR="007D46DA" w:rsidRPr="005C2421" w:rsidRDefault="007D46DA" w:rsidP="007D46DA"/>
    <w:p w:rsidR="007D46DA" w:rsidRPr="005C2421" w:rsidRDefault="007D46DA" w:rsidP="007D46DA">
      <w:r w:rsidRPr="00E105B1">
        <w:t xml:space="preserve">Infrastructure’s relationship to human development is one of interdependence. Infrastructure is at once an engine of economic and social development and is impacted by it, as development leads to an increased demand for new infrastructure and a greater ability for countries to meet that demand. We can see the dynamics of this relationship in action by looking at a few specific examples. For example, while US households enjoy some of the highest electricity consumption levels in the world, many South African households are still without any electricity at all. South Africa has made strides in correcting this, and in so doing has seen a number of benefits in human development. In 1994, South Africa’s first post-apartheid government embarked on a large-scale electrification program specifically targeted at poor rural households and townships. Prior to this program, over two-thirds of the country’s households were without electricity and more than 80 percent still relied on firewood for cooking. By 2001, 2 million more households (or 23 percent of total households in the country) were connected to the country’s electrical grid under the program, at a cost of 1.4 billion US$. Bringing electricity to these households has had a number of positive impacts on human development, from economic growth to health. Economically, female employment rates in the newly electrified areas increased by 9.5 percent, with the greatest gains in rural areas, as time once spent collecting firewood, a predominantly female task, could now be spent more productively </w:t>
      </w:r>
      <w:fldSimple w:instr=" ADDIN ZOTERO_ITEM {&quot;citationID&quot;:&quot;gnhZ5aJL&quot;,&quot;properties&quot;:{&quot;formattedCitation&quot;:&quot;(Dinkelman 2011)&quot;,&quot;plainCitation&quot;:&quot;(Dinkelman 2011)&quot;},&quot;citationItems&quot;:[{&quot;id&quot;:1563,&quot;uris&quot;:[&quot;http://zotero.org/groups/4482/items/XN3AZWKG&quot;],&quot;uri&quot;:[&quot;http://zotero.org/groups/4482/items/XN3AZWKG&quot;]}]} ">
        <w:r w:rsidRPr="00E105B1">
          <w:rPr>
            <w:noProof/>
          </w:rPr>
          <w:t>(Dinkelman 2011)</w:t>
        </w:r>
      </w:fldSimple>
      <w:r w:rsidRPr="00E105B1">
        <w:t>. The increase in employment rates meant greater incomes for affected families, enabling them to improve their diets and to send more of their children to school. The provision of energy infrastructure also had a direct effect on health through decreasing indoor air pollution by replacing wood burning stoves. Under South Africa’s electrification project the number of households using firewood for cooking had dropped 3.9 percent by 2001. At the same time, the increase in incomes that come with electrification will also increase future demand for more infrastructure services, now that families can better afford them.</w:t>
      </w:r>
    </w:p>
    <w:p w:rsidR="007D46DA" w:rsidRPr="005C2421" w:rsidRDefault="007D46DA" w:rsidP="007D46DA"/>
    <w:p w:rsidR="007D46DA" w:rsidRPr="005C2421" w:rsidRDefault="007D46DA" w:rsidP="007D46DA">
      <w:r w:rsidRPr="00E105B1">
        <w:t xml:space="preserve">A similar dynamic exists between infrastructure and the natural environment, with terrain and climate strongly influencing the need for infrastructure and the kind of infrastructure employed, and with infrastructure transforming natural environments. Infrastructure, next to agriculture, represents humanity’s most significant alteration of the natural world. Dams and roads are just two of many examples. Lehner et al </w:t>
      </w:r>
      <w:fldSimple w:instr=" ADDIN ZOTERO_ITEM {&quot;citationID&quot;:&quot;189vhb4t39&quot;,&quot;properties&quot;:{&quot;formattedCitation&quot;:&quot;(2011)&quot;,&quot;plainCitation&quot;:&quot;(2011)&quot;},&quot;citationItems&quot;:[{&quot;id&quot;:1071,&quot;uris&quot;:[&quot;http://zotero.org/groups/4482/items/FTUR9APR&quot;],&quot;uri&quot;:[&quot;http://zotero.org/groups/4482/items/FTUR9APR&quot;],&quot;suppress-author&quot;:true}]} ">
        <w:r w:rsidRPr="00E105B1">
          <w:t>(2011)</w:t>
        </w:r>
      </w:fldSimple>
      <w:r w:rsidRPr="00E105B1">
        <w:t xml:space="preserve"> estimated that the approximately 50,000 dams in the world higher than 15 meters together have the capacity to store one sixth of the world’s total annual river flow into the oceans. And while the more than 30 million kilometers of roadways worldwide serve as a major connective network for human society, they also represent a primary cause of habitat fragmentation for natural ecosystems.</w:t>
      </w:r>
    </w:p>
    <w:p w:rsidR="007D46DA" w:rsidRPr="005C2421" w:rsidRDefault="007D46DA" w:rsidP="007D46DA"/>
    <w:p w:rsidR="007D46DA" w:rsidRPr="005C2421" w:rsidRDefault="007D46DA" w:rsidP="007D46DA">
      <w:r w:rsidRPr="00E105B1">
        <w:t>Projects like South Africa’s increased rural electrification can have a number of environmental impacts, positive and negative. Most directly, the electricity has to come from somewhere. Depending on the method of power generation, increased electricity production can mean more air and water pollution and perhaps even changes to the landscape (increased mining, new dams, etc). Indirectly, the introduction of more electric stoves will ease pressure on area forests as fewer households use firewood for cooking. In turn, South Africa’s environment will influence the amount of electric generation capacity needed (heating and cooling of homes) and the ways in which the electricity can be generated (energy resources like the presence of rivers, wind fields, etc.).</w:t>
      </w:r>
    </w:p>
    <w:p w:rsidR="007D46DA" w:rsidRPr="005C2421" w:rsidRDefault="007D46DA" w:rsidP="007D46DA"/>
    <w:p w:rsidR="007D46DA" w:rsidRPr="005C2421" w:rsidRDefault="007D46DA" w:rsidP="007D46DA">
      <w:r w:rsidRPr="00E105B1">
        <w:t xml:space="preserve">This chapter explores this coevolutionary relationship between infrastructure, human development, and the environment. We begin with infrastructure’s impact on human development, starting with the relationship between infrastructure and economic growth. We opted to begin here for two reasons. First, the connection between infrastructure and economic growth has received the most attention by researchers and decision makers. In particular, infrastructure projects and the evaluation of their results have focused predominantly on assessments of their contribution to economic development rather than to “social benefits” such as education. Transportation projects, for example, have only recently begun to include potential social benefits as part of the funding process and in evaluating project outcomes (see Odoki et al. </w:t>
      </w:r>
      <w:fldSimple w:instr=" ADDIN ZOTERO_ITEM {&quot;citationID&quot;:&quot;11f7kh0r95&quot;,&quot;properties&quot;:{&quot;formattedCitation&quot;:&quot;(2008)&quot;,&quot;plainCitation&quot;:&quot;(2008)&quot;},&quot;citationItems&quot;:[{&quot;id&quot;:1497,&quot;uris&quot;:[&quot;http://zotero.org/groups/4482/items/2ABGFAMF&quot;],&quot;uri&quot;:[&quot;http://zotero.org/groups/4482/items/2ABGFAMF&quot;],&quot;suppress-author&quot;:true}]} ">
        <w:r w:rsidRPr="00E105B1">
          <w:t>(2008)</w:t>
        </w:r>
      </w:fldSimple>
      <w:r w:rsidRPr="00E105B1">
        <w:t>for the development of an approach for such inclusion based on a case study in Uganda), but have long looked at the impact on trade and other economic activities. Second, economic growth is known to strongly influence many other aspects of human development, including inequality, health and education. Because of this influence, it is important to distinguish the direct effects of infrastructure from its indirect effects via economic growth when looking at these relationships.</w:t>
      </w:r>
      <w:r>
        <w:rPr>
          <w:rStyle w:val="FootnoteReference"/>
        </w:rPr>
        <w:footnoteReference w:id="29"/>
      </w:r>
    </w:p>
    <w:p w:rsidR="007D46DA" w:rsidRPr="005C2421" w:rsidRDefault="007D46DA" w:rsidP="007D46DA"/>
    <w:p w:rsidR="007D46DA" w:rsidRPr="005C2421" w:rsidRDefault="007D46DA" w:rsidP="007D46DA">
      <w:r w:rsidRPr="00E105B1">
        <w:t>We follow up our review of the forward links from infrastructure to human development with a summary of the keys drivers of infrastructure development in order to complete our description of this reciprocal relationship. In doing so we draw heavily upon studies that have attempted to project future demand for infrastructure and the associated funding requirements.</w:t>
      </w:r>
    </w:p>
    <w:p w:rsidR="007D46DA" w:rsidRPr="005C2421" w:rsidRDefault="007D46DA" w:rsidP="007D46DA"/>
    <w:p w:rsidR="007D46DA" w:rsidRPr="005C2421" w:rsidRDefault="007D46DA" w:rsidP="00A84F12">
      <w:pPr>
        <w:pStyle w:val="Heading2"/>
        <w:numPr>
          <w:ilvl w:val="1"/>
          <w:numId w:val="31"/>
        </w:numPr>
      </w:pPr>
      <w:bookmarkStart w:id="63" w:name="_Toc197508744"/>
      <w:bookmarkStart w:id="64" w:name="_Toc199583375"/>
      <w:bookmarkStart w:id="65" w:name="_Toc200095277"/>
      <w:r w:rsidRPr="00E105B1">
        <w:t xml:space="preserve">The </w:t>
      </w:r>
      <w:r>
        <w:t>I</w:t>
      </w:r>
      <w:r w:rsidRPr="005C2421">
        <w:t xml:space="preserve">mpact of </w:t>
      </w:r>
      <w:r>
        <w:t>I</w:t>
      </w:r>
      <w:r w:rsidRPr="005C2421">
        <w:t xml:space="preserve">nfrastructure on </w:t>
      </w:r>
      <w:r>
        <w:t>H</w:t>
      </w:r>
      <w:r w:rsidRPr="005C2421">
        <w:t xml:space="preserve">uman </w:t>
      </w:r>
      <w:r>
        <w:t>D</w:t>
      </w:r>
      <w:r w:rsidRPr="005C2421">
        <w:t xml:space="preserve">evelopment and the </w:t>
      </w:r>
      <w:r>
        <w:t>E</w:t>
      </w:r>
      <w:r w:rsidRPr="005C2421">
        <w:t>nvironment</w:t>
      </w:r>
      <w:bookmarkEnd w:id="63"/>
      <w:bookmarkEnd w:id="64"/>
      <w:bookmarkEnd w:id="65"/>
    </w:p>
    <w:p w:rsidR="007D46DA" w:rsidRPr="005C2421" w:rsidRDefault="007D46DA" w:rsidP="007D46DA">
      <w:r w:rsidRPr="005C2421">
        <w:t xml:space="preserve">Brenneman and Kerf </w:t>
      </w:r>
      <w:fldSimple w:instr=" ADDIN ZOTERO_ITEM {&quot;citationID&quot;:&quot;1uqc07nh6o&quot;,&quot;properties&quot;:{&quot;formattedCitation&quot;:&quot;(2002)&quot;,&quot;plainCitation&quot;:&quot;(2002)&quot;},&quot;citationItems&quot;:[{&quot;id&quot;:681,&quot;uris&quot;:[&quot;http://zotero.org/groups/4482/items/Z452ART4&quot;],&quot;uri&quot;:[&quot;http://zotero.org/groups/4482/items/Z452ART4&quot;],&quot;suppress-author&quot;:true}]} ">
        <w:r w:rsidRPr="005C2421">
          <w:t>(2002)</w:t>
        </w:r>
      </w:fldSimple>
      <w:r w:rsidRPr="005C2421">
        <w:t xml:space="preserve"> provide an important reference point for considering the impact of infrastructure on development. They reviewed the literature on the “poverty alleviation impact of increased access to infrastructure services in four sectors (energy, water and sanitation, information and communication technologies, and transportation)”</w:t>
      </w:r>
      <w:r w:rsidRPr="00E105B1">
        <w:t xml:space="preserve"> for the World Bank </w:t>
      </w:r>
      <w:r w:rsidR="00F7383F" w:rsidRPr="00E105B1">
        <w:fldChar w:fldCharType="begin"/>
      </w:r>
      <w:r w:rsidRPr="00E105B1">
        <w:instrText xml:space="preserve"> ADDIN ZOTERO_ITEM {"citationID":"efokjff9d","properties":{"formattedCitation":"(Brenneman and Kerf 2002, 1)","plainCitation":"(Brenneman and Kerf 2002, 1)"},"citationItems":[{"id":681,"uris":["http://zotero.org/groups/4482/items/Z452ART4"],"uri":["http://zotero.org/groups/4482/items/Z452ART4"],"locator":"1","label":"page"}]} </w:instrText>
      </w:r>
      <w:r w:rsidR="00F7383F" w:rsidRPr="00E105B1">
        <w:fldChar w:fldCharType="separate"/>
      </w:r>
      <w:r w:rsidRPr="00E105B1">
        <w:t>(Brenneman and Kerf 2002, 1)</w:t>
      </w:r>
      <w:r w:rsidR="00F7383F" w:rsidRPr="00E105B1">
        <w:fldChar w:fldCharType="end"/>
      </w:r>
      <w:r w:rsidRPr="00E105B1">
        <w:t xml:space="preserve">. They classified these impacts into eight categories, based on the work of a cross-sector working group on infrastructure and poverty: “(i) growth-enhancing impacts; (ii) increase of economic opportunities specifically targeted to the poor; (iii) direct savings; (iv) improved education; (v) improved governance framework; (vi) improved health; (vii) direct impact on well-being; (viii) fiscal impact (coupled with pro-poor policies) </w:t>
      </w:r>
      <w:r w:rsidR="00F7383F" w:rsidRPr="00E105B1">
        <w:fldChar w:fldCharType="begin"/>
      </w:r>
      <w:r w:rsidRPr="00E105B1">
        <w:instrText xml:space="preserve"> ADDIN ZOTERO_ITEM {"citationID":"K1yJlPHB","properties":{"formattedCitation":"(Brenneman and Kerf 2002, 1)","plainCitation":"(Brenneman and Kerf 2002, 1)"},"citationItems":[{"id":681,"uris":["http://zotero.org/groups/4482/items/Z452ART4"],"uri":["http://zotero.org/groups/4482/items/Z452ART4"],"locator":"1","label":"page"}]} </w:instrText>
      </w:r>
      <w:r w:rsidR="00F7383F" w:rsidRPr="00E105B1">
        <w:fldChar w:fldCharType="separate"/>
      </w:r>
      <w:r w:rsidRPr="00E105B1">
        <w:t>(Brenneman and Kerf 2002, 1)</w:t>
      </w:r>
      <w:r w:rsidR="00F7383F" w:rsidRPr="00E105B1">
        <w:fldChar w:fldCharType="end"/>
      </w:r>
      <w:r w:rsidRPr="00E105B1">
        <w:t>.”</w:t>
      </w:r>
    </w:p>
    <w:p w:rsidR="007D46DA" w:rsidRPr="005C2421" w:rsidRDefault="007D46DA" w:rsidP="007D46DA"/>
    <w:p w:rsidR="007D46DA" w:rsidRPr="005C2421" w:rsidRDefault="007D46DA" w:rsidP="007D46DA">
      <w:r w:rsidRPr="00E105B1">
        <w:t xml:space="preserve">Although their review focused on the poor, Brenneman and Kerf also pointed out that most of these impacts extend to all of society. As such, their classification serves as a good foundation for the review of infrastructure’s relationship to human development presented in this chapter. The first category, growth-enhancing impacts, has received, by far, the most attention by researchers and policymakers. We address categories ii and iii in our discussion of infrastructure’s impact on income inequality. Category vii, direct impact on well-being, is subsumed in these discussions, as well as those on the links between infrastructure and health and education. The one category that we find missing in their review is that of the links between infrastructure and the natural environment, which in turn, can further impact human well-being. Thus, we have added these linkages to the discussion in this chapter. </w:t>
      </w:r>
    </w:p>
    <w:p w:rsidR="007D46DA" w:rsidRPr="005C2421" w:rsidRDefault="007D46DA" w:rsidP="007D46DA"/>
    <w:p w:rsidR="007D46DA" w:rsidRPr="005C2421" w:rsidRDefault="007D46DA" w:rsidP="00877E30">
      <w:pPr>
        <w:pStyle w:val="Heading3"/>
        <w:numPr>
          <w:ilvl w:val="2"/>
          <w:numId w:val="31"/>
        </w:numPr>
      </w:pPr>
      <w:bookmarkStart w:id="66" w:name="_Toc199583376"/>
      <w:bookmarkStart w:id="67" w:name="_Toc200095278"/>
      <w:r w:rsidRPr="005C2421">
        <w:t xml:space="preserve">Infrastructure and </w:t>
      </w:r>
      <w:r>
        <w:t>e</w:t>
      </w:r>
      <w:r w:rsidRPr="005C2421">
        <w:t xml:space="preserve">conomic </w:t>
      </w:r>
      <w:r>
        <w:t>g</w:t>
      </w:r>
      <w:r w:rsidRPr="005C2421">
        <w:t>rowth</w:t>
      </w:r>
      <w:bookmarkEnd w:id="66"/>
      <w:bookmarkEnd w:id="67"/>
    </w:p>
    <w:p w:rsidR="007D46DA" w:rsidRPr="005C2421" w:rsidRDefault="007D46DA" w:rsidP="007D46DA">
      <w:r w:rsidRPr="005C2421">
        <w:t>According to many economists, Indonesia’s economy has grown more slowly over the last few years than would be expected given the array of positive economic factors going for it. Instead of the 6 percent growth actually charted, the country ought to be ‘growing at 8, 9, or even 10 percent’ annually.</w:t>
      </w:r>
      <w:r w:rsidRPr="005C2421">
        <w:rPr>
          <w:rStyle w:val="FootnoteReference"/>
        </w:rPr>
        <w:footnoteReference w:id="30"/>
      </w:r>
      <w:r w:rsidRPr="005C2421">
        <w:t xml:space="preserve"> The problem? Poor infrastructure. Indonesia’s infrastructure, from electricity to transportation, has simply not kept up with demand. 50 million people in the country still lack access to electricity and roughly 5 million people in the country’s capital city alone, lack running water.</w:t>
      </w:r>
      <w:r w:rsidRPr="005C2421">
        <w:rPr>
          <w:rStyle w:val="FootnoteReference"/>
        </w:rPr>
        <w:footnoteReference w:id="31"/>
      </w:r>
      <w:r w:rsidRPr="005C2421">
        <w:t xml:space="preserve"> And what infrastructure is built is poorly maintained, as illustrated by the November 2011 collapse of Indonesia’s ‘golden gate’ bridge, built only ten years ago. And the country saw at least two other such bridge collapses the same year.</w:t>
      </w:r>
      <w:r w:rsidRPr="005C2421">
        <w:rPr>
          <w:rStyle w:val="FootnoteReference"/>
        </w:rPr>
        <w:footnoteReference w:id="32"/>
      </w:r>
      <w:r w:rsidRPr="005C2421">
        <w:t xml:space="preserve"> Poor infrastructure is clearly having an economic toll on the country. It is often cheaper to import foreign goods than to transport domestically made goods. Cement, for example, costs 10 times more in Papua province (Indonesia’s eastern most province) than it does on Java.  Blackouts and inadequate transportation services have kept many multinational corporations from investing in the country. According to the WEF’s 2010-2011 Global Competitiveness Report, Indonesia’s infrastructure ranks as 82</w:t>
      </w:r>
      <w:r>
        <w:rPr>
          <w:vertAlign w:val="superscript"/>
        </w:rPr>
        <w:t>nd</w:t>
      </w:r>
      <w:r w:rsidRPr="00E105B1">
        <w:t xml:space="preserve"> in the world in quality, with its ports 96</w:t>
      </w:r>
      <w:r>
        <w:rPr>
          <w:vertAlign w:val="superscript"/>
        </w:rPr>
        <w:t>th</w:t>
      </w:r>
      <w:r w:rsidRPr="00E105B1">
        <w:t>, roads 84</w:t>
      </w:r>
      <w:r>
        <w:rPr>
          <w:vertAlign w:val="superscript"/>
        </w:rPr>
        <w:t>th</w:t>
      </w:r>
      <w:r w:rsidRPr="00E105B1">
        <w:t>, and electricity 87</w:t>
      </w:r>
      <w:r>
        <w:rPr>
          <w:vertAlign w:val="superscript"/>
        </w:rPr>
        <w:t>th</w:t>
      </w:r>
      <w:r w:rsidRPr="00E105B1">
        <w:t xml:space="preserve"> </w:t>
      </w:r>
      <w:fldSimple w:instr=" ADDIN ZOTERO_ITEM {&quot;citationID&quot;:&quot;GJKia8co&quot;,&quot;properties&quot;:{&quot;formattedCitation&quot;:&quot;(Schwab 2010)&quot;,&quot;plainCitation&quot;:&quot;(Schwab 2010)&quot;},&quot;citationItems&quot;:[{&quot;id&quot;:1145,&quot;uris&quot;:[&quot;http://zotero.org/groups/4482/items/8NVQJX87&quot;],&quot;uri&quot;:[&quot;http://zotero.org/groups/4482/items/8NVQJX87&quot;]}]} ">
        <w:r w:rsidRPr="00E105B1">
          <w:rPr>
            <w:noProof/>
          </w:rPr>
          <w:t>(Schwab 2010)</w:t>
        </w:r>
      </w:fldSimple>
      <w:r w:rsidRPr="00E105B1">
        <w:t xml:space="preserve">. Such poor rankings likely deter investments that might otherwise be made. </w:t>
      </w:r>
    </w:p>
    <w:p w:rsidR="007D46DA" w:rsidRPr="005C2421" w:rsidRDefault="007D46DA" w:rsidP="007D46DA"/>
    <w:p w:rsidR="007D46DA" w:rsidRPr="005C2421" w:rsidRDefault="007D46DA" w:rsidP="007D46DA">
      <w:r w:rsidRPr="00E105B1">
        <w:t>Indonesia’s economy is not the only one to be hampered by poor infrastructure. In Columbia, analysts liken the costs of poor transportation infrastructure to a 10 to 15 percent tax on all transported goods, and estimate that the country’s infrastructure deficits might be costing the country as much as 1 percent of GDP growth a year.</w:t>
      </w:r>
      <w:r>
        <w:rPr>
          <w:rStyle w:val="FootnoteReference"/>
        </w:rPr>
        <w:footnoteReference w:id="33"/>
      </w:r>
      <w:r w:rsidRPr="00E105B1">
        <w:t xml:space="preserve"> In Africa, poorly integrated regional ICT networks means it costs twice as much to call from one African country to another (1.2 US$ a minute) than to call the US (.73 US$ per minute). Most African countries rely on satellite connections for Internet access, leading to dial-up and broadband services that cost more than twice as much as in other regions of the world (Foster and</w:t>
      </w:r>
      <w:r w:rsidRPr="00E105B1">
        <w:rPr>
          <w:rFonts w:cs="Helvetica"/>
          <w:color w:val="1A1718"/>
          <w:sz w:val="26"/>
          <w:szCs w:val="26"/>
        </w:rPr>
        <w:t xml:space="preserve"> </w:t>
      </w:r>
      <w:r w:rsidRPr="005C2421">
        <w:rPr>
          <w:rFonts w:cs="Helvetica"/>
          <w:color w:val="1A1718"/>
          <w:szCs w:val="26"/>
        </w:rPr>
        <w:t>Briceño-Garmendia, 2010)</w:t>
      </w:r>
      <w:r w:rsidRPr="005C2421">
        <w:t xml:space="preserve">. </w:t>
      </w:r>
    </w:p>
    <w:p w:rsidR="007D46DA" w:rsidRPr="005C2421" w:rsidRDefault="007D46DA" w:rsidP="007D46DA"/>
    <w:p w:rsidR="007D46DA" w:rsidRPr="005C2421" w:rsidRDefault="007D46DA" w:rsidP="007D46DA">
      <w:r w:rsidRPr="005C2421">
        <w:t xml:space="preserve">Conceptually, the connections between infrastructure and economic growth seem readily identifiable. Infrastructure services function as intermediate inputs in the production process, boost productivity, enable domestic goods movement and international trade, and provide a more attractive environment for foreign investment. Exploring these paths, Hulten, Bennathan, and Srinivasan </w:t>
      </w:r>
      <w:fldSimple w:instr=" ADDIN ZOTERO_ITEM {&quot;citationID&quot;:&quot;KCCvz76d&quot;,&quot;properties&quot;:{&quot;formattedCitation&quot;:&quot;(2006)&quot;,&quot;plainCitation&quot;:&quot;(2006)&quot;},&quot;citationItems&quot;:[{&quot;id&quot;:545,&quot;uris&quot;:[&quot;http://zotero.org/groups/4482/items/RDKI3REE&quot;],&quot;uri&quot;:[&quot;http://zotero.org/groups/4482/items/RDKI3REE&quot;],&quot;suppress-author&quot;:true}]} ">
        <w:r w:rsidRPr="00E105B1">
          <w:t>(2006)</w:t>
        </w:r>
      </w:fldSimple>
      <w:r w:rsidRPr="00E105B1">
        <w:t xml:space="preserve"> and Straub </w:t>
      </w:r>
      <w:fldSimple w:instr=" ADDIN ZOTERO_ITEM {&quot;citationID&quot;:&quot;Ux4RLyu7&quot;,&quot;properties&quot;:{&quot;formattedCitation&quot;:&quot;(2008)&quot;,&quot;plainCitation&quot;:&quot;(2008)&quot;},&quot;citationItems&quot;:[{&quot;id&quot;:236,&quot;uris&quot;:[&quot;http://zotero.org/groups/4482/items/5DH46KB2&quot;],&quot;uri&quot;:[&quot;http://zotero.org/groups/4482/items/5DH46KB2&quot;],&quot;suppress-author&quot;:true}]} ">
        <w:r w:rsidRPr="00E105B1">
          <w:t>(2008)</w:t>
        </w:r>
      </w:fldSimple>
      <w:r w:rsidRPr="00E105B1">
        <w:t xml:space="preserve"> summarized two general ways in which infrastructure can influence economic growth through production. The first of these  is based on the fact that many infrastructure services function as intermediate inputs in the production process. To the extent that better infrastructure lowers costs for such inputs as transportation, communication, and energy, economic productivity is enhanced. The second pathway refers to more general efficiency-enhancing effects of infrastructure. Straub </w:t>
      </w:r>
      <w:fldSimple w:instr=" ADDIN ZOTERO_ITEM {&quot;citationID&quot;:&quot;MAK8AnSK&quot;,&quot;properties&quot;:{&quot;formattedCitation&quot;:&quot;(2008)&quot;,&quot;plainCitation&quot;:&quot;(2008)&quot;},&quot;citationItems&quot;:[{&quot;id&quot;:236,&quot;uris&quot;:[&quot;http://zotero.org/groups/4482/items/5DH46KB2&quot;],&quot;uri&quot;:[&quot;http://zotero.org/groups/4482/items/5DH46KB2&quot;],&quot;suppress-author&quot;:true}]} ">
        <w:r w:rsidRPr="00E105B1">
          <w:t>(2008)</w:t>
        </w:r>
      </w:fldSimple>
      <w:r w:rsidRPr="00E105B1">
        <w:t xml:space="preserve"> identified several channels by which these more general effects occur: 1) maintenance costs are reduced and private capital has greater durability; 2) adjustment costs are lower (e.g., infrastructure lowers the logistic costs of investments and reduces the need for private investment in things like back-up generators); 3) labor productivity is enhanced by increased communication and interaction and through wider spillover effects with better ICT; 4) labor productivity is further enhanced by the impact of infrastructure on human development (e.g., health and education); and 5) improved infrastructure, particularly transport, can lead to economies of scale and scope.</w:t>
      </w:r>
    </w:p>
    <w:p w:rsidR="007D46DA" w:rsidRPr="005C2421" w:rsidRDefault="007D46DA" w:rsidP="007D46DA"/>
    <w:p w:rsidR="007D46DA" w:rsidRPr="005C2421" w:rsidRDefault="007D46DA" w:rsidP="007D46DA">
      <w:r w:rsidRPr="00E105B1">
        <w:t xml:space="preserve">The economic impacts of improved infrastructure also have a significant international component. Mbekeani </w:t>
      </w:r>
      <w:fldSimple w:instr=" ADDIN ZOTERO_ITEM {&quot;citationID&quot;:&quot;yrLlaBTu&quot;,&quot;properties&quot;:{&quot;formattedCitation&quot;:&quot;(2010)&quot;,&quot;plainCitation&quot;:&quot;(2010)&quot;},&quot;citationItems&quot;:[{&quot;id&quot;:311,&quot;uris&quot;:[&quot;http://zotero.org/groups/4482/items/9C3GQ9RT&quot;],&quot;uri&quot;:[&quot;http://zotero.org/groups/4482/items/9C3GQ9RT&quot;],&quot;suppress-author&quot;:true}]} ">
        <w:r w:rsidRPr="00E105B1">
          <w:t>(2010)</w:t>
        </w:r>
      </w:fldSimple>
      <w:r w:rsidRPr="00E105B1">
        <w:t xml:space="preserve"> summarized the key roles that infrastructure plays in international trade. He pointed to, among other things, the importance of transportation and communications services for logistics management in increasingly globalized markets and production networks, and the important role infrastructure plays in the ability of countries to attract foreign investments. Mbekeani noted, in particular, the importance of infrastructure in promoting regional integration in Central America, Central Asia, and sub-Saharan Africa. In this vein, it is not surprising that the Organisation for Economic Co-operation and Development (OECD) followed up its Infrastructure to 2030 project </w:t>
      </w:r>
      <w:r w:rsidR="00F7383F" w:rsidRPr="00E105B1">
        <w:fldChar w:fldCharType="begin"/>
      </w:r>
      <w:r w:rsidRPr="00E105B1">
        <w:instrText xml:space="preserve"> ADDIN ZOTERO_ITEM {"citationID":"ed3ffl1r4","properties":{"formattedCitation":"(Organisation for Economic Cooperation and Development (OECD) 2006; 2007)","plainCitation":"(Organisation for Economic Cooperation and Development (OECD) 2006; 2007)"},"citationItems":[{"id":1462,"uris":["http://zotero.org/groups/4482/items/5MCXH4FW"],"uri":["http://zotero.org/groups/4482/items/5MCXH4FW"],"label":"page"},{"id":264,"uris":["http://zotero.org/groups/4482/items/6RBEAAE4"],"uri":["http://zotero.org/groups/4482/items/6RBEAAE4"],"label":"page","suppress-author":true}]} </w:instrText>
      </w:r>
      <w:r w:rsidR="00F7383F" w:rsidRPr="00E105B1">
        <w:fldChar w:fldCharType="separate"/>
      </w:r>
      <w:r w:rsidRPr="00E105B1">
        <w:t>(Organisation for Economic Cooperation and Development (OECD) 2006; 2007)</w:t>
      </w:r>
      <w:r w:rsidR="00F7383F" w:rsidRPr="00E105B1">
        <w:fldChar w:fldCharType="end"/>
      </w:r>
      <w:r w:rsidRPr="00E105B1">
        <w:t xml:space="preserve"> with a project on transcontinental infrastructure needs </w:t>
      </w:r>
      <w:r w:rsidR="00F7383F" w:rsidRPr="00E105B1">
        <w:fldChar w:fldCharType="begin"/>
      </w:r>
      <w:r w:rsidRPr="00E105B1">
        <w:instrText xml:space="preserve"> ADDIN ZOTERO_ITEM {"citationID":"23tg62di0f","properties":{"formattedCitation":"(Organisation for Economic Cooperation and Development (OECD) 2009)","plainCitation":"(Organisation for Economic Cooperation and Development (OECD) 2009)"},"citationItems":[{"id":493,"uris":["http://zotero.org/groups/4482/items/MJCCFDU5"],"uri":["http://zotero.org/groups/4482/items/MJCCFDU5"]}]} </w:instrText>
      </w:r>
      <w:r w:rsidR="00F7383F" w:rsidRPr="00E105B1">
        <w:fldChar w:fldCharType="separate"/>
      </w:r>
      <w:r w:rsidRPr="00E105B1">
        <w:t>(Organisation for Economic Cooperation and Development (OECD) 2009)</w:t>
      </w:r>
      <w:r w:rsidR="00F7383F" w:rsidRPr="00E105B1">
        <w:fldChar w:fldCharType="end"/>
      </w:r>
      <w:r w:rsidRPr="00E105B1">
        <w:t xml:space="preserve">. Other regional development organizations also have sponsored studies that similarly note the relationships between regional infrastructure, increased trade and foreign investment, and economic growth. The Asian Development Bank has invested heavily in such studies </w:t>
      </w:r>
      <w:r w:rsidR="00F7383F" w:rsidRPr="00E105B1">
        <w:fldChar w:fldCharType="begin"/>
      </w:r>
      <w:r w:rsidRPr="00E105B1">
        <w:instrText xml:space="preserve"> ADDIN ZOTERO_ITEM {"citationID":"2n4d9v93rt","properties":{"formattedCitation":"(Asian Development Bank (ADB), Japan Bank for International Cooperation (JBIC), and World Bank 2005; Asian Development Bank Institute 2009)","plainCitation":"(Asian Development Bank (ADB), Japan Bank for International Cooperation (JBIC), and World Bank 2005; Asian Development Bank Institute 2009)"},"citationItems":[{"id":921,"uris":["http://zotero.org/groups/4482/items/T6QH93WA"],"uri":["http://zotero.org/groups/4482/items/T6QH93WA"],"label":"page"},{"id":1153,"uris":["http://zotero.org/groups/4482/items/3ND5HTK3"],"uri":["http://zotero.org/groups/4482/items/3ND5HTK3"],"label":"page"}]} </w:instrText>
      </w:r>
      <w:r w:rsidR="00F7383F" w:rsidRPr="00E105B1">
        <w:fldChar w:fldCharType="separate"/>
      </w:r>
      <w:r w:rsidRPr="00E105B1">
        <w:t>(Asian Development Bank (ADB), Japan Bank for International Cooperation (JBIC), and World Bank 2005; Asian Development Bank Institute 2009)</w:t>
      </w:r>
      <w:r w:rsidR="00F7383F" w:rsidRPr="00E105B1">
        <w:fldChar w:fldCharType="end"/>
      </w:r>
      <w:r w:rsidRPr="00E105B1">
        <w:t xml:space="preserve">, and more recently the Permanent Secretariat of the Latin American and Caribbean Economic System </w:t>
      </w:r>
      <w:fldSimple w:instr=" ADDIN ZOTERO_ITEM {&quot;citationID&quot;:&quot;6bits2jf&quot;,&quot;properties&quot;:{&quot;formattedCitation&quot;:&quot;(2011)&quot;,&quot;plainCitation&quot;:&quot;(2011)&quot;},&quot;citationItems&quot;:[{&quot;id&quot;:1341,&quot;uris&quot;:[&quot;http://zotero.org/groups/4482/items/RW7FQ3U6&quot;],&quot;uri&quot;:[&quot;http://zotero.org/groups/4482/items/RW7FQ3U6&quot;],&quot;suppress-author&quot;:true}]} ">
        <w:r w:rsidRPr="00E105B1">
          <w:t>(2011)</w:t>
        </w:r>
      </w:fldSimple>
      <w:r w:rsidRPr="00E105B1">
        <w:t xml:space="preserve"> has highlighted the importance of physical infrastructure in that region.</w:t>
      </w:r>
    </w:p>
    <w:p w:rsidR="007D46DA" w:rsidRPr="005C2421" w:rsidRDefault="007D46DA" w:rsidP="007D46DA"/>
    <w:p w:rsidR="007D46DA" w:rsidRPr="005C2421" w:rsidRDefault="007D46DA" w:rsidP="007D46DA">
      <w:r w:rsidRPr="00E105B1">
        <w:t xml:space="preserve">Aschauer’s 1989 study is generally recognized as the seminal paper in what has become a rather large body of empirical research looking at the impacts of infrastructure on economic growth </w:t>
      </w:r>
      <w:fldSimple w:instr=" ADDIN ZOTERO_ITEM {&quot;citationID&quot;:&quot;d6ffemk2s&quot;,&quot;properties&quot;:{&quot;formattedCitation&quot;:&quot;(Aschauer 1989)&quot;,&quot;plainCitation&quot;:&quot;(Aschauer 1989)&quot;},&quot;citationItems&quot;:[{&quot;id&quot;:341,&quot;uris&quot;:[&quot;http://zotero.org/groups/4482/items/APP6KIV5&quot;],&quot;uri&quot;:[&quot;http://zotero.org/groups/4482/items/APP6KIV5&quot;]}]} ">
        <w:r w:rsidRPr="00E105B1">
          <w:t>(Aschauer 1989)</w:t>
        </w:r>
      </w:fldSimple>
      <w:r w:rsidRPr="00E105B1">
        <w:t xml:space="preserve">. Studies differ in terms of their measures of infrastructure, including whether they use physical or monetary measures, and what forms of infrastructure they include. While most examine overall economic activity, some focus on specific economic sectors, such as agriculture or manufacturing. They also differ in terms of geographic specificity, ranging from local to national, regional, or global coverage. Straub </w:t>
      </w:r>
      <w:r w:rsidR="00F7383F" w:rsidRPr="00E105B1">
        <w:fldChar w:fldCharType="begin"/>
      </w:r>
      <w:r w:rsidRPr="00E105B1">
        <w:instrText xml:space="preserve"> ADDIN ZOTERO_ITEM {"citationID":"zDcVcWuG","properties":{"formattedCitation":"(2008; 2011)","plainCitation":"(2008; 2011)"},"citationItems":[{"id":236,"uris":["http://zotero.org/groups/4482/items/5DH46KB2"],"uri":["http://zotero.org/groups/4482/items/5DH46KB2"],"label":"page","suppress-author":true},{"id":1171,"uris":["http://zotero.org/groups/4482/items/NTMIMTHX"],"uri":["http://zotero.org/groups/4482/items/NTMIMTHX"],"label":"page","suppress-author":true}]} </w:instrText>
      </w:r>
      <w:r w:rsidR="00F7383F" w:rsidRPr="00E105B1">
        <w:fldChar w:fldCharType="separate"/>
      </w:r>
      <w:r w:rsidRPr="00E105B1">
        <w:t>(2008; 2011)</w:t>
      </w:r>
      <w:r w:rsidR="00F7383F" w:rsidRPr="00E105B1">
        <w:fldChar w:fldCharType="end"/>
      </w:r>
      <w:r w:rsidRPr="00E105B1">
        <w:t xml:space="preserve"> has provided the most recent comprehensive reviews of this literature.</w:t>
      </w:r>
      <w:r>
        <w:rPr>
          <w:rStyle w:val="FootnoteReference"/>
        </w:rPr>
        <w:footnoteReference w:id="34"/>
      </w:r>
      <w:r w:rsidRPr="00E105B1">
        <w:t xml:space="preserve"> In the first of these, he reviewed macro-level empirical studies, microeconomic studies, and empirical economic geography studies. The latter paper was a critical appraisal of the macro-level literature based on a review of 30 studies.</w:t>
      </w:r>
    </w:p>
    <w:p w:rsidR="007D46DA" w:rsidRPr="005C2421" w:rsidRDefault="007D46DA" w:rsidP="007D46DA"/>
    <w:p w:rsidR="007D46DA" w:rsidRPr="005C2421" w:rsidRDefault="007D46DA" w:rsidP="007D46DA">
      <w:r w:rsidRPr="00E105B1">
        <w:t xml:space="preserve">A number of technical issues plague this literature, raising questions about the results of individual studies, making comparisons difficult, and thus affecting their value for both modeling and policymaking. Straub </w:t>
      </w:r>
      <w:fldSimple w:instr=" ADDIN ZOTERO_ITEM {&quot;citationID&quot;:&quot;4SXT90AS&quot;,&quot;properties&quot;:{&quot;formattedCitation&quot;:&quot;(2008)&quot;,&quot;plainCitation&quot;:&quot;(2008)&quot;},&quot;citationItems&quot;:[{&quot;id&quot;:236,&quot;uris&quot;:[&quot;http://zotero.org/groups/4482/items/5DH46KB2&quot;],&quot;uri&quot;:[&quot;http://zotero.org/groups/4482/items/5DH46KB2&quot;],&quot;suppress-author&quot;:true}]} ">
        <w:r w:rsidRPr="00E105B1">
          <w:t>(2008)</w:t>
        </w:r>
      </w:fldSimple>
      <w:r w:rsidRPr="00E105B1">
        <w:t xml:space="preserve"> and Calderón and Servén </w:t>
      </w:r>
      <w:fldSimple w:instr=" ADDIN ZOTERO_ITEM {&quot;citationID&quot;:&quot;2aJiOTuO&quot;,&quot;properties&quot;:{&quot;formattedCitation&quot;:&quot;(2010a)&quot;,&quot;plainCitation&quot;:&quot;(2010a)&quot;},&quot;citationItems&quot;:[{&quot;id&quot;:621,&quot;uris&quot;:[&quot;http://zotero.org/groups/4482/items/V86FCKMI&quot;],&quot;uri&quot;:[&quot;http://zotero.org/groups/4482/items/V86FCKMI&quot;],&quot;suppress-author&quot;:true}]} ">
        <w:r w:rsidRPr="00E105B1">
          <w:t>(2010a)</w:t>
        </w:r>
      </w:fldSimple>
      <w:r w:rsidRPr="00E105B1">
        <w:t xml:space="preserve"> have provided helpful summaries of these issues:</w:t>
      </w:r>
    </w:p>
    <w:p w:rsidR="007D46DA" w:rsidRPr="005C2421" w:rsidRDefault="007D46DA" w:rsidP="007D46DA"/>
    <w:p w:rsidR="00C94636" w:rsidRDefault="007D46DA" w:rsidP="007D46DA">
      <w:pPr>
        <w:numPr>
          <w:ilvl w:val="0"/>
          <w:numId w:val="14"/>
        </w:numPr>
      </w:pPr>
      <w:r w:rsidRPr="00E105B1">
        <w:rPr>
          <w:i/>
        </w:rPr>
        <w:t>What is the proper measure of infrastructure—spending or stocks?</w:t>
      </w:r>
      <w:r w:rsidRPr="00E105B1">
        <w:t xml:space="preserve"> Most early studies used measures of infrastructure expenditures or public capital expenditures in general. As forcefully argued by Pritchett </w:t>
      </w:r>
      <w:fldSimple w:instr=" ADDIN ZOTERO_ITEM {&quot;citationID&quot;:&quot;2mcq45r375&quot;,&quot;properties&quot;:{&quot;formattedCitation&quot;:&quot;(2000)&quot;,&quot;plainCitation&quot;:&quot;(2000)&quot;},&quot;citationItems&quot;:[{&quot;id&quot;:1000,&quot;uris&quot;:[&quot;http://zotero.org/groups/4482/items/GDGK93Z2&quot;],&quot;uri&quot;:[&quot;http://zotero.org/groups/4482/items/GDGK93Z2&quot;],&quot;suppress-author&quot;:true}]} ">
        <w:r w:rsidRPr="00E105B1">
          <w:t>(2000)</w:t>
        </w:r>
      </w:fldSimple>
      <w:r w:rsidRPr="00E105B1">
        <w:t xml:space="preserve">, however, equating expenditures with levels of infrastructure stocks ignores both significant differences in the efficacy of investment and the presence of corruption in the construction of infrastructure in many countries.  As described in Chapter 2, limited historical data on infrastructure spending is also a major issue. Thus, most recent studies have tended to focus on physical stocks of infrastructure. Even here, there is the question of the relative quality of these stocks across countries </w:t>
      </w:r>
      <w:fldSimple w:instr=" ADDIN ZOTERO_ITEM {&quot;citationID&quot;:&quot;26fsti2o93&quot;,&quot;properties&quot;:{&quot;formattedCitation&quot;:&quot;(Hulten 1996)&quot;,&quot;plainCitation&quot;:&quot;(Hulten 1996)&quot;},&quot;citationItems&quot;:[{&quot;id&quot;:1002,&quot;uris&quot;:[&quot;http://zotero.org/groups/4482/items/IX22W9V5&quot;],&quot;uri&quot;:[&quot;http://zotero.org/groups/4482/items/IX22W9V5&quot;]}]} ">
        <w:r w:rsidRPr="00E105B1">
          <w:t>(Hulten 1996)</w:t>
        </w:r>
      </w:fldSimple>
      <w:r w:rsidRPr="00E105B1">
        <w:t xml:space="preserve">. Some studies, for example Calderón and Servén </w:t>
      </w:r>
      <w:r w:rsidR="00F7383F" w:rsidRPr="00E105B1">
        <w:fldChar w:fldCharType="begin"/>
      </w:r>
      <w:r w:rsidRPr="00E105B1">
        <w:instrText xml:space="preserve"> ADDIN ZOTERO_ITEM {"citationID":"23ra3rf1vr","properties":{"formattedCitation":"(2004; 2010a; 2010b)","plainCitation":"(2004; 2010a; 2010b)"},"citationItems":[{"id":560,"uris":["http://zotero.org/groups/4482/items/SBJ8XUU6"],"uri":["http://zotero.org/groups/4482/items/SBJ8XUU6"],"label":"page","suppress-author":true},{"id":621,"uris":["http://zotero.org/groups/4482/items/V86FCKMI"],"uri":["http://zotero.org/groups/4482/items/V86FCKMI"],"label":"page","suppress-author":true},{"id":726,"uris":["http://zotero.org/groups/4482/items/HRVUPP3U"],"uri":["http://zotero.org/groups/4482/items/HRVUPP3U"],"label":"page","suppress-author":true}]} </w:instrText>
      </w:r>
      <w:r w:rsidR="00F7383F" w:rsidRPr="00E105B1">
        <w:fldChar w:fldCharType="separate"/>
      </w:r>
      <w:r w:rsidRPr="00E105B1">
        <w:t>(2004; 2010a; 2010b)</w:t>
      </w:r>
      <w:r w:rsidR="00F7383F" w:rsidRPr="00E105B1">
        <w:fldChar w:fldCharType="end"/>
      </w:r>
      <w:r w:rsidRPr="00E105B1">
        <w:t>, have tried to address this by including measures of infrastructure quality in addition to quantity.</w:t>
      </w:r>
      <w:r>
        <w:rPr>
          <w:rStyle w:val="FootnoteReference"/>
        </w:rPr>
        <w:footnoteReference w:id="35"/>
      </w:r>
    </w:p>
    <w:p w:rsidR="007D46DA" w:rsidRPr="005C2421" w:rsidRDefault="007D46DA" w:rsidP="00C94636">
      <w:pPr>
        <w:ind w:left="720"/>
      </w:pPr>
    </w:p>
    <w:p w:rsidR="00C94636" w:rsidRDefault="007D46DA" w:rsidP="007D46DA">
      <w:pPr>
        <w:numPr>
          <w:ilvl w:val="0"/>
          <w:numId w:val="14"/>
        </w:numPr>
      </w:pPr>
      <w:r w:rsidRPr="00E105B1">
        <w:rPr>
          <w:i/>
        </w:rPr>
        <w:t>What about interactions between different forms of infrastructure?</w:t>
      </w:r>
      <w:r w:rsidRPr="00E105B1">
        <w:t xml:space="preserve"> As discussed in Chapter 2, there are strong interconnections between different forms of infrastructure. Furthermore, there tends to be a high degree of positive correlation between infrastructure stocks; that is, if a country has a relatively large road network, it is more likely to have high ICT penetration. These make it difficult to isolate the specific impacts of individual forms of infrastructure. If an analysis includes only a single type of infrastructure, it will have a tendency to overestimate the impact of that infrastructure because it is not accounting for the other, correlated types of infrastructure. Alternatively, if an analysis includes multiple types of infrastructure, each represented separately, the estimated impacts of the individual types of infrastructure are likely to be insignificant and/or highly uncertain, because it is not possible to properly distinguish between the effects of the individual types of infrastructure </w:t>
      </w:r>
      <w:fldSimple w:instr=" ADDIN ZOTERO_ITEM {&quot;citationID&quot;:&quot;5vWHTPht&quot;,&quot;properties&quot;:{&quot;formattedCitation&quot;:&quot;(Kennedy 2008)&quot;,&quot;plainCitation&quot;:&quot;(Kennedy 2008)&quot;},&quot;citationItems&quot;:[{&quot;id&quot;:1187,&quot;uris&quot;:[&quot;http://zotero.org/groups/4482/items/TTEETACS&quot;],&quot;uri&quot;:[&quot;http://zotero.org/groups/4482/items/TTEETACS&quot;]}]} ">
        <w:r w:rsidRPr="00E105B1">
          <w:rPr>
            <w:noProof/>
          </w:rPr>
          <w:t>(Kennedy 2008)</w:t>
        </w:r>
      </w:fldSimple>
      <w:r w:rsidRPr="00E105B1">
        <w:t xml:space="preserve">. In Chapter 4, we introduce the use of aggregate indices of infrastructure. Most recent estimates of infrastructure’s impact on economic growth have used such an index (see for example Calderón and Servén </w:t>
      </w:r>
      <w:r w:rsidR="00F7383F" w:rsidRPr="00E105B1">
        <w:fldChar w:fldCharType="begin"/>
      </w:r>
      <w:r w:rsidRPr="00E105B1">
        <w:instrText xml:space="preserve"> ADDIN ZOTERO_ITEM {"citationID":"205gpoel1q","properties":{"formattedCitation":"(2010b; 2010a)","plainCitation":"(2010b; 2010a)"},"citationItems":[{"id":726,"uris":["http://zotero.org/groups/4482/items/HRVUPP3U"],"uri":["http://zotero.org/groups/4482/items/HRVUPP3U"],"label":"page","suppress-author":true},{"id":621,"uris":["http://zotero.org/groups/4482/items/V86FCKMI"],"uri":["http://zotero.org/groups/4482/items/V86FCKMI"],"label":"page","suppress-author":true}]} </w:instrText>
      </w:r>
      <w:r w:rsidR="00F7383F" w:rsidRPr="00E105B1">
        <w:fldChar w:fldCharType="separate"/>
      </w:r>
      <w:r w:rsidRPr="00E105B1">
        <w:t>(2010b; 2010a)</w:t>
      </w:r>
      <w:r w:rsidR="00F7383F" w:rsidRPr="00E105B1">
        <w:fldChar w:fldCharType="end"/>
      </w:r>
      <w:r w:rsidRPr="00E105B1">
        <w:t xml:space="preserve"> and Dash and Sahoo </w:t>
      </w:r>
      <w:fldSimple w:instr=" ADDIN ZOTERO_ITEM {&quot;citationID&quot;:&quot;1o9ms0l8cn&quot;,&quot;properties&quot;:{&quot;formattedCitation&quot;:&quot;(2010)&quot;,&quot;plainCitation&quot;:&quot;(2010)&quot;},&quot;citationItems&quot;:[{&quot;id&quot;:1172,&quot;uris&quot;:[&quot;http://zotero.org/groups/4482/items/RB3TDR52&quot;],&quot;uri&quot;:[&quot;http://zotero.org/groups/4482/items/RB3TDR52&quot;],&quot;suppress-author&quot;:true}]} ">
        <w:r w:rsidRPr="00E105B1">
          <w:t>(2010)</w:t>
        </w:r>
      </w:fldSimple>
      <w:r w:rsidRPr="00E105B1">
        <w:t>).</w:t>
      </w:r>
    </w:p>
    <w:p w:rsidR="007D46DA" w:rsidRPr="005C2421" w:rsidRDefault="007D46DA" w:rsidP="00C94636">
      <w:pPr>
        <w:ind w:left="720"/>
      </w:pPr>
    </w:p>
    <w:p w:rsidR="00C94636" w:rsidRDefault="007D46DA" w:rsidP="007D46DA">
      <w:pPr>
        <w:numPr>
          <w:ilvl w:val="0"/>
          <w:numId w:val="14"/>
        </w:numPr>
      </w:pPr>
      <w:r w:rsidRPr="00E105B1">
        <w:rPr>
          <w:i/>
        </w:rPr>
        <w:t>What other explanatory variables need to be included?</w:t>
      </w:r>
      <w:r w:rsidRPr="00E105B1">
        <w:t xml:space="preserve"> Many non-infrastructure drivers of productivity and economic growth also need to be accounted for in order to identify the specific effect of infrastructure. These include generally observable variables, such as levels of labor and private capital, but also less tangible ones. Straub </w:t>
      </w:r>
      <w:fldSimple w:instr=" ADDIN ZOTERO_ITEM {&quot;citationID&quot;:&quot;yq9l4IvZ&quot;,&quot;properties&quot;:{&quot;formattedCitation&quot;:&quot;(2011)&quot;,&quot;plainCitation&quot;:&quot;(2011)&quot;},&quot;citationItems&quot;:[{&quot;id&quot;:1171,&quot;uris&quot;:[&quot;http://zotero.org/groups/4482/items/NTMIMTHX&quot;],&quot;uri&quot;:[&quot;http://zotero.org/groups/4482/items/NTMIMTHX&quot;],&quot;suppress-author&quot;:true}]} ">
        <w:r w:rsidRPr="00E105B1">
          <w:t>(2011)</w:t>
        </w:r>
      </w:fldSimple>
      <w:r w:rsidRPr="00E105B1">
        <w:t xml:space="preserve"> classified a number of these into three broad categories: regulatory frameworks and market structure; institutional quality; and political economy, including culture. Calderón and Servén </w:t>
      </w:r>
      <w:fldSimple w:instr=" ADDIN ZOTERO_ITEM {&quot;citationID&quot;:&quot;ENZ6T1Do&quot;,&quot;properties&quot;:{&quot;formattedCitation&quot;:&quot;(2010a)&quot;,&quot;plainCitation&quot;:&quot;(2010a)&quot;},&quot;citationItems&quot;:[{&quot;id&quot;:621,&quot;uris&quot;:[&quot;http://zotero.org/groups/4482/items/V86FCKMI&quot;],&quot;uri&quot;:[&quot;http://zotero.org/groups/4482/items/V86FCKMI&quot;],&quot;suppress-author&quot;:true}]} ">
        <w:r w:rsidRPr="00E105B1">
          <w:t>(2010a)</w:t>
        </w:r>
      </w:fldSimple>
      <w:r w:rsidRPr="00E105B1">
        <w:t xml:space="preserve"> added technological factors to this list.</w:t>
      </w:r>
    </w:p>
    <w:p w:rsidR="007D46DA" w:rsidRPr="005C2421" w:rsidRDefault="007D46DA" w:rsidP="00C94636">
      <w:pPr>
        <w:ind w:left="720"/>
      </w:pPr>
    </w:p>
    <w:p w:rsidR="007D46DA" w:rsidRPr="005C2421" w:rsidRDefault="007D46DA" w:rsidP="007D46DA">
      <w:pPr>
        <w:numPr>
          <w:ilvl w:val="0"/>
          <w:numId w:val="14"/>
        </w:numPr>
      </w:pPr>
      <w:r w:rsidRPr="00E105B1">
        <w:rPr>
          <w:i/>
        </w:rPr>
        <w:t>What is the direction of causality?</w:t>
      </w:r>
      <w:r w:rsidRPr="00E105B1">
        <w:t xml:space="preserve"> We raised this issue earlier in the introduction to this chapter. Does infrastructure cause economic growth or does economic growth lead to more infrastructure? The answer is almost certainly both. The challenge then becomes how to tease out the different effects from the historical data, which necessarily conflate the two. Both Straub </w:t>
      </w:r>
      <w:fldSimple w:instr=" ADDIN ZOTERO_ITEM {&quot;citationID&quot;:&quot;E6u7QvdO&quot;,&quot;properties&quot;:{&quot;formattedCitation&quot;:&quot;(2008)&quot;,&quot;plainCitation&quot;:&quot;(2008)&quot;},&quot;citationItems&quot;:[{&quot;id&quot;:236,&quot;uris&quot;:[&quot;http://zotero.org/groups/4482/items/5DH46KB2&quot;],&quot;uri&quot;:[&quot;http://zotero.org/groups/4482/items/5DH46KB2&quot;],&quot;suppress-author&quot;:true}]} ">
        <w:r w:rsidRPr="00E105B1">
          <w:t>(2008)</w:t>
        </w:r>
      </w:fldSimple>
      <w:r w:rsidRPr="00E105B1">
        <w:t xml:space="preserve"> and Calderón and Servén </w:t>
      </w:r>
      <w:fldSimple w:instr=" ADDIN ZOTERO_ITEM {&quot;citationID&quot;:&quot;HEaw4vzd&quot;,&quot;properties&quot;:{&quot;formattedCitation&quot;:&quot;(2010a)&quot;,&quot;plainCitation&quot;:&quot;(2010a)&quot;},&quot;citationItems&quot;:[{&quot;id&quot;:621,&quot;uris&quot;:[&quot;http://zotero.org/groups/4482/items/V86FCKMI&quot;],&quot;uri&quot;:[&quot;http://zotero.org/groups/4482/items/V86FCKMI&quot;],&quot;suppress-author&quot;:true}]} ">
        <w:r w:rsidRPr="00E105B1">
          <w:t>(2010a)</w:t>
        </w:r>
      </w:fldSimple>
      <w:r w:rsidRPr="00E105B1">
        <w:t xml:space="preserve"> point to this as the most serious of the problems in estimating the effect of infrastructure on economic productivity and growth. Recent studies have used more sophisticated statistical techniques in an effort to address the problem.</w:t>
      </w:r>
    </w:p>
    <w:p w:rsidR="007D46DA" w:rsidRPr="005C2421" w:rsidRDefault="007D46DA" w:rsidP="007D46DA"/>
    <w:p w:rsidR="007D46DA" w:rsidRPr="005C2421" w:rsidRDefault="007D46DA" w:rsidP="007D46DA">
      <w:pPr>
        <w:pStyle w:val="BodyText"/>
        <w:spacing w:before="0" w:after="0"/>
        <w:jc w:val="left"/>
      </w:pPr>
      <w:r w:rsidRPr="00E105B1">
        <w:t xml:space="preserve">An additional commonality to most of the studies reviewed by Straub </w:t>
      </w:r>
      <w:r w:rsidR="00F7383F" w:rsidRPr="00E105B1">
        <w:fldChar w:fldCharType="begin"/>
      </w:r>
      <w:r w:rsidRPr="00E105B1">
        <w:instrText xml:space="preserve"> ADDIN ZOTERO_ITEM {"citationID":"aXKb01et","properties":{"formattedCitation":"(2008; 2011)","plainCitation":"(2008; 2011)"},"citationItems":[{"id":236,"uris":["http://zotero.org/groups/4482/items/5DH46KB2"],"uri":["http://zotero.org/groups/4482/items/5DH46KB2"],"label":"page","suppress-author":true},{"id":1171,"uris":["http://zotero.org/groups/4482/items/NTMIMTHX"],"uri":["http://zotero.org/groups/4482/items/NTMIMTHX"],"label":"page","suppress-author":true}]} </w:instrText>
      </w:r>
      <w:r w:rsidR="00F7383F" w:rsidRPr="00E105B1">
        <w:fldChar w:fldCharType="separate"/>
      </w:r>
      <w:r w:rsidRPr="00E105B1">
        <w:t>(2008; 2011)</w:t>
      </w:r>
      <w:r w:rsidR="00F7383F" w:rsidRPr="00E105B1">
        <w:fldChar w:fldCharType="end"/>
      </w:r>
      <w:r w:rsidRPr="00E105B1">
        <w:t xml:space="preserve"> and others is that they estimated a constant or linear elasticity of output with respect to infrastructure, implying that the impact of adding infrastructure did not change with the level of existing infrastructure. Estache and Fay </w:t>
      </w:r>
      <w:r w:rsidR="00F7383F" w:rsidRPr="00E105B1">
        <w:fldChar w:fldCharType="begin"/>
      </w:r>
      <w:r w:rsidRPr="00E105B1">
        <w:instrText xml:space="preserve"> ADDIN ZOTERO_ITEM {"citationID":"199k3i5ifg","properties":{"formattedCitation":"(2010, 159)","plainCitation":"(2010, 159)"},"citationItems":[{"id":1119,"uris":["http://zotero.org/groups/4482/items/VG54KBK3"],"uri":["http://zotero.org/groups/4482/items/VG54KBK3"],"locator":"159","label":"page","suppress-author":true}]} </w:instrText>
      </w:r>
      <w:r w:rsidR="00F7383F" w:rsidRPr="00E105B1">
        <w:fldChar w:fldCharType="separate"/>
      </w:r>
      <w:r w:rsidRPr="00E105B1">
        <w:t>(2010, 159)</w:t>
      </w:r>
      <w:r w:rsidR="00F7383F" w:rsidRPr="00E105B1">
        <w:fldChar w:fldCharType="end"/>
      </w:r>
      <w:r w:rsidRPr="00E105B1">
        <w:t xml:space="preserve"> argued that this hypothesis is clearly incorrect, referring to Hurlin </w:t>
      </w:r>
      <w:r w:rsidR="00F7383F" w:rsidRPr="00E105B1">
        <w:fldChar w:fldCharType="begin"/>
      </w:r>
      <w:r w:rsidRPr="00E105B1">
        <w:instrText xml:space="preserve"> ADDIN ZOTERO_ITEM {"citationID":"h26ct4snr","properties":{"formattedCitation":"{\\rtf (2006, 16\\uc0\\u8211{}17)}","plainCitation":"(2006, 16–17)"},"citationItems":[{"id":1183,"uris":["http://zotero.org/groups/4482/items/VFF75SRA"],"uri":["http://zotero.org/groups/4482/items/VFF75SRA"],"locator":"16-17","label":"page","suppress-author":true}]} </w:instrText>
      </w:r>
      <w:r w:rsidR="00F7383F" w:rsidRPr="00E105B1">
        <w:fldChar w:fldCharType="separate"/>
      </w:r>
      <w:r w:rsidRPr="00E105B1">
        <w:t>(2006, 16–17)</w:t>
      </w:r>
      <w:r w:rsidR="00F7383F" w:rsidRPr="00E105B1">
        <w:fldChar w:fldCharType="end"/>
      </w:r>
      <w:r w:rsidRPr="00E105B1">
        <w:t>, who found that:</w:t>
      </w:r>
    </w:p>
    <w:p w:rsidR="007D46DA" w:rsidRPr="005C2421" w:rsidRDefault="007D46DA" w:rsidP="007D46DA">
      <w:pPr>
        <w:pStyle w:val="BodyText"/>
        <w:spacing w:before="0" w:after="0"/>
        <w:jc w:val="left"/>
      </w:pPr>
    </w:p>
    <w:p w:rsidR="007D46DA" w:rsidRPr="005C2421" w:rsidRDefault="007D46DA" w:rsidP="007D46DA">
      <w:pPr>
        <w:pStyle w:val="BodyText"/>
        <w:spacing w:before="0" w:after="0"/>
        <w:ind w:left="1008" w:right="1008"/>
        <w:jc w:val="left"/>
      </w:pPr>
      <w:r w:rsidRPr="00E105B1">
        <w:t xml:space="preserve">. . . the productivity of infrastructure (road, electricity, telephones and railways) exhibits strong threshold effects which could be interpreted as network effects. In a first step, when the stock of infrastructure in a sector actually available per worker is very low, the infrastructure investments in this sector have the same productivity as the other investments. On the contrary, when the network is sufficiently developed but not fully achieved, infrastructure investments have a productivity impact that is generally larger than that of other investments. Finally, when the level of physical infrastructure stock per worker exceeds a certain value indicating that the main network is achieved, the productivity rapidly decreases and the infrastructure investments may be not exceptionally productive at the margin. In other words, the highest marginal productivity of investments is reached when a network is sufficiently developed, but not completely achieved. </w:t>
      </w:r>
    </w:p>
    <w:p w:rsidR="007D46DA" w:rsidRPr="005C2421" w:rsidRDefault="007D46DA" w:rsidP="007D46DA">
      <w:pPr>
        <w:pStyle w:val="BodyText"/>
        <w:spacing w:before="0" w:after="0"/>
        <w:ind w:left="720" w:right="720"/>
        <w:jc w:val="left"/>
      </w:pPr>
    </w:p>
    <w:p w:rsidR="007D46DA" w:rsidRPr="005C2421" w:rsidRDefault="007D46DA" w:rsidP="007D46DA">
      <w:pPr>
        <w:pStyle w:val="BodyText"/>
        <w:spacing w:before="0" w:after="0"/>
        <w:jc w:val="left"/>
      </w:pPr>
      <w:r w:rsidRPr="00E105B1">
        <w:t xml:space="preserve">This is in line with Fernald’s </w:t>
      </w:r>
      <w:fldSimple w:instr=" ADDIN ZOTERO_ITEM {&quot;citationID&quot;:&quot;2k5b1f9n42&quot;,&quot;properties&quot;:{&quot;formattedCitation&quot;:&quot;(1999)&quot;,&quot;plainCitation&quot;:&quot;(1999)&quot;},&quot;citationItems&quot;:[{&quot;id&quot;:1225,&quot;uris&quot;:[&quot;http://zotero.org/groups/4482/items/SCTN3UKN&quot;],&quot;uri&quot;:[&quot;http://zotero.org/groups/4482/items/SCTN3UKN&quot;],&quot;suppress-author&quot;:true}]} ">
        <w:r w:rsidRPr="00E105B1">
          <w:t>(1999)</w:t>
        </w:r>
      </w:fldSimple>
      <w:r w:rsidRPr="00E105B1">
        <w:t xml:space="preserve"> conclusion that the construction of the interstate highway system in the United States provided a significant boost to productivity, but that further additions to the road network have had much less of an effect. Several studies of the impact of ICT on productivity have also noted differing impacts at different stages of development, but not always in the same direction. Röller and Waverman </w:t>
      </w:r>
      <w:fldSimple w:instr=" ADDIN ZOTERO_ITEM {&quot;citationID&quot;:&quot;aved90nti&quot;,&quot;properties&quot;:{&quot;formattedCitation&quot;:&quot;(2001)&quot;,&quot;plainCitation&quot;:&quot;(2001)&quot;},&quot;citationItems&quot;:[{&quot;id&quot;:1218,&quot;uris&quot;:[&quot;http://zotero.org/groups/4482/items/I5TNACU2&quot;],&quot;uri&quot;:[&quot;http://zotero.org/groups/4482/items/I5TNACU2&quot;],&quot;suppress-author&quot;:true}]} ">
        <w:r w:rsidRPr="00E105B1">
          <w:t>(2001)</w:t>
        </w:r>
      </w:fldSimple>
      <w:r w:rsidRPr="00E105B1">
        <w:t xml:space="preserve"> found a larger impact in countries when penetration approached universal coverage. Meanwhile, Qiang, Rossotto, and Kimura </w:t>
      </w:r>
      <w:fldSimple w:instr=" ADDIN ZOTERO_ITEM {&quot;citationID&quot;:&quot;29a49vopge&quot;,&quot;properties&quot;:{&quot;formattedCitation&quot;:&quot;(2009)&quot;,&quot;plainCitation&quot;:&quot;(2009)&quot;},&quot;citationItems&quot;:[{&quot;id&quot;:1214,&quot;uris&quot;:[&quot;http://zotero.org/groups/4482/items/FMDRXFE5&quot;],&quot;uri&quot;:[&quot;http://zotero.org/groups/4482/items/FMDRXFE5&quot;],&quot;suppress-author&quot;:true}]} ">
        <w:r w:rsidRPr="00E105B1">
          <w:t>(2009)</w:t>
        </w:r>
      </w:fldSimple>
      <w:r w:rsidRPr="00E105B1">
        <w:t xml:space="preserve"> presented results showing larger growth effects from additions of ICT stock for low- and middle-income economies, which, as shown in Chapter 2, generally have lower levels of penetration.</w:t>
      </w:r>
    </w:p>
    <w:p w:rsidR="007D46DA" w:rsidRPr="005C2421" w:rsidRDefault="007D46DA" w:rsidP="007D46DA">
      <w:pPr>
        <w:pStyle w:val="BodyText"/>
        <w:spacing w:before="0" w:after="0"/>
        <w:jc w:val="left"/>
      </w:pPr>
    </w:p>
    <w:p w:rsidR="007D46DA" w:rsidRPr="005C2421" w:rsidRDefault="007D46DA" w:rsidP="007D46DA">
      <w:pPr>
        <w:pStyle w:val="BodyText"/>
        <w:spacing w:before="0" w:after="0"/>
        <w:jc w:val="left"/>
      </w:pPr>
      <w:r w:rsidRPr="00E105B1">
        <w:t xml:space="preserve">At a more general level, the conclusion that the effect of infrastructure on output is non-linear and may depend upon many other factors should not be surprising. Infrastructure is not free. Investments in infrastructure, particularly public investments, may require redirecting public spending from other sectors, the raising of additional revenues, and/or increased borrowing, each of which can have a dampening effect on economic growth. Therefore, even in the absence of “governance problems of a sector noted for its white elephants, cost overruns, and overly optimistic forecasts of demand” </w:t>
      </w:r>
      <w:r w:rsidR="00F7383F" w:rsidRPr="00E105B1">
        <w:fldChar w:fldCharType="begin"/>
      </w:r>
      <w:r w:rsidRPr="00E105B1">
        <w:instrText xml:space="preserve"> ADDIN ZOTERO_ITEM {"citationID":"1sva06icv3","properties":{"formattedCitation":"(Estache and Fay 2010, 152)","plainCitation":"(Estache and Fay 2010, 152)"},"citationItems":[{"id":1119,"uris":["http://zotero.org/groups/4482/items/VG54KBK3"],"uri":["http://zotero.org/groups/4482/items/VG54KBK3"],"locator":"152","label":"page"}]} </w:instrText>
      </w:r>
      <w:r w:rsidR="00F7383F" w:rsidRPr="00E105B1">
        <w:fldChar w:fldCharType="separate"/>
      </w:r>
      <w:r w:rsidRPr="00E105B1">
        <w:t>(Estache and Fay 2010, 152)</w:t>
      </w:r>
      <w:r w:rsidR="00F7383F" w:rsidRPr="00E105B1">
        <w:fldChar w:fldCharType="end"/>
      </w:r>
      <w:r w:rsidRPr="00E105B1">
        <w:t xml:space="preserve">, it may be possible to overinvest in infrastructure. In order to address the question of whether or not an ‘optimal’ level of infrastructure exists, it is necessary to also consider the broader economic effects of infrastructure investment. To date, only a few studies have done so </w:t>
      </w:r>
      <w:r w:rsidR="00F7383F" w:rsidRPr="00E105B1">
        <w:fldChar w:fldCharType="begin"/>
      </w:r>
      <w:r w:rsidRPr="00E105B1">
        <w:instrText xml:space="preserve"> ADDIN ZOTERO_ITEM {"citationID":"f5nsnfkig","properties":{"formattedCitation":"(Adam and Bevan 2006; Perrault, Savard, and Estache 2010; Rioja 2001)","plainCitation":"(Adam and Bevan 2006; Perrault, Savard, and Estache 2010; Rioja 2001)"},"citationItems":[{"id":1222,"uris":["http://zotero.org/groups/4482/items/NGBCGK8T"],"uri":["http://zotero.org/groups/4482/items/NGBCGK8T"],"label":"page"},{"id":1202,"uris":["http://zotero.org/groups/4482/items/2W6IB788"],"uri":["http://zotero.org/groups/4482/items/2W6IB788"],"label":"page"},{"id":1200,"uris":["http://zotero.org/groups/4482/items/282IT8NZ"],"uri":["http://zotero.org/groups/4482/items/282IT8NZ"],"label":"page"}]} </w:instrText>
      </w:r>
      <w:r w:rsidR="00F7383F" w:rsidRPr="00E105B1">
        <w:fldChar w:fldCharType="separate"/>
      </w:r>
      <w:r w:rsidRPr="00E105B1">
        <w:t>(Adam and Bevan 2006; Perrault, Savard, and Estache 2010; Rioja 2001)</w:t>
      </w:r>
      <w:r w:rsidR="00F7383F" w:rsidRPr="00E105B1">
        <w:fldChar w:fldCharType="end"/>
      </w:r>
      <w:r w:rsidRPr="00E105B1">
        <w:t>. These studies have looked primarily at the general equilibrium effects of increased public investment on infrastructure. Such broader effects will be a key component of our analyses in Chapters 6 and 7.</w:t>
      </w:r>
    </w:p>
    <w:p w:rsidR="007D46DA" w:rsidRPr="005C2421" w:rsidRDefault="007D46DA" w:rsidP="007D46DA"/>
    <w:p w:rsidR="007D46DA" w:rsidRPr="005C2421" w:rsidRDefault="007D46DA" w:rsidP="007D46DA">
      <w:r w:rsidRPr="00E105B1">
        <w:t xml:space="preserve">Given these several factors and concerns, what can we conclude from the studies of infrastructure and economic growth? Servén </w:t>
      </w:r>
      <w:r w:rsidR="00F7383F" w:rsidRPr="00E105B1">
        <w:fldChar w:fldCharType="begin"/>
      </w:r>
      <w:r w:rsidRPr="00E105B1">
        <w:instrText xml:space="preserve"> ADDIN ZOTERO_ITEM {"citationID":"1c63h2cng7","properties":{"formattedCitation":"(2010, 1)","plainCitation":"(2010, 1)"},"citationItems":[{"id":1167,"uris":["http://zotero.org/groups/4482/items/6MFVDZIE"],"uri":["http://zotero.org/groups/4482/items/6MFVDZIE"],"locator":"1","label":"page","suppress-author":true}]} </w:instrText>
      </w:r>
      <w:r w:rsidR="00F7383F" w:rsidRPr="00E105B1">
        <w:fldChar w:fldCharType="separate"/>
      </w:r>
      <w:r w:rsidRPr="00E105B1">
        <w:t>(2010, 1)</w:t>
      </w:r>
      <w:r w:rsidR="00F7383F" w:rsidRPr="00E105B1">
        <w:fldChar w:fldCharType="end"/>
      </w:r>
      <w:r w:rsidRPr="00E105B1">
        <w:t xml:space="preserve"> stated that the </w:t>
      </w:r>
    </w:p>
    <w:p w:rsidR="007D46DA" w:rsidRPr="005C2421" w:rsidRDefault="007D46DA" w:rsidP="007D46DA">
      <w:pPr>
        <w:ind w:left="1008" w:right="1008"/>
      </w:pPr>
    </w:p>
    <w:p w:rsidR="007D46DA" w:rsidRPr="005C2421" w:rsidRDefault="007D46DA" w:rsidP="007D46DA">
      <w:pPr>
        <w:ind w:left="1008" w:right="1008"/>
      </w:pPr>
      <w:r w:rsidRPr="00E105B1">
        <w:t xml:space="preserve">. . . findings are far from unanimous, but a majority of studies reports (sic) a significant positive effect of infrastructure on output, productivity, or their growth rate. This is mostly the case with studies using physical measures of infrastructure stocks; in contrast, results are less conclusive among studies using pecuniary measures such as public investment flows or their accumulation into public capital. </w:t>
      </w:r>
    </w:p>
    <w:p w:rsidR="007D46DA" w:rsidRPr="005C2421" w:rsidRDefault="007D46DA" w:rsidP="007D46DA"/>
    <w:p w:rsidR="007D46DA" w:rsidRPr="005C2421" w:rsidRDefault="007D46DA" w:rsidP="007D46DA">
      <w:r w:rsidRPr="00E105B1">
        <w:t xml:space="preserve">Straub </w:t>
      </w:r>
      <w:fldSimple w:instr=" ADDIN ZOTERO_ITEM {&quot;citationID&quot;:&quot;FrWhseR6&quot;,&quot;properties&quot;:{&quot;formattedCitation&quot;:&quot;(2011)&quot;,&quot;plainCitation&quot;:&quot;(2011)&quot;},&quot;citationItems&quot;:[{&quot;id&quot;:1171,&quot;uris&quot;:[&quot;http://zotero.org/groups/4482/items/NTMIMTHX&quot;],&quot;uri&quot;:[&quot;http://zotero.org/groups/4482/items/NTMIMTHX&quot;],&quot;suppress-author&quot;:true}]} ">
        <w:r w:rsidRPr="00E105B1">
          <w:t>(2011)</w:t>
        </w:r>
      </w:fldSimple>
      <w:r w:rsidRPr="00E105B1">
        <w:t xml:space="preserve"> reached a similar conclusion. In an online appendix, he provided a summary of the empirical results from 77 different specifications of the impact of infrastructure on economic output drawn from 30 studies published between 1989 and 2006.</w:t>
      </w:r>
      <w:r>
        <w:rPr>
          <w:rStyle w:val="FootnoteReference"/>
        </w:rPr>
        <w:footnoteReference w:id="36"/>
      </w:r>
      <w:r w:rsidRPr="00E105B1">
        <w:t xml:space="preserve"> Straub focused primarily on whether there was a significant positive or negative relationship between the measure of infrastructure and the measure of economic output; he did not provide the specific estimates in these summaries. Table 3.1 shows a subset of Straub’s results (he also compared the impacts of using different measures of economic growth and different statistical techniques). His results show that more than half of the cases have a significant positive relationship, while less than seven percent show a significant negative relationship. Significant positive relationships are more common in cases that:</w:t>
      </w:r>
    </w:p>
    <w:p w:rsidR="007D46DA" w:rsidRPr="005C2421" w:rsidRDefault="007D46DA" w:rsidP="007D46DA"/>
    <w:p w:rsidR="007D46DA" w:rsidRPr="005C2421" w:rsidRDefault="00A84F12" w:rsidP="007D46DA">
      <w:pPr>
        <w:pStyle w:val="ListParagraph"/>
        <w:numPr>
          <w:ilvl w:val="0"/>
          <w:numId w:val="15"/>
        </w:numPr>
        <w:spacing w:after="200" w:line="276" w:lineRule="auto"/>
        <w:ind w:right="1440"/>
      </w:pPr>
      <w:r w:rsidRPr="00E105B1">
        <w:t>Focus</w:t>
      </w:r>
      <w:r w:rsidR="007D46DA" w:rsidRPr="00E105B1">
        <w:t xml:space="preserve"> on developed countries or a mix of dev</w:t>
      </w:r>
      <w:r w:rsidR="00C94636">
        <w:t>eloped and developing countries</w:t>
      </w:r>
    </w:p>
    <w:p w:rsidR="007D46DA" w:rsidRPr="005C2421" w:rsidRDefault="00A84F12" w:rsidP="007D46DA">
      <w:pPr>
        <w:pStyle w:val="ListParagraph"/>
        <w:numPr>
          <w:ilvl w:val="0"/>
          <w:numId w:val="15"/>
        </w:numPr>
        <w:spacing w:after="200" w:line="276" w:lineRule="auto"/>
        <w:ind w:right="1440"/>
      </w:pPr>
      <w:r w:rsidRPr="00E105B1">
        <w:t>Use</w:t>
      </w:r>
      <w:r w:rsidR="007D46DA" w:rsidRPr="00E105B1">
        <w:t xml:space="preserve"> a physical measure of infrastructure </w:t>
      </w:r>
      <w:r w:rsidR="00C94636">
        <w:t>rather than a financial measure</w:t>
      </w:r>
      <w:r w:rsidR="007D46DA" w:rsidRPr="00E105B1">
        <w:t xml:space="preserve"> </w:t>
      </w:r>
    </w:p>
    <w:p w:rsidR="007D46DA" w:rsidRPr="005C2421" w:rsidRDefault="00A84F12" w:rsidP="007D46DA">
      <w:pPr>
        <w:pStyle w:val="ListParagraph"/>
        <w:numPr>
          <w:ilvl w:val="0"/>
          <w:numId w:val="15"/>
        </w:numPr>
        <w:spacing w:after="200" w:line="276" w:lineRule="auto"/>
        <w:ind w:right="1440"/>
      </w:pPr>
      <w:r w:rsidRPr="00E105B1">
        <w:t>Use</w:t>
      </w:r>
      <w:r w:rsidR="007D46DA" w:rsidRPr="00E105B1">
        <w:t xml:space="preserve"> a synthetic mea</w:t>
      </w:r>
      <w:r w:rsidR="00C94636">
        <w:t>sure of physical infrastructure</w:t>
      </w:r>
    </w:p>
    <w:p w:rsidR="007D46DA" w:rsidRPr="005C2421" w:rsidRDefault="007D46DA" w:rsidP="007D46DA"/>
    <w:tbl>
      <w:tblPr>
        <w:tblStyle w:val="TableGrid"/>
        <w:tblW w:w="0" w:type="auto"/>
        <w:tblLook w:val="04A0"/>
      </w:tblPr>
      <w:tblGrid>
        <w:gridCol w:w="3192"/>
        <w:gridCol w:w="2128"/>
        <w:gridCol w:w="2128"/>
        <w:gridCol w:w="2128"/>
      </w:tblGrid>
      <w:tr w:rsidR="007D46DA" w:rsidRPr="005C2421">
        <w:tc>
          <w:tcPr>
            <w:tcW w:w="9576" w:type="dxa"/>
            <w:gridSpan w:val="4"/>
          </w:tcPr>
          <w:p w:rsidR="007D46DA" w:rsidRPr="005C2421" w:rsidRDefault="007D46DA" w:rsidP="006B1499">
            <w:pPr>
              <w:pStyle w:val="BodyText"/>
              <w:keepNext/>
              <w:keepLines/>
              <w:spacing w:before="0" w:after="0"/>
              <w:jc w:val="left"/>
              <w:rPr>
                <w:b/>
              </w:rPr>
            </w:pPr>
            <w:r w:rsidRPr="005C2421">
              <w:rPr>
                <w:b/>
              </w:rPr>
              <w:t>Table 3.1 Summary of empirical r</w:t>
            </w:r>
            <w:r w:rsidRPr="00E105B1">
              <w:rPr>
                <w:b/>
              </w:rPr>
              <w:t>esults of studies looking at the relationship between infrastructure and economic activity</w:t>
            </w:r>
          </w:p>
        </w:tc>
      </w:tr>
      <w:tr w:rsidR="007D46DA" w:rsidRPr="005C2421">
        <w:tc>
          <w:tcPr>
            <w:tcW w:w="3192" w:type="dxa"/>
          </w:tcPr>
          <w:p w:rsidR="007D46DA" w:rsidRPr="005C2421" w:rsidRDefault="007D46DA" w:rsidP="006B1499">
            <w:pPr>
              <w:pStyle w:val="BodyText"/>
              <w:keepNext/>
              <w:keepLines/>
              <w:spacing w:before="0" w:after="0"/>
              <w:jc w:val="left"/>
            </w:pPr>
          </w:p>
        </w:tc>
        <w:tc>
          <w:tcPr>
            <w:tcW w:w="2128" w:type="dxa"/>
            <w:vAlign w:val="bottom"/>
          </w:tcPr>
          <w:p w:rsidR="007D46DA" w:rsidRPr="005C2421" w:rsidRDefault="007D46DA" w:rsidP="006B1499">
            <w:pPr>
              <w:pStyle w:val="BodyText"/>
              <w:keepNext/>
              <w:keepLines/>
              <w:spacing w:before="0" w:after="0"/>
              <w:jc w:val="center"/>
            </w:pPr>
            <w:r w:rsidRPr="00E105B1">
              <w:t>Significant negative relationship</w:t>
            </w:r>
          </w:p>
        </w:tc>
        <w:tc>
          <w:tcPr>
            <w:tcW w:w="2128" w:type="dxa"/>
            <w:vAlign w:val="bottom"/>
          </w:tcPr>
          <w:p w:rsidR="007D46DA" w:rsidRPr="005C2421" w:rsidRDefault="007D46DA" w:rsidP="006B1499">
            <w:pPr>
              <w:pStyle w:val="BodyText"/>
              <w:keepNext/>
              <w:keepLines/>
              <w:spacing w:before="0" w:after="0"/>
              <w:jc w:val="center"/>
            </w:pPr>
            <w:r w:rsidRPr="00E105B1">
              <w:t>No significant relationship</w:t>
            </w:r>
          </w:p>
        </w:tc>
        <w:tc>
          <w:tcPr>
            <w:tcW w:w="2128" w:type="dxa"/>
            <w:vAlign w:val="bottom"/>
          </w:tcPr>
          <w:p w:rsidR="007D46DA" w:rsidRPr="005C2421" w:rsidRDefault="007D46DA" w:rsidP="006B1499">
            <w:pPr>
              <w:pStyle w:val="BodyText"/>
              <w:keepNext/>
              <w:keepLines/>
              <w:spacing w:before="0" w:after="0"/>
              <w:jc w:val="center"/>
            </w:pPr>
            <w:r>
              <w:t>S</w:t>
            </w:r>
            <w:r w:rsidRPr="00E105B1">
              <w:t>ignificant positive relationship</w:t>
            </w:r>
          </w:p>
        </w:tc>
      </w:tr>
      <w:tr w:rsidR="007D46DA" w:rsidRPr="005C2421">
        <w:tc>
          <w:tcPr>
            <w:tcW w:w="3192" w:type="dxa"/>
          </w:tcPr>
          <w:p w:rsidR="007D46DA" w:rsidRPr="005C2421" w:rsidRDefault="007D46DA" w:rsidP="006B1499">
            <w:pPr>
              <w:pStyle w:val="BodyText"/>
              <w:keepNext/>
              <w:keepLines/>
              <w:spacing w:before="0" w:after="0"/>
              <w:jc w:val="left"/>
            </w:pPr>
            <w:r w:rsidRPr="00E105B1">
              <w:t>Total (77)</w:t>
            </w:r>
          </w:p>
        </w:tc>
        <w:tc>
          <w:tcPr>
            <w:tcW w:w="2128" w:type="dxa"/>
            <w:vAlign w:val="center"/>
          </w:tcPr>
          <w:p w:rsidR="007D46DA" w:rsidRPr="005C2421" w:rsidRDefault="007D46DA" w:rsidP="006B1499">
            <w:pPr>
              <w:pStyle w:val="BodyText"/>
              <w:keepNext/>
              <w:keepLines/>
              <w:spacing w:before="0" w:after="0"/>
              <w:jc w:val="center"/>
            </w:pPr>
            <w:r w:rsidRPr="00E105B1">
              <w:t>6.49%</w:t>
            </w:r>
          </w:p>
        </w:tc>
        <w:tc>
          <w:tcPr>
            <w:tcW w:w="2128" w:type="dxa"/>
            <w:vAlign w:val="center"/>
          </w:tcPr>
          <w:p w:rsidR="007D46DA" w:rsidRPr="005C2421" w:rsidRDefault="007D46DA" w:rsidP="006B1499">
            <w:pPr>
              <w:pStyle w:val="BodyText"/>
              <w:keepNext/>
              <w:keepLines/>
              <w:spacing w:before="0" w:after="0"/>
              <w:jc w:val="center"/>
            </w:pPr>
            <w:r w:rsidRPr="00E105B1">
              <w:t>37.66%</w:t>
            </w:r>
          </w:p>
        </w:tc>
        <w:tc>
          <w:tcPr>
            <w:tcW w:w="2128" w:type="dxa"/>
            <w:vAlign w:val="center"/>
          </w:tcPr>
          <w:p w:rsidR="007D46DA" w:rsidRPr="005C2421" w:rsidRDefault="007D46DA" w:rsidP="006B1499">
            <w:pPr>
              <w:pStyle w:val="BodyText"/>
              <w:keepNext/>
              <w:keepLines/>
              <w:spacing w:before="0" w:after="0"/>
              <w:jc w:val="center"/>
            </w:pPr>
            <w:r w:rsidRPr="00E105B1">
              <w:t>55.84%</w:t>
            </w:r>
          </w:p>
        </w:tc>
      </w:tr>
      <w:tr w:rsidR="007D46DA" w:rsidRPr="005C2421">
        <w:tc>
          <w:tcPr>
            <w:tcW w:w="3192" w:type="dxa"/>
          </w:tcPr>
          <w:p w:rsidR="007D46DA" w:rsidRPr="005C2421" w:rsidRDefault="007D46DA" w:rsidP="006B1499">
            <w:pPr>
              <w:pStyle w:val="BodyText"/>
              <w:keepNext/>
              <w:keepLines/>
              <w:spacing w:before="0" w:after="0"/>
              <w:jc w:val="left"/>
            </w:pPr>
            <w:r w:rsidRPr="00E105B1">
              <w:t>By Geographic focus</w:t>
            </w:r>
          </w:p>
        </w:tc>
        <w:tc>
          <w:tcPr>
            <w:tcW w:w="2128" w:type="dxa"/>
            <w:vAlign w:val="center"/>
          </w:tcPr>
          <w:p w:rsidR="007D46DA" w:rsidRPr="005C2421" w:rsidRDefault="007D46DA" w:rsidP="006B1499">
            <w:pPr>
              <w:pStyle w:val="BodyText"/>
              <w:keepNext/>
              <w:keepLines/>
              <w:tabs>
                <w:tab w:val="num" w:pos="360"/>
              </w:tabs>
              <w:overflowPunct w:val="0"/>
              <w:autoSpaceDE w:val="0"/>
              <w:autoSpaceDN w:val="0"/>
              <w:adjustRightInd w:val="0"/>
              <w:spacing w:before="0" w:after="0"/>
              <w:ind w:left="360" w:hanging="360"/>
              <w:jc w:val="center"/>
              <w:textAlignment w:val="baseline"/>
              <w:outlineLvl w:val="3"/>
            </w:pPr>
          </w:p>
        </w:tc>
        <w:tc>
          <w:tcPr>
            <w:tcW w:w="2128" w:type="dxa"/>
            <w:vAlign w:val="center"/>
          </w:tcPr>
          <w:p w:rsidR="007D46DA" w:rsidRPr="005C2421" w:rsidRDefault="007D46DA" w:rsidP="006B1499">
            <w:pPr>
              <w:pStyle w:val="BodyText"/>
              <w:keepNext/>
              <w:keepLines/>
              <w:tabs>
                <w:tab w:val="num" w:pos="360"/>
              </w:tabs>
              <w:overflowPunct w:val="0"/>
              <w:autoSpaceDE w:val="0"/>
              <w:autoSpaceDN w:val="0"/>
              <w:adjustRightInd w:val="0"/>
              <w:spacing w:before="0" w:after="0"/>
              <w:ind w:left="360" w:hanging="360"/>
              <w:jc w:val="center"/>
              <w:textAlignment w:val="baseline"/>
              <w:outlineLvl w:val="3"/>
            </w:pPr>
          </w:p>
        </w:tc>
        <w:tc>
          <w:tcPr>
            <w:tcW w:w="2128" w:type="dxa"/>
            <w:vAlign w:val="center"/>
          </w:tcPr>
          <w:p w:rsidR="007D46DA" w:rsidRPr="005C2421" w:rsidRDefault="007D46DA" w:rsidP="006B1499">
            <w:pPr>
              <w:pStyle w:val="BodyText"/>
              <w:keepNext/>
              <w:keepLines/>
              <w:tabs>
                <w:tab w:val="num" w:pos="360"/>
              </w:tabs>
              <w:overflowPunct w:val="0"/>
              <w:autoSpaceDE w:val="0"/>
              <w:autoSpaceDN w:val="0"/>
              <w:adjustRightInd w:val="0"/>
              <w:spacing w:before="0" w:after="0"/>
              <w:ind w:left="360" w:hanging="360"/>
              <w:jc w:val="center"/>
              <w:textAlignment w:val="baseline"/>
              <w:outlineLvl w:val="3"/>
            </w:pPr>
          </w:p>
        </w:tc>
      </w:tr>
      <w:tr w:rsidR="007D46DA" w:rsidRPr="005C2421">
        <w:tc>
          <w:tcPr>
            <w:tcW w:w="3192" w:type="dxa"/>
          </w:tcPr>
          <w:p w:rsidR="007D46DA" w:rsidRPr="005C2421" w:rsidRDefault="007D46DA" w:rsidP="006B1499">
            <w:pPr>
              <w:pStyle w:val="BodyText"/>
              <w:keepNext/>
              <w:keepLines/>
              <w:spacing w:before="0" w:after="0"/>
              <w:ind w:left="180"/>
              <w:jc w:val="left"/>
            </w:pPr>
            <w:r w:rsidRPr="00E105B1">
              <w:t>Developed countries (23)</w:t>
            </w:r>
          </w:p>
        </w:tc>
        <w:tc>
          <w:tcPr>
            <w:tcW w:w="2128" w:type="dxa"/>
            <w:vAlign w:val="center"/>
          </w:tcPr>
          <w:p w:rsidR="007D46DA" w:rsidRPr="005C2421" w:rsidRDefault="007D46DA" w:rsidP="006B1499">
            <w:pPr>
              <w:pStyle w:val="BodyText"/>
              <w:keepNext/>
              <w:keepLines/>
              <w:spacing w:before="0" w:after="0"/>
              <w:jc w:val="center"/>
            </w:pPr>
            <w:r w:rsidRPr="00E105B1">
              <w:t>8.70%</w:t>
            </w:r>
          </w:p>
        </w:tc>
        <w:tc>
          <w:tcPr>
            <w:tcW w:w="2128" w:type="dxa"/>
            <w:vAlign w:val="center"/>
          </w:tcPr>
          <w:p w:rsidR="007D46DA" w:rsidRPr="005C2421" w:rsidRDefault="007D46DA" w:rsidP="006B1499">
            <w:pPr>
              <w:pStyle w:val="BodyText"/>
              <w:keepNext/>
              <w:keepLines/>
              <w:spacing w:before="0" w:after="0"/>
              <w:jc w:val="center"/>
            </w:pPr>
            <w:r w:rsidRPr="00E105B1">
              <w:t>21.74%</w:t>
            </w:r>
          </w:p>
        </w:tc>
        <w:tc>
          <w:tcPr>
            <w:tcW w:w="2128" w:type="dxa"/>
            <w:vAlign w:val="center"/>
          </w:tcPr>
          <w:p w:rsidR="007D46DA" w:rsidRPr="005C2421" w:rsidRDefault="007D46DA" w:rsidP="006B1499">
            <w:pPr>
              <w:pStyle w:val="BodyText"/>
              <w:keepNext/>
              <w:keepLines/>
              <w:spacing w:before="0" w:after="0"/>
              <w:jc w:val="center"/>
            </w:pPr>
            <w:r w:rsidRPr="00E105B1">
              <w:t>69.57%</w:t>
            </w:r>
          </w:p>
        </w:tc>
      </w:tr>
      <w:tr w:rsidR="007D46DA" w:rsidRPr="005C2421">
        <w:tc>
          <w:tcPr>
            <w:tcW w:w="3192" w:type="dxa"/>
          </w:tcPr>
          <w:p w:rsidR="007D46DA" w:rsidRPr="005C2421" w:rsidRDefault="007D46DA" w:rsidP="006B1499">
            <w:pPr>
              <w:pStyle w:val="BodyText"/>
              <w:keepNext/>
              <w:keepLines/>
              <w:spacing w:before="0" w:after="0"/>
              <w:ind w:left="180"/>
              <w:jc w:val="left"/>
            </w:pPr>
            <w:r w:rsidRPr="00E105B1">
              <w:t>Developing countries (22)</w:t>
            </w:r>
          </w:p>
        </w:tc>
        <w:tc>
          <w:tcPr>
            <w:tcW w:w="2128" w:type="dxa"/>
            <w:vAlign w:val="center"/>
          </w:tcPr>
          <w:p w:rsidR="007D46DA" w:rsidRPr="005C2421" w:rsidRDefault="007D46DA" w:rsidP="006B1499">
            <w:pPr>
              <w:pStyle w:val="BodyText"/>
              <w:keepNext/>
              <w:keepLines/>
              <w:spacing w:before="0" w:after="0"/>
              <w:jc w:val="center"/>
            </w:pPr>
            <w:r w:rsidRPr="00E105B1">
              <w:t>9.09%</w:t>
            </w:r>
          </w:p>
        </w:tc>
        <w:tc>
          <w:tcPr>
            <w:tcW w:w="2128" w:type="dxa"/>
            <w:vAlign w:val="center"/>
          </w:tcPr>
          <w:p w:rsidR="007D46DA" w:rsidRPr="005C2421" w:rsidRDefault="007D46DA" w:rsidP="006B1499">
            <w:pPr>
              <w:pStyle w:val="BodyText"/>
              <w:keepNext/>
              <w:keepLines/>
              <w:spacing w:before="0" w:after="0"/>
              <w:jc w:val="center"/>
            </w:pPr>
            <w:r w:rsidRPr="00E105B1">
              <w:t>54.55%</w:t>
            </w:r>
          </w:p>
        </w:tc>
        <w:tc>
          <w:tcPr>
            <w:tcW w:w="2128" w:type="dxa"/>
            <w:vAlign w:val="center"/>
          </w:tcPr>
          <w:p w:rsidR="007D46DA" w:rsidRPr="005C2421" w:rsidRDefault="007D46DA" w:rsidP="006B1499">
            <w:pPr>
              <w:pStyle w:val="BodyText"/>
              <w:keepNext/>
              <w:keepLines/>
              <w:spacing w:before="0" w:after="0"/>
              <w:jc w:val="center"/>
            </w:pPr>
            <w:r w:rsidRPr="00E105B1">
              <w:t>36.36%</w:t>
            </w:r>
          </w:p>
        </w:tc>
      </w:tr>
      <w:tr w:rsidR="007D46DA" w:rsidRPr="005C2421">
        <w:tc>
          <w:tcPr>
            <w:tcW w:w="3192" w:type="dxa"/>
          </w:tcPr>
          <w:p w:rsidR="007D46DA" w:rsidRPr="005C2421" w:rsidRDefault="007D46DA" w:rsidP="006B1499">
            <w:pPr>
              <w:pStyle w:val="BodyText"/>
              <w:keepNext/>
              <w:keepLines/>
              <w:spacing w:before="0" w:after="0"/>
              <w:ind w:left="180"/>
              <w:jc w:val="left"/>
            </w:pPr>
            <w:r w:rsidRPr="00E105B1">
              <w:t>Mixed (32)</w:t>
            </w:r>
          </w:p>
        </w:tc>
        <w:tc>
          <w:tcPr>
            <w:tcW w:w="2128" w:type="dxa"/>
            <w:vAlign w:val="center"/>
          </w:tcPr>
          <w:p w:rsidR="007D46DA" w:rsidRPr="005C2421" w:rsidRDefault="007D46DA" w:rsidP="006B1499">
            <w:pPr>
              <w:pStyle w:val="BodyText"/>
              <w:keepNext/>
              <w:keepLines/>
              <w:spacing w:before="0" w:after="0"/>
              <w:jc w:val="center"/>
            </w:pPr>
            <w:r w:rsidRPr="00E105B1">
              <w:t>3.13%</w:t>
            </w:r>
          </w:p>
        </w:tc>
        <w:tc>
          <w:tcPr>
            <w:tcW w:w="2128" w:type="dxa"/>
            <w:vAlign w:val="center"/>
          </w:tcPr>
          <w:p w:rsidR="007D46DA" w:rsidRPr="005C2421" w:rsidRDefault="007D46DA" w:rsidP="006B1499">
            <w:pPr>
              <w:pStyle w:val="BodyText"/>
              <w:keepNext/>
              <w:keepLines/>
              <w:spacing w:before="0" w:after="0"/>
              <w:jc w:val="center"/>
            </w:pPr>
            <w:r w:rsidRPr="00E105B1">
              <w:t>37.50%</w:t>
            </w:r>
          </w:p>
        </w:tc>
        <w:tc>
          <w:tcPr>
            <w:tcW w:w="2128" w:type="dxa"/>
            <w:vAlign w:val="center"/>
          </w:tcPr>
          <w:p w:rsidR="007D46DA" w:rsidRPr="005C2421" w:rsidRDefault="007D46DA" w:rsidP="006B1499">
            <w:pPr>
              <w:pStyle w:val="BodyText"/>
              <w:keepNext/>
              <w:keepLines/>
              <w:spacing w:before="0" w:after="0"/>
              <w:jc w:val="center"/>
            </w:pPr>
            <w:r w:rsidRPr="00E105B1">
              <w:t>59.38%</w:t>
            </w:r>
          </w:p>
        </w:tc>
      </w:tr>
      <w:tr w:rsidR="007D46DA" w:rsidRPr="005C2421">
        <w:tc>
          <w:tcPr>
            <w:tcW w:w="3192" w:type="dxa"/>
          </w:tcPr>
          <w:p w:rsidR="007D46DA" w:rsidRPr="005C2421" w:rsidRDefault="007D46DA" w:rsidP="006B1499">
            <w:pPr>
              <w:pStyle w:val="BodyText"/>
              <w:keepNext/>
              <w:keepLines/>
              <w:spacing w:before="0" w:after="0"/>
              <w:jc w:val="left"/>
            </w:pPr>
          </w:p>
        </w:tc>
        <w:tc>
          <w:tcPr>
            <w:tcW w:w="2128" w:type="dxa"/>
            <w:vAlign w:val="center"/>
          </w:tcPr>
          <w:p w:rsidR="007D46DA" w:rsidRPr="005C2421" w:rsidRDefault="007D46DA" w:rsidP="006B1499">
            <w:pPr>
              <w:pStyle w:val="BodyText"/>
              <w:keepNext/>
              <w:keepLines/>
              <w:spacing w:before="0" w:after="0"/>
              <w:jc w:val="center"/>
            </w:pPr>
          </w:p>
        </w:tc>
        <w:tc>
          <w:tcPr>
            <w:tcW w:w="2128" w:type="dxa"/>
            <w:vAlign w:val="center"/>
          </w:tcPr>
          <w:p w:rsidR="007D46DA" w:rsidRPr="005C2421" w:rsidRDefault="007D46DA" w:rsidP="006B1499">
            <w:pPr>
              <w:pStyle w:val="BodyText"/>
              <w:keepNext/>
              <w:keepLines/>
              <w:spacing w:before="0" w:after="0"/>
              <w:jc w:val="center"/>
            </w:pPr>
          </w:p>
        </w:tc>
        <w:tc>
          <w:tcPr>
            <w:tcW w:w="2128" w:type="dxa"/>
            <w:vAlign w:val="center"/>
          </w:tcPr>
          <w:p w:rsidR="007D46DA" w:rsidRPr="005C2421" w:rsidRDefault="007D46DA" w:rsidP="006B1499">
            <w:pPr>
              <w:pStyle w:val="BodyText"/>
              <w:keepNext/>
              <w:keepLines/>
              <w:spacing w:before="0" w:after="0"/>
              <w:jc w:val="center"/>
            </w:pPr>
          </w:p>
        </w:tc>
      </w:tr>
      <w:tr w:rsidR="007D46DA" w:rsidRPr="005C2421">
        <w:tc>
          <w:tcPr>
            <w:tcW w:w="3192" w:type="dxa"/>
          </w:tcPr>
          <w:p w:rsidR="007D46DA" w:rsidRPr="005C2421" w:rsidRDefault="007D46DA" w:rsidP="006B1499">
            <w:pPr>
              <w:pStyle w:val="BodyText"/>
              <w:keepNext/>
              <w:keepLines/>
              <w:spacing w:before="0" w:after="0"/>
              <w:jc w:val="left"/>
            </w:pPr>
            <w:r w:rsidRPr="00E105B1">
              <w:t>By measure of infrastructure</w:t>
            </w:r>
          </w:p>
        </w:tc>
        <w:tc>
          <w:tcPr>
            <w:tcW w:w="2128" w:type="dxa"/>
            <w:vAlign w:val="center"/>
          </w:tcPr>
          <w:p w:rsidR="007D46DA" w:rsidRPr="005C2421" w:rsidRDefault="007D46DA" w:rsidP="006B1499">
            <w:pPr>
              <w:pStyle w:val="BodyText"/>
              <w:keepNext/>
              <w:keepLines/>
              <w:tabs>
                <w:tab w:val="num" w:pos="360"/>
              </w:tabs>
              <w:overflowPunct w:val="0"/>
              <w:autoSpaceDE w:val="0"/>
              <w:autoSpaceDN w:val="0"/>
              <w:adjustRightInd w:val="0"/>
              <w:spacing w:before="0" w:after="0"/>
              <w:ind w:left="360" w:hanging="360"/>
              <w:jc w:val="center"/>
              <w:textAlignment w:val="baseline"/>
              <w:outlineLvl w:val="3"/>
            </w:pPr>
          </w:p>
        </w:tc>
        <w:tc>
          <w:tcPr>
            <w:tcW w:w="2128" w:type="dxa"/>
            <w:vAlign w:val="center"/>
          </w:tcPr>
          <w:p w:rsidR="007D46DA" w:rsidRPr="005C2421" w:rsidRDefault="007D46DA" w:rsidP="006B1499">
            <w:pPr>
              <w:pStyle w:val="BodyText"/>
              <w:keepNext/>
              <w:keepLines/>
              <w:tabs>
                <w:tab w:val="num" w:pos="360"/>
              </w:tabs>
              <w:overflowPunct w:val="0"/>
              <w:autoSpaceDE w:val="0"/>
              <w:autoSpaceDN w:val="0"/>
              <w:adjustRightInd w:val="0"/>
              <w:spacing w:before="0" w:after="0"/>
              <w:ind w:left="360" w:hanging="360"/>
              <w:jc w:val="center"/>
              <w:textAlignment w:val="baseline"/>
              <w:outlineLvl w:val="3"/>
            </w:pPr>
          </w:p>
        </w:tc>
        <w:tc>
          <w:tcPr>
            <w:tcW w:w="2128" w:type="dxa"/>
            <w:vAlign w:val="center"/>
          </w:tcPr>
          <w:p w:rsidR="007D46DA" w:rsidRPr="005C2421" w:rsidRDefault="007D46DA" w:rsidP="006B1499">
            <w:pPr>
              <w:pStyle w:val="BodyText"/>
              <w:keepNext/>
              <w:keepLines/>
              <w:tabs>
                <w:tab w:val="num" w:pos="360"/>
              </w:tabs>
              <w:overflowPunct w:val="0"/>
              <w:autoSpaceDE w:val="0"/>
              <w:autoSpaceDN w:val="0"/>
              <w:adjustRightInd w:val="0"/>
              <w:spacing w:before="0" w:after="0"/>
              <w:ind w:left="360" w:hanging="360"/>
              <w:jc w:val="center"/>
              <w:textAlignment w:val="baseline"/>
              <w:outlineLvl w:val="3"/>
            </w:pPr>
          </w:p>
        </w:tc>
      </w:tr>
      <w:tr w:rsidR="007D46DA" w:rsidRPr="005C2421">
        <w:tc>
          <w:tcPr>
            <w:tcW w:w="3192" w:type="dxa"/>
          </w:tcPr>
          <w:p w:rsidR="007D46DA" w:rsidRPr="005C2421" w:rsidRDefault="007D46DA" w:rsidP="006B1499">
            <w:pPr>
              <w:pStyle w:val="BodyText"/>
              <w:keepNext/>
              <w:keepLines/>
              <w:spacing w:before="0" w:after="0"/>
              <w:ind w:left="180"/>
              <w:jc w:val="left"/>
            </w:pPr>
            <w:r w:rsidRPr="00E105B1">
              <w:t>Financial (expenditures of public capital) (34)</w:t>
            </w:r>
          </w:p>
        </w:tc>
        <w:tc>
          <w:tcPr>
            <w:tcW w:w="2128" w:type="dxa"/>
            <w:vAlign w:val="center"/>
          </w:tcPr>
          <w:p w:rsidR="007D46DA" w:rsidRPr="005C2421" w:rsidRDefault="007D46DA" w:rsidP="006B1499">
            <w:pPr>
              <w:pStyle w:val="BodyText"/>
              <w:keepNext/>
              <w:keepLines/>
              <w:spacing w:before="0" w:after="0"/>
              <w:jc w:val="center"/>
            </w:pPr>
            <w:r w:rsidRPr="00E105B1">
              <w:t>14.71%</w:t>
            </w:r>
          </w:p>
        </w:tc>
        <w:tc>
          <w:tcPr>
            <w:tcW w:w="2128" w:type="dxa"/>
            <w:vAlign w:val="center"/>
          </w:tcPr>
          <w:p w:rsidR="007D46DA" w:rsidRPr="005C2421" w:rsidRDefault="007D46DA" w:rsidP="006B1499">
            <w:pPr>
              <w:pStyle w:val="BodyText"/>
              <w:keepNext/>
              <w:keepLines/>
              <w:spacing w:before="0" w:after="0"/>
              <w:jc w:val="center"/>
            </w:pPr>
            <w:r w:rsidRPr="00E105B1">
              <w:t>44.12%</w:t>
            </w:r>
          </w:p>
        </w:tc>
        <w:tc>
          <w:tcPr>
            <w:tcW w:w="2128" w:type="dxa"/>
            <w:vAlign w:val="center"/>
          </w:tcPr>
          <w:p w:rsidR="007D46DA" w:rsidRPr="005C2421" w:rsidRDefault="007D46DA" w:rsidP="006B1499">
            <w:pPr>
              <w:pStyle w:val="BodyText"/>
              <w:keepNext/>
              <w:keepLines/>
              <w:spacing w:before="0" w:after="0"/>
              <w:jc w:val="center"/>
            </w:pPr>
            <w:r w:rsidRPr="00E105B1">
              <w:t>41.18%</w:t>
            </w:r>
          </w:p>
        </w:tc>
      </w:tr>
      <w:tr w:rsidR="007D46DA" w:rsidRPr="005C2421">
        <w:tc>
          <w:tcPr>
            <w:tcW w:w="3192" w:type="dxa"/>
          </w:tcPr>
          <w:p w:rsidR="007D46DA" w:rsidRPr="005C2421" w:rsidRDefault="007D46DA" w:rsidP="006B1499">
            <w:pPr>
              <w:pStyle w:val="BodyText"/>
              <w:keepNext/>
              <w:keepLines/>
              <w:spacing w:before="0" w:after="0"/>
              <w:ind w:left="360"/>
              <w:jc w:val="left"/>
            </w:pPr>
            <w:r w:rsidRPr="00E105B1">
              <w:t>Aggregate (27)</w:t>
            </w:r>
          </w:p>
        </w:tc>
        <w:tc>
          <w:tcPr>
            <w:tcW w:w="2128" w:type="dxa"/>
            <w:vAlign w:val="center"/>
          </w:tcPr>
          <w:p w:rsidR="007D46DA" w:rsidRPr="005C2421" w:rsidRDefault="007D46DA" w:rsidP="006B1499">
            <w:pPr>
              <w:pStyle w:val="BodyText"/>
              <w:keepNext/>
              <w:keepLines/>
              <w:spacing w:before="0" w:after="0"/>
              <w:jc w:val="center"/>
            </w:pPr>
            <w:r w:rsidRPr="00E105B1">
              <w:t>18.52%</w:t>
            </w:r>
          </w:p>
        </w:tc>
        <w:tc>
          <w:tcPr>
            <w:tcW w:w="2128" w:type="dxa"/>
            <w:vAlign w:val="center"/>
          </w:tcPr>
          <w:p w:rsidR="007D46DA" w:rsidRPr="005C2421" w:rsidRDefault="007D46DA" w:rsidP="006B1499">
            <w:pPr>
              <w:pStyle w:val="BodyText"/>
              <w:keepNext/>
              <w:keepLines/>
              <w:spacing w:before="0" w:after="0"/>
              <w:jc w:val="center"/>
            </w:pPr>
            <w:r w:rsidRPr="00E105B1">
              <w:t>48.15%</w:t>
            </w:r>
          </w:p>
        </w:tc>
        <w:tc>
          <w:tcPr>
            <w:tcW w:w="2128" w:type="dxa"/>
            <w:vAlign w:val="center"/>
          </w:tcPr>
          <w:p w:rsidR="007D46DA" w:rsidRPr="005C2421" w:rsidRDefault="007D46DA" w:rsidP="006B1499">
            <w:pPr>
              <w:pStyle w:val="BodyText"/>
              <w:keepNext/>
              <w:keepLines/>
              <w:spacing w:before="0" w:after="0"/>
              <w:jc w:val="center"/>
            </w:pPr>
            <w:r w:rsidRPr="00E105B1">
              <w:t>33.33%</w:t>
            </w:r>
          </w:p>
        </w:tc>
      </w:tr>
      <w:tr w:rsidR="007D46DA" w:rsidRPr="005C2421">
        <w:tc>
          <w:tcPr>
            <w:tcW w:w="3192" w:type="dxa"/>
          </w:tcPr>
          <w:p w:rsidR="007D46DA" w:rsidRPr="005C2421" w:rsidRDefault="007D46DA" w:rsidP="006B1499">
            <w:pPr>
              <w:pStyle w:val="BodyText"/>
              <w:keepNext/>
              <w:keepLines/>
              <w:spacing w:before="0" w:after="0"/>
              <w:ind w:left="360"/>
              <w:jc w:val="left"/>
            </w:pPr>
            <w:r w:rsidRPr="00E105B1">
              <w:t>Transport (4)</w:t>
            </w:r>
          </w:p>
        </w:tc>
        <w:tc>
          <w:tcPr>
            <w:tcW w:w="2128" w:type="dxa"/>
            <w:vAlign w:val="center"/>
          </w:tcPr>
          <w:p w:rsidR="007D46DA" w:rsidRPr="005C2421" w:rsidRDefault="007D46DA" w:rsidP="006B1499">
            <w:pPr>
              <w:pStyle w:val="BodyText"/>
              <w:keepNext/>
              <w:keepLines/>
              <w:spacing w:before="0" w:after="0"/>
              <w:jc w:val="center"/>
            </w:pPr>
            <w:r w:rsidRPr="00E105B1">
              <w:t>0.00%</w:t>
            </w:r>
          </w:p>
        </w:tc>
        <w:tc>
          <w:tcPr>
            <w:tcW w:w="2128" w:type="dxa"/>
            <w:vAlign w:val="center"/>
          </w:tcPr>
          <w:p w:rsidR="007D46DA" w:rsidRPr="005C2421" w:rsidRDefault="007D46DA" w:rsidP="006B1499">
            <w:pPr>
              <w:pStyle w:val="BodyText"/>
              <w:keepNext/>
              <w:keepLines/>
              <w:spacing w:before="0" w:after="0"/>
              <w:jc w:val="center"/>
            </w:pPr>
            <w:r w:rsidRPr="00E105B1">
              <w:t>25.00%</w:t>
            </w:r>
          </w:p>
        </w:tc>
        <w:tc>
          <w:tcPr>
            <w:tcW w:w="2128" w:type="dxa"/>
            <w:vAlign w:val="center"/>
          </w:tcPr>
          <w:p w:rsidR="007D46DA" w:rsidRPr="005C2421" w:rsidRDefault="007D46DA" w:rsidP="006B1499">
            <w:pPr>
              <w:pStyle w:val="BodyText"/>
              <w:keepNext/>
              <w:keepLines/>
              <w:spacing w:before="0" w:after="0"/>
              <w:jc w:val="center"/>
            </w:pPr>
            <w:r w:rsidRPr="00E105B1">
              <w:t>75.00%</w:t>
            </w:r>
          </w:p>
        </w:tc>
      </w:tr>
      <w:tr w:rsidR="007D46DA" w:rsidRPr="005C2421">
        <w:tc>
          <w:tcPr>
            <w:tcW w:w="3192" w:type="dxa"/>
          </w:tcPr>
          <w:p w:rsidR="007D46DA" w:rsidRPr="005C2421" w:rsidRDefault="007D46DA" w:rsidP="006B1499">
            <w:pPr>
              <w:pStyle w:val="BodyText"/>
              <w:keepNext/>
              <w:keepLines/>
              <w:spacing w:before="0" w:after="0"/>
              <w:ind w:left="360"/>
              <w:jc w:val="left"/>
            </w:pPr>
            <w:r w:rsidRPr="00E105B1">
              <w:t>Telecom (2)</w:t>
            </w:r>
          </w:p>
        </w:tc>
        <w:tc>
          <w:tcPr>
            <w:tcW w:w="2128" w:type="dxa"/>
            <w:vAlign w:val="center"/>
          </w:tcPr>
          <w:p w:rsidR="007D46DA" w:rsidRPr="005C2421" w:rsidRDefault="007D46DA" w:rsidP="006B1499">
            <w:pPr>
              <w:pStyle w:val="BodyText"/>
              <w:keepNext/>
              <w:keepLines/>
              <w:spacing w:before="0" w:after="0"/>
              <w:jc w:val="center"/>
            </w:pPr>
            <w:r w:rsidRPr="00E105B1">
              <w:t>0.00%</w:t>
            </w:r>
          </w:p>
        </w:tc>
        <w:tc>
          <w:tcPr>
            <w:tcW w:w="2128" w:type="dxa"/>
            <w:vAlign w:val="center"/>
          </w:tcPr>
          <w:p w:rsidR="007D46DA" w:rsidRPr="005C2421" w:rsidRDefault="007D46DA" w:rsidP="006B1499">
            <w:pPr>
              <w:pStyle w:val="BodyText"/>
              <w:keepNext/>
              <w:keepLines/>
              <w:spacing w:before="0" w:after="0"/>
              <w:jc w:val="center"/>
            </w:pPr>
            <w:r w:rsidRPr="00E105B1">
              <w:t>0.00%</w:t>
            </w:r>
          </w:p>
        </w:tc>
        <w:tc>
          <w:tcPr>
            <w:tcW w:w="2128" w:type="dxa"/>
            <w:vAlign w:val="center"/>
          </w:tcPr>
          <w:p w:rsidR="007D46DA" w:rsidRPr="005C2421" w:rsidRDefault="007D46DA" w:rsidP="006B1499">
            <w:pPr>
              <w:pStyle w:val="BodyText"/>
              <w:keepNext/>
              <w:keepLines/>
              <w:spacing w:before="0" w:after="0"/>
              <w:jc w:val="center"/>
            </w:pPr>
            <w:r w:rsidRPr="00E105B1">
              <w:t>100.00%</w:t>
            </w:r>
          </w:p>
        </w:tc>
      </w:tr>
      <w:tr w:rsidR="007D46DA" w:rsidRPr="005C2421">
        <w:tc>
          <w:tcPr>
            <w:tcW w:w="3192" w:type="dxa"/>
          </w:tcPr>
          <w:p w:rsidR="007D46DA" w:rsidRPr="005C2421" w:rsidRDefault="007D46DA" w:rsidP="006B1499">
            <w:pPr>
              <w:pStyle w:val="BodyText"/>
              <w:keepNext/>
              <w:keepLines/>
              <w:spacing w:before="0" w:after="0"/>
              <w:ind w:left="360"/>
              <w:jc w:val="left"/>
            </w:pPr>
            <w:r w:rsidRPr="00E105B1">
              <w:t>Water (1)</w:t>
            </w:r>
          </w:p>
        </w:tc>
        <w:tc>
          <w:tcPr>
            <w:tcW w:w="2128" w:type="dxa"/>
            <w:vAlign w:val="center"/>
          </w:tcPr>
          <w:p w:rsidR="007D46DA" w:rsidRPr="005C2421" w:rsidRDefault="007D46DA" w:rsidP="006B1499">
            <w:pPr>
              <w:pStyle w:val="BodyText"/>
              <w:keepNext/>
              <w:keepLines/>
              <w:spacing w:before="0" w:after="0"/>
              <w:jc w:val="center"/>
            </w:pPr>
            <w:r w:rsidRPr="00E105B1">
              <w:t>0.00%</w:t>
            </w:r>
          </w:p>
        </w:tc>
        <w:tc>
          <w:tcPr>
            <w:tcW w:w="2128" w:type="dxa"/>
            <w:vAlign w:val="center"/>
          </w:tcPr>
          <w:p w:rsidR="007D46DA" w:rsidRPr="005C2421" w:rsidRDefault="007D46DA" w:rsidP="006B1499">
            <w:pPr>
              <w:pStyle w:val="BodyText"/>
              <w:keepNext/>
              <w:keepLines/>
              <w:spacing w:before="0" w:after="0"/>
              <w:jc w:val="center"/>
            </w:pPr>
            <w:r w:rsidRPr="00E105B1">
              <w:t>100.00%</w:t>
            </w:r>
          </w:p>
        </w:tc>
        <w:tc>
          <w:tcPr>
            <w:tcW w:w="2128" w:type="dxa"/>
            <w:vAlign w:val="center"/>
          </w:tcPr>
          <w:p w:rsidR="007D46DA" w:rsidRPr="005C2421" w:rsidRDefault="007D46DA" w:rsidP="006B1499">
            <w:pPr>
              <w:pStyle w:val="BodyText"/>
              <w:keepNext/>
              <w:keepLines/>
              <w:spacing w:before="0" w:after="0"/>
              <w:jc w:val="center"/>
            </w:pPr>
            <w:r w:rsidRPr="00E105B1">
              <w:t>0.00%</w:t>
            </w:r>
          </w:p>
        </w:tc>
      </w:tr>
      <w:tr w:rsidR="007D46DA" w:rsidRPr="005C2421">
        <w:tc>
          <w:tcPr>
            <w:tcW w:w="3192" w:type="dxa"/>
          </w:tcPr>
          <w:p w:rsidR="007D46DA" w:rsidRPr="005C2421" w:rsidRDefault="007D46DA" w:rsidP="006B1499">
            <w:pPr>
              <w:pStyle w:val="BodyText"/>
              <w:keepNext/>
              <w:keepLines/>
              <w:spacing w:before="0" w:after="0"/>
              <w:ind w:left="180"/>
              <w:jc w:val="left"/>
            </w:pPr>
            <w:r w:rsidRPr="00E105B1">
              <w:t>Physical (43)</w:t>
            </w:r>
          </w:p>
        </w:tc>
        <w:tc>
          <w:tcPr>
            <w:tcW w:w="2128" w:type="dxa"/>
            <w:vAlign w:val="center"/>
          </w:tcPr>
          <w:p w:rsidR="007D46DA" w:rsidRPr="005C2421" w:rsidRDefault="007D46DA" w:rsidP="006B1499">
            <w:pPr>
              <w:pStyle w:val="BodyText"/>
              <w:keepNext/>
              <w:keepLines/>
              <w:spacing w:before="0" w:after="0"/>
              <w:jc w:val="center"/>
            </w:pPr>
            <w:r w:rsidRPr="00E105B1">
              <w:t>0.00%</w:t>
            </w:r>
          </w:p>
        </w:tc>
        <w:tc>
          <w:tcPr>
            <w:tcW w:w="2128" w:type="dxa"/>
            <w:vAlign w:val="center"/>
          </w:tcPr>
          <w:p w:rsidR="007D46DA" w:rsidRPr="005C2421" w:rsidRDefault="007D46DA" w:rsidP="006B1499">
            <w:pPr>
              <w:pStyle w:val="BodyText"/>
              <w:keepNext/>
              <w:keepLines/>
              <w:spacing w:before="0" w:after="0"/>
              <w:jc w:val="center"/>
            </w:pPr>
            <w:r w:rsidRPr="00E105B1">
              <w:t>32.56%</w:t>
            </w:r>
          </w:p>
        </w:tc>
        <w:tc>
          <w:tcPr>
            <w:tcW w:w="2128" w:type="dxa"/>
            <w:vAlign w:val="center"/>
          </w:tcPr>
          <w:p w:rsidR="007D46DA" w:rsidRPr="005C2421" w:rsidRDefault="007D46DA" w:rsidP="006B1499">
            <w:pPr>
              <w:pStyle w:val="BodyText"/>
              <w:keepNext/>
              <w:keepLines/>
              <w:spacing w:before="0" w:after="0"/>
              <w:jc w:val="center"/>
            </w:pPr>
            <w:r w:rsidRPr="00E105B1">
              <w:t>67.44%</w:t>
            </w:r>
          </w:p>
        </w:tc>
      </w:tr>
      <w:tr w:rsidR="007D46DA" w:rsidRPr="005C2421">
        <w:tc>
          <w:tcPr>
            <w:tcW w:w="3192" w:type="dxa"/>
          </w:tcPr>
          <w:p w:rsidR="007D46DA" w:rsidRPr="005C2421" w:rsidRDefault="007D46DA" w:rsidP="006B1499">
            <w:pPr>
              <w:pStyle w:val="BodyText"/>
              <w:keepNext/>
              <w:keepLines/>
              <w:spacing w:before="0" w:after="0"/>
              <w:ind w:left="360"/>
              <w:jc w:val="left"/>
            </w:pPr>
            <w:r w:rsidRPr="00E105B1">
              <w:t>Aggregate (6)</w:t>
            </w:r>
          </w:p>
        </w:tc>
        <w:tc>
          <w:tcPr>
            <w:tcW w:w="2128" w:type="dxa"/>
            <w:vAlign w:val="center"/>
          </w:tcPr>
          <w:p w:rsidR="007D46DA" w:rsidRPr="005C2421" w:rsidRDefault="007D46DA" w:rsidP="006B1499">
            <w:pPr>
              <w:pStyle w:val="BodyText"/>
              <w:keepNext/>
              <w:keepLines/>
              <w:spacing w:before="0" w:after="0"/>
              <w:jc w:val="center"/>
            </w:pPr>
            <w:r w:rsidRPr="00E105B1">
              <w:t>0.00%</w:t>
            </w:r>
          </w:p>
        </w:tc>
        <w:tc>
          <w:tcPr>
            <w:tcW w:w="2128" w:type="dxa"/>
            <w:vAlign w:val="center"/>
          </w:tcPr>
          <w:p w:rsidR="007D46DA" w:rsidRPr="005C2421" w:rsidRDefault="007D46DA" w:rsidP="006B1499">
            <w:pPr>
              <w:pStyle w:val="BodyText"/>
              <w:keepNext/>
              <w:keepLines/>
              <w:spacing w:before="0" w:after="0"/>
              <w:jc w:val="center"/>
            </w:pPr>
            <w:r w:rsidRPr="00E105B1">
              <w:t>16.67%</w:t>
            </w:r>
          </w:p>
        </w:tc>
        <w:tc>
          <w:tcPr>
            <w:tcW w:w="2128" w:type="dxa"/>
            <w:vAlign w:val="center"/>
          </w:tcPr>
          <w:p w:rsidR="007D46DA" w:rsidRPr="005C2421" w:rsidRDefault="007D46DA" w:rsidP="006B1499">
            <w:pPr>
              <w:pStyle w:val="BodyText"/>
              <w:keepNext/>
              <w:keepLines/>
              <w:spacing w:before="0" w:after="0"/>
              <w:jc w:val="center"/>
            </w:pPr>
            <w:r w:rsidRPr="00E105B1">
              <w:t>83.33%</w:t>
            </w:r>
          </w:p>
        </w:tc>
      </w:tr>
      <w:tr w:rsidR="007D46DA" w:rsidRPr="005C2421">
        <w:tc>
          <w:tcPr>
            <w:tcW w:w="3192" w:type="dxa"/>
          </w:tcPr>
          <w:p w:rsidR="007D46DA" w:rsidRPr="005C2421" w:rsidRDefault="007D46DA" w:rsidP="006B1499">
            <w:pPr>
              <w:pStyle w:val="BodyText"/>
              <w:keepNext/>
              <w:keepLines/>
              <w:spacing w:before="0" w:after="0"/>
              <w:ind w:left="360"/>
              <w:jc w:val="left"/>
            </w:pPr>
            <w:r w:rsidRPr="00E105B1">
              <w:t>Electricity (11)</w:t>
            </w:r>
          </w:p>
        </w:tc>
        <w:tc>
          <w:tcPr>
            <w:tcW w:w="2128" w:type="dxa"/>
            <w:vAlign w:val="center"/>
          </w:tcPr>
          <w:p w:rsidR="007D46DA" w:rsidRPr="005C2421" w:rsidRDefault="007D46DA" w:rsidP="006B1499">
            <w:pPr>
              <w:pStyle w:val="BodyText"/>
              <w:keepNext/>
              <w:keepLines/>
              <w:spacing w:before="0" w:after="0"/>
              <w:jc w:val="center"/>
            </w:pPr>
            <w:r w:rsidRPr="00E105B1">
              <w:t>0.00%</w:t>
            </w:r>
          </w:p>
        </w:tc>
        <w:tc>
          <w:tcPr>
            <w:tcW w:w="2128" w:type="dxa"/>
            <w:vAlign w:val="center"/>
          </w:tcPr>
          <w:p w:rsidR="007D46DA" w:rsidRPr="005C2421" w:rsidRDefault="007D46DA" w:rsidP="006B1499">
            <w:pPr>
              <w:pStyle w:val="BodyText"/>
              <w:keepNext/>
              <w:keepLines/>
              <w:spacing w:before="0" w:after="0"/>
              <w:jc w:val="center"/>
            </w:pPr>
            <w:r w:rsidRPr="00E105B1">
              <w:t>45.45%</w:t>
            </w:r>
          </w:p>
        </w:tc>
        <w:tc>
          <w:tcPr>
            <w:tcW w:w="2128" w:type="dxa"/>
            <w:vAlign w:val="center"/>
          </w:tcPr>
          <w:p w:rsidR="007D46DA" w:rsidRPr="005C2421" w:rsidRDefault="007D46DA" w:rsidP="006B1499">
            <w:pPr>
              <w:pStyle w:val="BodyText"/>
              <w:keepNext/>
              <w:keepLines/>
              <w:spacing w:before="0" w:after="0"/>
              <w:jc w:val="center"/>
            </w:pPr>
            <w:r w:rsidRPr="00E105B1">
              <w:t>54.55%</w:t>
            </w:r>
          </w:p>
        </w:tc>
      </w:tr>
      <w:tr w:rsidR="007D46DA" w:rsidRPr="005C2421">
        <w:tc>
          <w:tcPr>
            <w:tcW w:w="3192" w:type="dxa"/>
          </w:tcPr>
          <w:p w:rsidR="007D46DA" w:rsidRPr="005C2421" w:rsidRDefault="007D46DA" w:rsidP="006B1499">
            <w:pPr>
              <w:pStyle w:val="BodyText"/>
              <w:keepNext/>
              <w:keepLines/>
              <w:spacing w:before="0" w:after="0"/>
              <w:ind w:left="360"/>
              <w:jc w:val="left"/>
            </w:pPr>
            <w:r w:rsidRPr="00E105B1">
              <w:t>Roads (10)</w:t>
            </w:r>
          </w:p>
        </w:tc>
        <w:tc>
          <w:tcPr>
            <w:tcW w:w="2128" w:type="dxa"/>
            <w:vAlign w:val="center"/>
          </w:tcPr>
          <w:p w:rsidR="007D46DA" w:rsidRPr="005C2421" w:rsidRDefault="007D46DA" w:rsidP="006B1499">
            <w:pPr>
              <w:pStyle w:val="BodyText"/>
              <w:keepNext/>
              <w:keepLines/>
              <w:spacing w:before="0" w:after="0"/>
              <w:jc w:val="center"/>
            </w:pPr>
            <w:r w:rsidRPr="00E105B1">
              <w:t>0.00%</w:t>
            </w:r>
          </w:p>
        </w:tc>
        <w:tc>
          <w:tcPr>
            <w:tcW w:w="2128" w:type="dxa"/>
            <w:vAlign w:val="center"/>
          </w:tcPr>
          <w:p w:rsidR="007D46DA" w:rsidRPr="005C2421" w:rsidRDefault="007D46DA" w:rsidP="006B1499">
            <w:pPr>
              <w:pStyle w:val="BodyText"/>
              <w:keepNext/>
              <w:keepLines/>
              <w:spacing w:before="0" w:after="0"/>
              <w:jc w:val="center"/>
            </w:pPr>
            <w:r w:rsidRPr="00E105B1">
              <w:t>40.00%</w:t>
            </w:r>
          </w:p>
        </w:tc>
        <w:tc>
          <w:tcPr>
            <w:tcW w:w="2128" w:type="dxa"/>
            <w:vAlign w:val="center"/>
          </w:tcPr>
          <w:p w:rsidR="007D46DA" w:rsidRPr="005C2421" w:rsidRDefault="007D46DA" w:rsidP="006B1499">
            <w:pPr>
              <w:pStyle w:val="BodyText"/>
              <w:keepNext/>
              <w:keepLines/>
              <w:spacing w:before="0" w:after="0"/>
              <w:jc w:val="center"/>
            </w:pPr>
            <w:r w:rsidRPr="00E105B1">
              <w:t>60.00%</w:t>
            </w:r>
          </w:p>
        </w:tc>
      </w:tr>
      <w:tr w:rsidR="007D46DA" w:rsidRPr="005C2421">
        <w:tc>
          <w:tcPr>
            <w:tcW w:w="3192" w:type="dxa"/>
          </w:tcPr>
          <w:p w:rsidR="007D46DA" w:rsidRPr="005C2421" w:rsidRDefault="007D46DA" w:rsidP="006B1499">
            <w:pPr>
              <w:pStyle w:val="BodyText"/>
              <w:keepNext/>
              <w:keepLines/>
              <w:spacing w:before="0" w:after="0"/>
              <w:ind w:left="360"/>
              <w:jc w:val="left"/>
            </w:pPr>
            <w:r w:rsidRPr="00E105B1">
              <w:t>Telecom (14)</w:t>
            </w:r>
          </w:p>
        </w:tc>
        <w:tc>
          <w:tcPr>
            <w:tcW w:w="2128" w:type="dxa"/>
            <w:vAlign w:val="center"/>
          </w:tcPr>
          <w:p w:rsidR="007D46DA" w:rsidRPr="005C2421" w:rsidRDefault="007D46DA" w:rsidP="006B1499">
            <w:pPr>
              <w:pStyle w:val="BodyText"/>
              <w:keepNext/>
              <w:keepLines/>
              <w:spacing w:before="0" w:after="0"/>
              <w:jc w:val="center"/>
            </w:pPr>
            <w:r w:rsidRPr="00E105B1">
              <w:t>0.00%</w:t>
            </w:r>
          </w:p>
        </w:tc>
        <w:tc>
          <w:tcPr>
            <w:tcW w:w="2128" w:type="dxa"/>
            <w:vAlign w:val="center"/>
          </w:tcPr>
          <w:p w:rsidR="007D46DA" w:rsidRPr="005C2421" w:rsidRDefault="007D46DA" w:rsidP="006B1499">
            <w:pPr>
              <w:pStyle w:val="BodyText"/>
              <w:keepNext/>
              <w:keepLines/>
              <w:spacing w:before="0" w:after="0"/>
              <w:jc w:val="center"/>
            </w:pPr>
            <w:r w:rsidRPr="00E105B1">
              <w:t>21.43%</w:t>
            </w:r>
          </w:p>
        </w:tc>
        <w:tc>
          <w:tcPr>
            <w:tcW w:w="2128" w:type="dxa"/>
            <w:vAlign w:val="center"/>
          </w:tcPr>
          <w:p w:rsidR="007D46DA" w:rsidRPr="005C2421" w:rsidRDefault="007D46DA" w:rsidP="006B1499">
            <w:pPr>
              <w:pStyle w:val="BodyText"/>
              <w:keepNext/>
              <w:keepLines/>
              <w:spacing w:before="0" w:after="0"/>
              <w:jc w:val="center"/>
            </w:pPr>
            <w:r w:rsidRPr="00E105B1">
              <w:t>78.57%</w:t>
            </w:r>
          </w:p>
        </w:tc>
      </w:tr>
      <w:tr w:rsidR="007D46DA" w:rsidRPr="005C2421">
        <w:tc>
          <w:tcPr>
            <w:tcW w:w="3192" w:type="dxa"/>
          </w:tcPr>
          <w:p w:rsidR="007D46DA" w:rsidRPr="005C2421" w:rsidRDefault="007D46DA" w:rsidP="006B1499">
            <w:pPr>
              <w:pStyle w:val="BodyText"/>
              <w:keepNext/>
              <w:keepLines/>
              <w:spacing w:before="0" w:after="0"/>
              <w:ind w:left="360"/>
              <w:jc w:val="left"/>
            </w:pPr>
            <w:r w:rsidRPr="00E105B1">
              <w:t>Water and sanitation (2)</w:t>
            </w:r>
          </w:p>
        </w:tc>
        <w:tc>
          <w:tcPr>
            <w:tcW w:w="2128" w:type="dxa"/>
            <w:vAlign w:val="center"/>
          </w:tcPr>
          <w:p w:rsidR="007D46DA" w:rsidRPr="005C2421" w:rsidRDefault="007D46DA" w:rsidP="006B1499">
            <w:pPr>
              <w:pStyle w:val="BodyText"/>
              <w:keepNext/>
              <w:keepLines/>
              <w:spacing w:before="0" w:after="0"/>
              <w:jc w:val="center"/>
            </w:pPr>
            <w:r w:rsidRPr="00E105B1">
              <w:t>0.00%</w:t>
            </w:r>
          </w:p>
        </w:tc>
        <w:tc>
          <w:tcPr>
            <w:tcW w:w="2128" w:type="dxa"/>
            <w:vAlign w:val="center"/>
          </w:tcPr>
          <w:p w:rsidR="007D46DA" w:rsidRPr="005C2421" w:rsidRDefault="007D46DA" w:rsidP="006B1499">
            <w:pPr>
              <w:pStyle w:val="BodyText"/>
              <w:keepNext/>
              <w:keepLines/>
              <w:spacing w:before="0" w:after="0"/>
              <w:jc w:val="center"/>
            </w:pPr>
            <w:r w:rsidRPr="00E105B1">
              <w:t>50.00%</w:t>
            </w:r>
          </w:p>
        </w:tc>
        <w:tc>
          <w:tcPr>
            <w:tcW w:w="2128" w:type="dxa"/>
            <w:vAlign w:val="center"/>
          </w:tcPr>
          <w:p w:rsidR="007D46DA" w:rsidRPr="005C2421" w:rsidRDefault="007D46DA" w:rsidP="006B1499">
            <w:pPr>
              <w:pStyle w:val="BodyText"/>
              <w:keepNext/>
              <w:keepLines/>
              <w:spacing w:before="0" w:after="0"/>
              <w:jc w:val="center"/>
            </w:pPr>
            <w:r w:rsidRPr="00E105B1">
              <w:t>50.00%</w:t>
            </w:r>
          </w:p>
        </w:tc>
      </w:tr>
      <w:tr w:rsidR="007D46DA" w:rsidRPr="005C2421">
        <w:tc>
          <w:tcPr>
            <w:tcW w:w="9576" w:type="dxa"/>
            <w:gridSpan w:val="4"/>
            <w:vAlign w:val="center"/>
          </w:tcPr>
          <w:p w:rsidR="007D46DA" w:rsidRPr="005C2421" w:rsidRDefault="007D46DA" w:rsidP="006B1499">
            <w:pPr>
              <w:pStyle w:val="BodyText"/>
              <w:spacing w:before="0" w:after="0"/>
              <w:jc w:val="left"/>
            </w:pPr>
            <w:r w:rsidRPr="00E105B1">
              <w:t>Values in parentheses are number of cases.</w:t>
            </w:r>
          </w:p>
          <w:p w:rsidR="007D46DA" w:rsidRPr="008B1E80" w:rsidRDefault="007D46DA" w:rsidP="006B1499">
            <w:pPr>
              <w:pStyle w:val="BodyText"/>
              <w:spacing w:before="0" w:after="0"/>
              <w:jc w:val="left"/>
              <w:rPr>
                <w:i/>
              </w:rPr>
            </w:pPr>
            <w:r w:rsidRPr="008B1E80">
              <w:rPr>
                <w:i/>
              </w:rPr>
              <w:t xml:space="preserve">Source: Straub </w:t>
            </w:r>
            <w:r w:rsidR="00F7383F" w:rsidRPr="008B1E80">
              <w:rPr>
                <w:i/>
              </w:rPr>
              <w:fldChar w:fldCharType="begin"/>
            </w:r>
            <w:r w:rsidRPr="008B1E80">
              <w:rPr>
                <w:i/>
              </w:rPr>
              <w:instrText xml:space="preserve"> ADDIN ZOTERO_ITEM {"citationID":"1ocpv4mqrb","properties":{"formattedCitation":"(2011, online annex)","plainCitation":"(2011, online annex)"},"citationItems":[{"id":1171,"uris":["http://zotero.org/groups/4482/items/NTMIMTHX"],"uri":["http://zotero.org/groups/4482/items/NTMIMTHX"],"locator":"online annex","label":"page","suppress-author":true}]} </w:instrText>
            </w:r>
            <w:r w:rsidR="00F7383F" w:rsidRPr="008B1E80">
              <w:rPr>
                <w:i/>
              </w:rPr>
              <w:fldChar w:fldCharType="separate"/>
            </w:r>
            <w:r w:rsidRPr="008B1E80">
              <w:rPr>
                <w:i/>
              </w:rPr>
              <w:t>(2011, online annex)</w:t>
            </w:r>
            <w:r w:rsidR="00F7383F" w:rsidRPr="008B1E80">
              <w:rPr>
                <w:i/>
              </w:rPr>
              <w:fldChar w:fldCharType="end"/>
            </w:r>
            <w:r w:rsidRPr="008B1E80">
              <w:rPr>
                <w:i/>
              </w:rPr>
              <w:t>; used with permission</w:t>
            </w:r>
          </w:p>
        </w:tc>
      </w:tr>
    </w:tbl>
    <w:p w:rsidR="007D46DA" w:rsidRPr="005C2421" w:rsidRDefault="007D46DA" w:rsidP="007D46DA">
      <w:pPr>
        <w:pStyle w:val="BodyText"/>
        <w:spacing w:before="0" w:after="0"/>
        <w:jc w:val="left"/>
      </w:pPr>
    </w:p>
    <w:p w:rsidR="007D46DA" w:rsidRPr="005C2421" w:rsidRDefault="007D46DA" w:rsidP="007D46DA">
      <w:r w:rsidRPr="00E105B1">
        <w:t xml:space="preserve">Even though these results imply that there is likely a significant positive effect of infrastructure on economic output, it is not possible to provide a simple estimate of the impact of infrastructure on economic output </w:t>
      </w:r>
      <w:r w:rsidR="00F7383F" w:rsidRPr="00E105B1">
        <w:fldChar w:fldCharType="begin"/>
      </w:r>
      <w:r w:rsidRPr="00E105B1">
        <w:instrText xml:space="preserve"> ADDIN ZOTERO_ITEM {"citationID":"1lc2gm5ant","properties":{"formattedCitation":"{\\rtf (Serv\\uc0\\u233{}n 2010; Straub 2011)}","plainCitation":"(Servén 2010; Straub 2011)"},"citationItems":[{"id":1167,"uris":["http://zotero.org/groups/4482/items/6MFVDZIE"],"uri":["http://zotero.org/groups/4482/items/6MFVDZIE"],"label":"page"},{"id":1171,"uris":["http://zotero.org/groups/4482/items/NTMIMTHX"],"uri":["http://zotero.org/groups/4482/items/NTMIMTHX"],"label":"page"}]} </w:instrText>
      </w:r>
      <w:r w:rsidR="00F7383F" w:rsidRPr="00E105B1">
        <w:fldChar w:fldCharType="separate"/>
      </w:r>
      <w:r w:rsidRPr="00E105B1">
        <w:t>(Servén 2010; Straub 2011)</w:t>
      </w:r>
      <w:r w:rsidR="00F7383F" w:rsidRPr="00E105B1">
        <w:fldChar w:fldCharType="end"/>
      </w:r>
      <w:r w:rsidRPr="00E105B1">
        <w:t xml:space="preserve">. For the reasons discussed above, not all results are comparable, due to differences in, among other things, measures of infrastructure, measures of economic output, and statistical approaches adopted. Even if we were to focus on those few recent studies that use an aggregate index of physical infrastructure and are careful to account for reverse causality, comparisons are difficult due to differences in how the indices are defined in the different studies. </w:t>
      </w:r>
    </w:p>
    <w:p w:rsidR="007D46DA" w:rsidRPr="005C2421" w:rsidRDefault="007D46DA" w:rsidP="007D46DA"/>
    <w:p w:rsidR="007D46DA" w:rsidRPr="005C2421" w:rsidRDefault="007D46DA" w:rsidP="007D46DA">
      <w:r w:rsidRPr="00E105B1">
        <w:t xml:space="preserve">Still, some things can be learned by looking at a few specific results. For example, Calderón </w:t>
      </w:r>
      <w:r w:rsidR="00F7383F" w:rsidRPr="00E105B1">
        <w:fldChar w:fldCharType="begin"/>
      </w:r>
      <w:r w:rsidRPr="00E105B1">
        <w:instrText xml:space="preserve"> ADDIN ZOTERO_ITEM {"citationID":"1f48ldg5ht","properties":{"formattedCitation":"(2008, 12)","plainCitation":"(2008, 12)"},"citationItems":[{"id":1179,"uris":["http://zotero.org/groups/4482/items/ZCSGT7PU"],"uri":["http://zotero.org/groups/4482/items/ZCSGT7PU"],"locator":"12","label":"page","suppress-author":true}]} </w:instrText>
      </w:r>
      <w:r w:rsidR="00F7383F" w:rsidRPr="00E105B1">
        <w:fldChar w:fldCharType="separate"/>
      </w:r>
      <w:r w:rsidRPr="00E105B1">
        <w:t>(2008, 12)</w:t>
      </w:r>
      <w:r w:rsidR="00F7383F" w:rsidRPr="00E105B1">
        <w:fldChar w:fldCharType="end"/>
      </w:r>
      <w:r w:rsidRPr="00E105B1">
        <w:t xml:space="preserve"> attributed over half of sub-Saharan Africa’s improved growth performance between the 1990s and the early 2000s to infrastructure improvements. The most significant contribution was from ICT. At the same time, declines in the quality of provision of electricity services prevented the sector from having an even more positive impact on growth. Figure 3.1 shows the effect of infrastructure development on economic growth more generally </w:t>
      </w:r>
      <w:r w:rsidR="00F7383F" w:rsidRPr="00E105B1">
        <w:fldChar w:fldCharType="begin"/>
      </w:r>
      <w:r w:rsidRPr="00E105B1">
        <w:instrText xml:space="preserve"> ADDIN ZOTERO_ITEM {"citationID":"e0UU0pSg","properties":{"formattedCitation":"{\\rtf (C\\uc0\\u233{}sar Calder\\uc0\\u243{}n and Serv\\uc0\\u233{}n 2010a, i40)}","plainCitation":"(César Calderón and Servén 2010a, i40)"},"citationItems":[{"id":621,"uris":["http://zotero.org/groups/4482/items/V86FCKMI"],"uri":["http://zotero.org/groups/4482/items/V86FCKMI"],"locator":"i40","label":"page"}]} </w:instrText>
      </w:r>
      <w:r w:rsidR="00F7383F" w:rsidRPr="00E105B1">
        <w:fldChar w:fldCharType="separate"/>
      </w:r>
      <w:r w:rsidRPr="00E105B1">
        <w:t>(César Calderón and Servén 2010a, i40)</w:t>
      </w:r>
      <w:r w:rsidR="00F7383F" w:rsidRPr="00E105B1">
        <w:fldChar w:fldCharType="end"/>
      </w:r>
      <w:r w:rsidRPr="00E105B1">
        <w:t xml:space="preserve">. This shows that most regions benefited from improvements in both infrastructure quantity and quality between the early 1990s and early 2000s. These results are in line with related work by Escribano, Guasch, and Pena </w:t>
      </w:r>
      <w:fldSimple w:instr=" ADDIN ZOTERO_ITEM {&quot;citationID&quot;:&quot;8qdtbklbl&quot;,&quot;properties&quot;:{&quot;formattedCitation&quot;:&quot;(2010)&quot;,&quot;plainCitation&quot;:&quot;(2010)&quot;},&quot;citationItems&quot;:[{&quot;id&quot;:1313,&quot;uris&quot;:[&quot;http://zotero.org/groups/4482/items/Q2SQ3TAA&quot;],&quot;uri&quot;:[&quot;http://zotero.org/groups/4482/items/Q2SQ3TAA&quot;],&quot;suppress-author&quot;:true}]} ">
        <w:r w:rsidRPr="00E105B1">
          <w:t>(2010)</w:t>
        </w:r>
      </w:fldSimple>
      <w:r w:rsidRPr="00E105B1">
        <w:t xml:space="preserve"> using firm level data. Using both survey and other data, they showed that poor infrastructure quality is not only perceived as a constraint on growth, but that this effect can also been seen in data on productivity.</w:t>
      </w:r>
    </w:p>
    <w:p w:rsidR="007D46DA" w:rsidRDefault="007D46DA" w:rsidP="007D46DA">
      <w:pPr>
        <w:pStyle w:val="BodyText"/>
        <w:spacing w:before="0" w:after="0"/>
        <w:jc w:val="left"/>
      </w:pPr>
    </w:p>
    <w:p w:rsidR="007D46DA" w:rsidRPr="005C2421" w:rsidRDefault="007D46DA" w:rsidP="007D46DA">
      <w:pPr>
        <w:pStyle w:val="BodyText"/>
        <w:spacing w:before="0" w:after="0"/>
        <w:jc w:val="left"/>
      </w:pPr>
      <w:r>
        <w:rPr>
          <w:noProof/>
        </w:rPr>
        <w:drawing>
          <wp:inline distT="0" distB="0" distL="0" distR="0">
            <wp:extent cx="5689600" cy="3789680"/>
            <wp:effectExtent l="25400" t="25400" r="0" b="0"/>
            <wp:docPr id="25" name="C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D46DA" w:rsidRPr="005C2421" w:rsidRDefault="007D46DA" w:rsidP="007D46DA">
      <w:pPr>
        <w:rPr>
          <w:b/>
        </w:rPr>
      </w:pPr>
      <w:r w:rsidRPr="00E105B1">
        <w:rPr>
          <w:b/>
        </w:rPr>
        <w:t>Figure 3.1 Changes in growth in GDP per capita due to infrastructure development from 1991-1995 to 2001-2005</w:t>
      </w:r>
    </w:p>
    <w:p w:rsidR="007D46DA" w:rsidRPr="005C2421" w:rsidRDefault="007D46DA" w:rsidP="007D46DA">
      <w:pPr>
        <w:rPr>
          <w:i/>
        </w:rPr>
      </w:pPr>
      <w:r w:rsidRPr="00E105B1">
        <w:rPr>
          <w:i/>
        </w:rPr>
        <w:t xml:space="preserve">Source: Calderón and Servén </w:t>
      </w:r>
      <w:r w:rsidR="00F7383F" w:rsidRPr="00E105B1">
        <w:rPr>
          <w:i/>
        </w:rPr>
        <w:fldChar w:fldCharType="begin"/>
      </w:r>
      <w:r w:rsidRPr="00E105B1">
        <w:rPr>
          <w:i/>
        </w:rPr>
        <w:instrText xml:space="preserve"> ADDIN ZOTERO_ITEM {"citationID":"CrTE54Rm","properties":{"formattedCitation":"(2010a, i40)","plainCitation":"(2010a, i40)"},"citationItems":[{"id":621,"uris":["http://zotero.org/groups/4482/items/V86FCKMI"],"uri":["http://zotero.org/groups/4482/items/V86FCKMI"],"locator":"i40","label":"page","suppress-author":true}]} </w:instrText>
      </w:r>
      <w:r w:rsidR="00F7383F" w:rsidRPr="00E105B1">
        <w:rPr>
          <w:i/>
        </w:rPr>
        <w:fldChar w:fldCharType="separate"/>
      </w:r>
      <w:r w:rsidRPr="00E105B1">
        <w:rPr>
          <w:i/>
        </w:rPr>
        <w:t>(2010a, i40)</w:t>
      </w:r>
      <w:r w:rsidR="00F7383F" w:rsidRPr="00E105B1">
        <w:rPr>
          <w:i/>
        </w:rPr>
        <w:fldChar w:fldCharType="end"/>
      </w:r>
    </w:p>
    <w:p w:rsidR="007D46DA" w:rsidRPr="005C2421" w:rsidRDefault="007D46DA" w:rsidP="007D46DA">
      <w:pPr>
        <w:pStyle w:val="BodyText"/>
        <w:spacing w:before="0" w:after="0"/>
        <w:jc w:val="left"/>
      </w:pPr>
    </w:p>
    <w:p w:rsidR="007D46DA" w:rsidRPr="005C2421" w:rsidRDefault="007D46DA" w:rsidP="007D46DA">
      <w:r w:rsidRPr="005C2421">
        <w:t>It is the potential negative consequences of poor and or inadequate infrastructure (infrastructure gaps), however, that seem to have attracted the most attention from policy makers. In the Seoul Summit Document</w:t>
      </w:r>
      <w:r w:rsidRPr="00E105B1">
        <w:t xml:space="preserve"> </w:t>
      </w:r>
      <w:r w:rsidR="00F7383F" w:rsidRPr="00E105B1">
        <w:fldChar w:fldCharType="begin"/>
      </w:r>
      <w:r w:rsidRPr="00E105B1">
        <w:instrText xml:space="preserve"> ADDIN ZOTERO_ITEM {"citationID":"1gbd15pce5","properties":{"formattedCitation":"(G20 2010, 3)","plainCitation":"(G20 2010, 3)"},"citationItems":[{"id":1374,"uris":["http://zotero.org/groups/4482/items/IT3NR2AK"],"uri":["http://zotero.org/groups/4482/items/IT3NR2AK"],"locator":"3","label":"page"}]} </w:instrText>
      </w:r>
      <w:r w:rsidR="00F7383F" w:rsidRPr="00E105B1">
        <w:fldChar w:fldCharType="separate"/>
      </w:r>
      <w:r w:rsidRPr="00E105B1">
        <w:t>(G20 2010, 3)</w:t>
      </w:r>
      <w:r w:rsidR="00F7383F" w:rsidRPr="00E105B1">
        <w:fldChar w:fldCharType="end"/>
      </w:r>
      <w:r w:rsidRPr="00E105B1">
        <w:t xml:space="preserve">, world leaders from eight major governments included infrastructure as one of nine key pillars where “action and reform are most critical to insure inclusive and sustainable economic growth and resilience in developing countries and [low-income countries].” The G20 report further noted that “Gaps in infrastructure, including with respect to energy, transport, communications, water and regional infrastructure, are significant bottlenecks to increasing and maintaining growth in many developing countries” </w:t>
      </w:r>
      <w:r w:rsidR="00F7383F" w:rsidRPr="00E105B1">
        <w:fldChar w:fldCharType="begin"/>
      </w:r>
      <w:r w:rsidRPr="00E105B1">
        <w:instrText xml:space="preserve"> ADDIN ZOTERO_ITEM {"citationID":"1q1ti2tb9p","properties":{"formattedCitation":"(G20 2010, 1)","plainCitation":"(G20 2010, 1)"},"citationItems":[{"id":1374,"uris":["http://zotero.org/groups/4482/items/IT3NR2AK"],"uri":["http://zotero.org/groups/4482/items/IT3NR2AK"],"locator":"1","label":"page"}]} </w:instrText>
      </w:r>
      <w:r w:rsidR="00F7383F" w:rsidRPr="00E105B1">
        <w:fldChar w:fldCharType="separate"/>
      </w:r>
      <w:r w:rsidRPr="00E105B1">
        <w:t>(G20 2010, 1)</w:t>
      </w:r>
      <w:r w:rsidR="00F7383F" w:rsidRPr="00E105B1">
        <w:fldChar w:fldCharType="end"/>
      </w:r>
      <w:r w:rsidRPr="00E105B1">
        <w:t>. Box 3.1 explores how this plays out in the agriculture and food sector as an example.</w:t>
      </w:r>
    </w:p>
    <w:p w:rsidR="007D46DA" w:rsidRPr="005C2421" w:rsidRDefault="007D46DA" w:rsidP="007D46DA"/>
    <w:p w:rsidR="007D46DA" w:rsidRPr="005C2421" w:rsidRDefault="007D46DA" w:rsidP="00A84F12">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E105B1">
        <w:rPr>
          <w:b/>
        </w:rPr>
        <w:t>Box 3.1 Infrastructure as a key factor in the agriculture and food sector</w:t>
      </w:r>
    </w:p>
    <w:p w:rsidR="007D46DA" w:rsidRPr="005C2421" w:rsidRDefault="007D46DA" w:rsidP="00A84F12">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E105B1">
        <w:t>Accessible, quality infrastructure is vital to feeding the world. From connecting farmers to markets and allowing easier transport of inputs like fertilizer, to irrigation systems providing water in otherwise dry lands, from refrigerated trucks preventing spoilage to super-efficient GPS- directed tractors, infrastructure in its various forms makes the modern agricultural systems of developed countries possible, and may hold the key to fighting hunger and rural poverty in developing countries.</w:t>
      </w:r>
    </w:p>
    <w:p w:rsidR="007D46DA" w:rsidRPr="005C2421" w:rsidRDefault="007D46DA" w:rsidP="00A84F12">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7D46DA" w:rsidRPr="005C2421" w:rsidRDefault="007D46DA" w:rsidP="00A84F12">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E105B1">
        <w:t xml:space="preserve">Infrastructure’s most important role in agriculture is to reduce the transaction costs caused by farm isolation. In general, the more isolated a farm is from the nearest market, the lower the farm’s agricultural productivity, as with greater distance comes higher transaction costs. Inputs and products require time and money to transport, and the farther the distance or the poorer the infrastructure, the higher the cost </w:t>
      </w:r>
      <w:fldSimple w:instr=" ADDIN ZOTERO_ITEM {&quot;citationID&quot;:&quot;0stSbKTA&quot;,&quot;properties&quot;:{&quot;formattedCitation&quot;:&quot;(Stifel and Minten 2008)&quot;,&quot;plainCitation&quot;:&quot;(Stifel and Minten 2008)&quot;},&quot;citationItems&quot;:[{&quot;id&quot;:848,&quot;uris&quot;:[&quot;http://zotero.org/groups/4482/items/3B597FFM&quot;],&quot;uri&quot;:[&quot;http://zotero.org/groups/4482/items/3B597FFM&quot;]}]} ">
        <w:r w:rsidRPr="00E105B1">
          <w:rPr>
            <w:noProof/>
          </w:rPr>
          <w:t>(Stifel and Minten 2008)</w:t>
        </w:r>
      </w:fldSimple>
      <w:r w:rsidRPr="00E105B1">
        <w:t xml:space="preserve">. Transport costs in Africa, for example, are often five times higher than in Asia, due to the region’s poor road networks </w:t>
      </w:r>
      <w:r w:rsidR="00F7383F" w:rsidRPr="00E105B1">
        <w:fldChar w:fldCharType="begin"/>
      </w:r>
      <w:r w:rsidRPr="00E105B1">
        <w:instrText xml:space="preserve"> ADDIN ZOTERO_ITEM {"citationID":"otzy2Lzi","properties":{"formattedCitation":"(Hodges, Buzby, and Bennett 2010)","plainCitation":"(Hodges, Buzby, and Bennett 2010)"},"citationItems":[{"id":1344,"uris":["http://zotero.org/groups/4482/items/UD9BC8WC"],"uri":["http://zotero.org/groups/4482/items/UD9BC8WC"]}]} </w:instrText>
      </w:r>
      <w:r w:rsidR="00F7383F" w:rsidRPr="00E105B1">
        <w:fldChar w:fldCharType="separate"/>
      </w:r>
      <w:r w:rsidRPr="00E105B1">
        <w:t>(Hodges, Buzby, and Bennett 2010)</w:t>
      </w:r>
      <w:r w:rsidR="00F7383F" w:rsidRPr="00E105B1">
        <w:fldChar w:fldCharType="end"/>
      </w:r>
      <w:r w:rsidRPr="00E105B1">
        <w:t xml:space="preserve">. Costlier inputs force isolated farmers to use fewer of those inputs, limiting yields. In Madagascar, maize and cassava yields in the most isolated of farms were 50 percent lower and rice yields 30 percent lower than the least isolated of farms (based on geographic distance and road density) </w:t>
      </w:r>
      <w:fldSimple w:instr=" ADDIN ZOTERO_ITEM {&quot;citationID&quot;:&quot;6wvFIVBN&quot;,&quot;properties&quot;:{&quot;formattedCitation&quot;:&quot;(Stifel and Minten 2008)&quot;,&quot;plainCitation&quot;:&quot;(Stifel and Minten 2008)&quot;},&quot;citationItems&quot;:[{&quot;id&quot;:848,&quot;uris&quot;:[&quot;http://zotero.org/groups/4482/items/3B597FFM&quot;],&quot;uri&quot;:[&quot;http://zotero.org/groups/4482/items/3B597FFM&quot;]}]} ">
        <w:r w:rsidRPr="00E105B1">
          <w:t>(Stifel and Minten 2008)</w:t>
        </w:r>
      </w:fldSimple>
      <w:r w:rsidRPr="00E105B1">
        <w:t xml:space="preserve">. According to IFPRI, farms with better access to roads paid 14 percent less for fertilizer, saw 32 percent higher crop output and were able to pay 12 percent greater wages than those with little to no access to road infrastructure </w:t>
      </w:r>
      <w:fldSimple w:instr=" ADDIN ZOTERO_ITEM {&quot;citationID&quot;:&quot;ctKWcIbx&quot;,&quot;properties&quot;:{&quot;formattedCitation&quot;:&quot;(Spencer 1996)&quot;,&quot;plainCitation&quot;:&quot;(Spencer 1996)&quot;},&quot;citationItems&quot;:[{&quot;id&quot;:860,&quot;uris&quot;:[&quot;http://zotero.org/groups/4482/items/9WHX4UTQ&quot;],&quot;uri&quot;:[&quot;http://zotero.org/groups/4482/items/9WHX4UTQ&quot;]}]} ">
        <w:r w:rsidRPr="00E105B1">
          <w:t>(Spencer 1996)</w:t>
        </w:r>
      </w:fldSimple>
      <w:r w:rsidRPr="00E105B1">
        <w:t>.</w:t>
      </w:r>
    </w:p>
    <w:p w:rsidR="007D46DA" w:rsidRPr="005C2421" w:rsidRDefault="007D46DA" w:rsidP="00A84F12">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7D46DA" w:rsidRPr="005C2421" w:rsidRDefault="007D46DA" w:rsidP="00A84F12">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E105B1">
        <w:t xml:space="preserve">However, for many crops, simply being able to physically move them from one place to another isn’t enough. The lack of electrical infrastructure in many developing countries has made crop spoilage the primary culprit behind post-harvest crop losses. Estimates of total post-harvest loss, or food waste, range from ten to fifty percent of harvested crops, with a significant part of this loss due to poor infrastructure </w:t>
      </w:r>
      <w:r w:rsidR="00F7383F" w:rsidRPr="00E105B1">
        <w:fldChar w:fldCharType="begin"/>
      </w:r>
      <w:r w:rsidRPr="00E105B1">
        <w:instrText xml:space="preserve"> ADDIN ZOTERO_ITEM {"citationID":"dyKFHaD2","properties":{"formattedCitation":"(Gustavsson et al. 2011; Hodges, Buzby, and Bennett 2010; Parfitt, Barthel, and Macnaughton 2010)","plainCitation":"(Gustavsson et al. 2011; Hodges, Buzby, and Bennett 2010; Parfitt, Barthel, and Macnaughton 2010)"},"citationItems":[{"id":1530,"uris":["http://zotero.org/groups/4482/items/KPKM7B3M"],"uri":["http://zotero.org/groups/4482/items/KPKM7B3M"],"label":"page"},{"id":1344,"uris":["http://zotero.org/groups/4482/items/UD9BC8WC"],"uri":["http://zotero.org/groups/4482/items/UD9BC8WC"],"label":"page"},{"id":1343,"uris":["http://zotero.org/groups/4482/items/TTPITGQB"],"uri":["http://zotero.org/groups/4482/items/TTPITGQB"],"label":"page"}]} </w:instrText>
      </w:r>
      <w:r w:rsidR="00F7383F" w:rsidRPr="00E105B1">
        <w:fldChar w:fldCharType="separate"/>
      </w:r>
      <w:r w:rsidRPr="00E105B1">
        <w:t>(Gustavsson et al. 2011; Hodges, Buzby, and Bennett 2010; Parfitt, Barthel, and Macnaughton 2010)</w:t>
      </w:r>
      <w:r w:rsidR="00F7383F" w:rsidRPr="00E105B1">
        <w:fldChar w:fldCharType="end"/>
      </w:r>
      <w:r w:rsidRPr="00E105B1">
        <w:t>.</w:t>
      </w:r>
    </w:p>
    <w:p w:rsidR="007D46DA" w:rsidRPr="005C2421" w:rsidRDefault="007D46DA" w:rsidP="00A84F12">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7D46DA" w:rsidRPr="005C2421" w:rsidRDefault="007D46DA" w:rsidP="00A84F12">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E105B1">
        <w:t xml:space="preserve">Fan, Hazell, and Thorat </w:t>
      </w:r>
      <w:fldSimple w:instr=" ADDIN ZOTERO_ITEM {&quot;citationID&quot;:&quot;nifJudtO&quot;,&quot;properties&quot;:{&quot;formattedCitation&quot;:&quot;(2000)&quot;,&quot;plainCitation&quot;:&quot;(2000)&quot;},&quot;citationItems&quot;:[{&quot;id&quot;:855,&quot;uris&quot;:[&quot;http://zotero.org/groups/4482/items/US8VMWF8&quot;],&quot;uri&quot;:[&quot;http://zotero.org/groups/4482/items/US8VMWF8&quot;],&quot;suppress-author&quot;:true}]} ">
        <w:r w:rsidRPr="00E105B1">
          <w:t>(2000)</w:t>
        </w:r>
      </w:fldSimple>
      <w:r w:rsidRPr="00E105B1">
        <w:t xml:space="preserve"> found that while investment in improved roads and other hard infrastructure like irrigation systems have the biggest impacts on agricultural productivity, the provision of agricultural extension also has a significant impact. The effectiveness of agricultural extension highlights the growing importance of ICT infrastructure in agriculture. The spread of mobile communications throughout the developing world is enabling governments to provide more agricultural extension services to once isolated famers, allowing farmers to better communicate with each other and the markets, and providing real-time information on food prices.</w:t>
      </w:r>
    </w:p>
    <w:p w:rsidR="007D46DA" w:rsidRPr="005C2421" w:rsidRDefault="007D46DA" w:rsidP="007D46DA">
      <w:pPr>
        <w:pStyle w:val="BodyText"/>
        <w:spacing w:before="0" w:after="0"/>
        <w:jc w:val="left"/>
      </w:pPr>
    </w:p>
    <w:p w:rsidR="00A84F12" w:rsidRDefault="007D46DA" w:rsidP="00877E30">
      <w:pPr>
        <w:pStyle w:val="Heading3"/>
        <w:numPr>
          <w:ilvl w:val="2"/>
          <w:numId w:val="31"/>
        </w:numPr>
      </w:pPr>
      <w:bookmarkStart w:id="68" w:name="_Toc199583377"/>
      <w:bookmarkStart w:id="69" w:name="_Toc200095279"/>
      <w:r w:rsidRPr="005C2421">
        <w:t xml:space="preserve">Infrastructure and </w:t>
      </w:r>
      <w:r>
        <w:t>i</w:t>
      </w:r>
      <w:r w:rsidRPr="005C2421">
        <w:t xml:space="preserve">ncome </w:t>
      </w:r>
      <w:r>
        <w:t>d</w:t>
      </w:r>
      <w:r w:rsidRPr="005C2421">
        <w:t>istribution</w:t>
      </w:r>
      <w:bookmarkEnd w:id="68"/>
      <w:bookmarkEnd w:id="69"/>
    </w:p>
    <w:p w:rsidR="007D46DA" w:rsidRPr="005C2421" w:rsidRDefault="007D46DA" w:rsidP="007D46DA">
      <w:r w:rsidRPr="005C2421">
        <w:t xml:space="preserve">Economic growth is generally considered a necessary condition for poverty reduction. However, as we noted in the first volume of this series, </w:t>
      </w:r>
      <w:r w:rsidRPr="005C2421">
        <w:rPr>
          <w:i/>
        </w:rPr>
        <w:t>Reducing Global Poverty</w:t>
      </w:r>
      <w:r w:rsidRPr="005C2421">
        <w:t xml:space="preserve"> </w:t>
      </w:r>
      <w:r w:rsidR="00F7383F" w:rsidRPr="00E105B1">
        <w:fldChar w:fldCharType="begin"/>
      </w:r>
      <w:r w:rsidRPr="00E105B1">
        <w:instrText xml:space="preserve"> ADDIN ZOTERO_ITEM {"citationID":"5R9VX5AC","properties":{"formattedCitation":"(Barry B. Hughes et al. 2009)","plainCitation":"(Barry B. Hughes et al. 2009)"},"citationItems":[{"id":612,"uris":["http://zotero.org/groups/4482/items/UH9CPN5F"],"uri":["http://zotero.org/groups/4482/items/UH9CPN5F"]}]} </w:instrText>
      </w:r>
      <w:r w:rsidR="00F7383F" w:rsidRPr="00E105B1">
        <w:fldChar w:fldCharType="separate"/>
      </w:r>
      <w:r w:rsidRPr="00E105B1">
        <w:t>(Barry B. Hughes et al. 2009)</w:t>
      </w:r>
      <w:r w:rsidR="00F7383F" w:rsidRPr="00E105B1">
        <w:fldChar w:fldCharType="end"/>
      </w:r>
      <w:r w:rsidRPr="00E105B1">
        <w:t>, poverty is a function not only of total economic activity, but also of the distribution of income resulting from this activity. Thus, in addition to its effect on overall economic growth, we need to consider the effect of infrastructure on income inequality.</w:t>
      </w:r>
    </w:p>
    <w:p w:rsidR="007D46DA" w:rsidRPr="005C2421" w:rsidRDefault="007D46DA" w:rsidP="007D46DA"/>
    <w:p w:rsidR="007D46DA" w:rsidRPr="005C2421" w:rsidRDefault="007D46DA" w:rsidP="007D46DA">
      <w:r w:rsidRPr="00E105B1">
        <w:t xml:space="preserve">Calderón and Servén </w:t>
      </w:r>
      <w:r w:rsidR="00F7383F" w:rsidRPr="00E105B1">
        <w:fldChar w:fldCharType="begin"/>
      </w:r>
      <w:r w:rsidRPr="00E105B1">
        <w:instrText xml:space="preserve"> ADDIN ZOTERO_ITEM {"citationID":"c1cqkdrcs","properties":{"formattedCitation":"(2004; 2010a)","plainCitation":"(2004; 2010a)"},"citationItems":[{"id":560,"uris":["http://zotero.org/groups/4482/items/SBJ8XUU6"],"uri":["http://zotero.org/groups/4482/items/SBJ8XUU6"],"label":"page","suppress-author":true},{"id":621,"uris":["http://zotero.org/groups/4482/items/V86FCKMI"],"uri":["http://zotero.org/groups/4482/items/V86FCKMI"],"label":"page","suppress-author":true}]} </w:instrText>
      </w:r>
      <w:r w:rsidR="00F7383F" w:rsidRPr="00E105B1">
        <w:fldChar w:fldCharType="separate"/>
      </w:r>
      <w:r w:rsidRPr="00E105B1">
        <w:t>(2004; 2010a)</w:t>
      </w:r>
      <w:r w:rsidR="00F7383F" w:rsidRPr="00E105B1">
        <w:fldChar w:fldCharType="end"/>
      </w:r>
      <w:r w:rsidRPr="00E105B1">
        <w:t xml:space="preserve"> reviewed studies exploring the connections between infrastructure and income distribution, pointing in particular to initial work by Brenneman and Kerf </w:t>
      </w:r>
      <w:fldSimple w:instr=" ADDIN ZOTERO_ITEM {&quot;citationID&quot;:&quot;1htpha1dlf&quot;,&quot;properties&quot;:{&quot;formattedCitation&quot;:&quot;(2002)&quot;,&quot;plainCitation&quot;:&quot;(2002)&quot;},&quot;citationItems&quot;:[{&quot;id&quot;:681,&quot;uris&quot;:[&quot;http://zotero.org/groups/4482/items/Z452ART4&quot;],&quot;uri&quot;:[&quot;http://zotero.org/groups/4482/items/Z452ART4&quot;],&quot;suppress-author&quot;:true}]} ">
        <w:r w:rsidRPr="00E105B1">
          <w:t>(2002)</w:t>
        </w:r>
      </w:fldSimple>
      <w:r w:rsidRPr="00E105B1">
        <w:t xml:space="preserve">, Estache, Foster and Wodon </w:t>
      </w:r>
      <w:fldSimple w:instr=" ADDIN ZOTERO_ITEM {&quot;citationID&quot;:&quot;nSET4JIS&quot;,&quot;properties&quot;:{&quot;formattedCitation&quot;:&quot;(2002)&quot;,&quot;plainCitation&quot;:&quot;(2002)&quot;},&quot;citationItems&quot;:[{&quot;id&quot;:203,&quot;uris&quot;:[&quot;http://zotero.org/groups/4482/items/2BXMAMKW&quot;],&quot;uri&quot;:[&quot;http://zotero.org/groups/4482/items/2BXMAMKW&quot;],&quot;suppress-author&quot;:true}]} ">
        <w:r w:rsidRPr="00E105B1">
          <w:t>(2002)</w:t>
        </w:r>
      </w:fldSimple>
      <w:r w:rsidRPr="00E105B1">
        <w:t xml:space="preserve">, and López </w:t>
      </w:r>
      <w:fldSimple w:instr=" ADDIN ZOTERO_ITEM {&quot;citationID&quot;:&quot;D9Bo07Uf&quot;,&quot;properties&quot;:{&quot;formattedCitation&quot;:&quot;(2003)&quot;,&quot;plainCitation&quot;:&quot;(2003)&quot;},&quot;citationItems&quot;:[{&quot;id&quot;:411,&quot;uris&quot;:[&quot;http://zotero.org/groups/4482/items/FSD3BTXU&quot;],&quot;uri&quot;:[&quot;http://zotero.org/groups/4482/items/FSD3BTXU&quot;],&quot;suppress-author&quot;:true}]} ">
        <w:r w:rsidRPr="00E105B1">
          <w:t>(2003)</w:t>
        </w:r>
      </w:fldSimple>
      <w:r w:rsidRPr="00E105B1">
        <w:t>. These studies identified several pathways by which infrastructure development can be expected to disproportionately benefit the poor (thereby reducing income inequality), but they did not provide quantitative estimates of the size of these effects. Among the critical pathways are the following:</w:t>
      </w:r>
    </w:p>
    <w:p w:rsidR="007D46DA" w:rsidRPr="005C2421" w:rsidRDefault="007D46DA" w:rsidP="007D46DA"/>
    <w:p w:rsidR="007D46DA" w:rsidRPr="005C2421" w:rsidRDefault="007D46DA" w:rsidP="007D46DA">
      <w:pPr>
        <w:pStyle w:val="ListParagraph"/>
        <w:numPr>
          <w:ilvl w:val="0"/>
          <w:numId w:val="19"/>
        </w:numPr>
        <w:spacing w:after="200"/>
        <w:ind w:right="1440"/>
      </w:pPr>
      <w:r w:rsidRPr="00E105B1">
        <w:t>In the short-term, improved roads and other infrastructure improvements reduce the cost of bringing products to markets and, more generally, help to integrate underdeveloped areas into national and international economic networks.</w:t>
      </w:r>
    </w:p>
    <w:p w:rsidR="007D46DA" w:rsidRPr="005C2421" w:rsidRDefault="007D46DA" w:rsidP="007D46DA">
      <w:r w:rsidRPr="00E105B1">
        <w:t xml:space="preserve"> </w:t>
      </w:r>
    </w:p>
    <w:p w:rsidR="007D46DA" w:rsidRPr="005C2421" w:rsidRDefault="007D46DA" w:rsidP="007D46DA">
      <w:pPr>
        <w:pStyle w:val="ListParagraph"/>
        <w:numPr>
          <w:ilvl w:val="0"/>
          <w:numId w:val="18"/>
        </w:numPr>
        <w:spacing w:after="200"/>
        <w:ind w:right="1440"/>
      </w:pPr>
      <w:r w:rsidRPr="00E105B1">
        <w:t xml:space="preserve">In the longer-term, by improving levels of education (e.g., access to electricity allowing more time to study) and health (e.g., access to clean drinking water and sanitation significantly reducing child morbidity and mortality), improved infrastructure enhances the future earning potential of the poor (we address health and education in the following sections). </w:t>
      </w:r>
    </w:p>
    <w:p w:rsidR="007D46DA" w:rsidRPr="005C2421" w:rsidRDefault="007D46DA" w:rsidP="007D46DA">
      <w:pPr>
        <w:pStyle w:val="ListParagraph"/>
        <w:ind w:left="0"/>
      </w:pPr>
    </w:p>
    <w:p w:rsidR="007D46DA" w:rsidRPr="005C2421" w:rsidRDefault="007D46DA" w:rsidP="007D46DA">
      <w:r w:rsidRPr="005C2421">
        <w:t>Underlying these connections is the recognition that it is the poor who have the least access to existing infrastructure</w:t>
      </w:r>
      <w:r w:rsidRPr="00E105B1">
        <w:t xml:space="preserve">; and too often, even when present, that infrastructure is of lower quality </w:t>
      </w:r>
      <w:r w:rsidR="00F7383F" w:rsidRPr="00E105B1">
        <w:fldChar w:fldCharType="begin"/>
      </w:r>
      <w:r w:rsidRPr="00E105B1">
        <w:instrText xml:space="preserve"> ADDIN ZOTERO_ITEM {"citationID":"50thdt01o","properties":{"formattedCitation":"{\\rtf (Banerjee et al. 2008; Brice\\uc0\\u241{}o-Garmendia, Estache, and Shafik 2004; Foster and Brice\\uc0\\u241{}o-Garmendia 2010; Banerjee et al. 2009)}","plainCitation":"(Banerjee et al. 2008; Briceño-Garmendia, Estache, and Shafik 2004; Foster and Briceño-Garmendia 2010; Banerjee et al. 2009)"},"citationItems":[{"id":1249,"uris":["http://zotero.org/groups/4482/items/R8J8K2KT"],"uri":["http://zotero.org/groups/4482/items/R8J8K2KT"],"label":"page"},{"id":630,"uris":["http://zotero.org/groups/4482/items/VI9I44TW"],"uri":["http://zotero.org/groups/4482/items/VI9I44TW"],"label":"page"},{"id":301,"uris":["http://zotero.org/groups/4482/items/8R277WSI"],"uri":["http://zotero.org/groups/4482/items/8R277WSI"],"label":"page"},{"id":1293,"uris":["http://zotero.org/groups/4482/items/996IT9NT"],"uri":["http://zotero.org/groups/4482/items/996IT9NT"],"label":"page"}]} </w:instrText>
      </w:r>
      <w:r w:rsidR="00F7383F" w:rsidRPr="00E105B1">
        <w:fldChar w:fldCharType="separate"/>
      </w:r>
      <w:r w:rsidRPr="00E105B1">
        <w:t>(Banerjee et al. 2008; Briceño-Garmendia, Estache, and Shafik 2004; Foster and Briceño-Garmendia 2010; Banerjee et al. 2009)</w:t>
      </w:r>
      <w:r w:rsidR="00F7383F" w:rsidRPr="00E105B1">
        <w:fldChar w:fldCharType="end"/>
      </w:r>
      <w:r w:rsidRPr="00E105B1">
        <w:t>. Thus, infrastructure’s role in reducing income inequality depends upon all three aspects of infrastructure development—quantity, quality, and, perhaps most importantly, access.</w:t>
      </w:r>
    </w:p>
    <w:p w:rsidR="007D46DA" w:rsidRPr="005C2421" w:rsidRDefault="007D46DA" w:rsidP="007D46DA">
      <w:pPr>
        <w:pStyle w:val="ListParagraph"/>
        <w:ind w:left="0"/>
      </w:pPr>
    </w:p>
    <w:p w:rsidR="007D46DA" w:rsidRPr="005C2421" w:rsidRDefault="007D46DA" w:rsidP="007D46DA">
      <w:r w:rsidRPr="005C2421">
        <w:t xml:space="preserve">There are a small number of empirical studies that do analyze the infrastructure-income distribution connection </w:t>
      </w:r>
      <w:r w:rsidR="00F7383F" w:rsidRPr="00E105B1">
        <w:fldChar w:fldCharType="begin"/>
      </w:r>
      <w:r w:rsidRPr="00E105B1">
        <w:instrText xml:space="preserve"> ADDIN ZOTERO_ITEM {"citationID":"Zrx7EUVq","properties":{"formattedCitation":"{\\rtf (Cesar Calder\\uc0\\u243{}n and Chong 2004; C\\uc0\\u233{}sar Calder\\uc0\\u243{}n and Serv\\uc0\\u233{}n 2004; C\\uc0\\u233{}sar Calder\\uc0\\u243{}n and Serv\\uc0\\u233{}n 2010a; L\\uc0\\u243{}pez 2003; L\\uc0\\u243{}pez 2004)}","plainCitation":"(Cesar Calderón and Chong 2004; César Calderón and Servén 2004; César Calderón and Servén 2010a; López 2003; López 2004)"},"citationItems":[{"id":356,"uris":["http://zotero.org/groups/4482/items/CCR8MUTF"],"uri":["http://zotero.org/groups/4482/items/CCR8MUTF"]},{"id":560,"uris":["http://zotero.org/groups/4482/items/SBJ8XUU6"],"uri":["http://zotero.org/groups/4482/items/SBJ8XUU6"]},{"id":621,"uris":["http://zotero.org/groups/4482/items/V86FCKMI"],"uri":["http://zotero.org/groups/4482/items/V86FCKMI"]},{"id":411,"uris":["http://zotero.org/groups/4482/items/FSD3BTXU"],"uri":["http://zotero.org/groups/4482/items/FSD3BTXU"]},{"id":258,"uris":["http://zotero.org/groups/4482/items/6GKMNDJH"],"uri":["http://zotero.org/groups/4482/items/6GKMNDJH"]}]} </w:instrText>
      </w:r>
      <w:r w:rsidR="00F7383F" w:rsidRPr="00E105B1">
        <w:fldChar w:fldCharType="separate"/>
      </w:r>
      <w:r w:rsidRPr="00E105B1">
        <w:t>(Cesar Calderón and Chong 2004; César Calderón and Servén 2004; César Calderón and Servén 2010a; López 2003; López 2004)</w:t>
      </w:r>
      <w:r w:rsidR="00F7383F" w:rsidRPr="00E105B1">
        <w:fldChar w:fldCharType="end"/>
      </w:r>
      <w:r w:rsidRPr="00E105B1">
        <w:t>.</w:t>
      </w:r>
      <w:r>
        <w:rPr>
          <w:rStyle w:val="FootnoteReference"/>
        </w:rPr>
        <w:footnoteReference w:id="37"/>
      </w:r>
      <w:r w:rsidRPr="00E105B1">
        <w:t xml:space="preserve"> As with the studies of infrastructure and overall economic growth, some of the more recent of these (Calderón and Servén 2004; 2010), also considered non-infrastructure drivers of income inequality, including changes in average income, and addressed issues of measurement, reverse causality, and heterogeneity in their analyses. Unlike the somewhat mixed results linking infrastructure to overall economic growth discussed above, there was strong agreement in all of these studies that improvements in both the quantity and the quality of infrastructure lead to reductions in income inequality, but only so long as those improvements allowed for increased access by the poor. More specifically, Calderón and Servén </w:t>
      </w:r>
      <w:fldSimple w:instr=" ADDIN ZOTERO_ITEM {&quot;citationID&quot;:&quot;DgTmUSUG&quot;,&quot;properties&quot;:{&quot;formattedCitation&quot;:&quot;(2010a)&quot;,&quot;plainCitation&quot;:&quot;(2010a)&quot;},&quot;citationItems&quot;:[{&quot;id&quot;:621,&quot;uris&quot;:[&quot;http://zotero.org/groups/4482/items/V86FCKMI&quot;],&quot;uri&quot;:[&quot;http://zotero.org/groups/4482/items/V86FCKMI&quot;],&quot;suppress-author&quot;:true}]} ">
        <w:r w:rsidRPr="00E105B1">
          <w:t>(2010a)</w:t>
        </w:r>
      </w:fldSimple>
      <w:r w:rsidRPr="00E105B1">
        <w:t xml:space="preserve"> estimated that in the period from 1990 to 2005, growth in infrastructure stocks led to reductions of income inequality ranging from just under two to nearly four points across all global regions, as measured by the Gini coefficient (see Figure 3.2.</w:t>
      </w:r>
      <w:r>
        <w:rPr>
          <w:rStyle w:val="FootnoteReference"/>
        </w:rPr>
        <w:footnoteReference w:id="38"/>
      </w:r>
      <w:r w:rsidRPr="00E105B1">
        <w:t xml:space="preserve"> Most regions, with the key exception of sub-Saharan Africa, also saw an improvement in infrastructure quality, further reducing inequality by one-half to two points. Unfortunately, over the period studied, sub-Saharan Africa saw an overall decline in the quality of its infrastructure, which lessened the reduction in inequality in the region.</w:t>
      </w:r>
    </w:p>
    <w:p w:rsidR="007D46DA" w:rsidRPr="005C2421" w:rsidRDefault="007D46DA" w:rsidP="007D46DA"/>
    <w:p w:rsidR="007D46DA" w:rsidRDefault="007D46DA" w:rsidP="007D46DA">
      <w:pPr>
        <w:rPr>
          <w:b/>
        </w:rPr>
      </w:pPr>
      <w:r>
        <w:rPr>
          <w:b/>
          <w:noProof/>
        </w:rPr>
        <w:drawing>
          <wp:inline distT="0" distB="0" distL="0" distR="0">
            <wp:extent cx="5847080" cy="3632200"/>
            <wp:effectExtent l="25400" t="25400" r="20320" b="0"/>
            <wp:docPr id="28" name="C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7D46DA" w:rsidRPr="005C2421" w:rsidRDefault="007D46DA" w:rsidP="007D46DA">
      <w:pPr>
        <w:rPr>
          <w:b/>
        </w:rPr>
      </w:pPr>
      <w:r w:rsidRPr="00E105B1">
        <w:rPr>
          <w:b/>
        </w:rPr>
        <w:t>Figure 3.2 Changes in inequality due to infrastructure development from 1991-1995 to 2001-2005</w:t>
      </w:r>
    </w:p>
    <w:p w:rsidR="007D46DA" w:rsidRPr="005C2421" w:rsidRDefault="007D46DA" w:rsidP="007D46DA">
      <w:pPr>
        <w:rPr>
          <w:i/>
        </w:rPr>
      </w:pPr>
      <w:r w:rsidRPr="00E105B1">
        <w:rPr>
          <w:i/>
        </w:rPr>
        <w:t>Note: Uses 100-point Gini index.</w:t>
      </w:r>
    </w:p>
    <w:p w:rsidR="007D46DA" w:rsidRPr="005C2421" w:rsidRDefault="007D46DA" w:rsidP="007D46DA">
      <w:pPr>
        <w:rPr>
          <w:i/>
        </w:rPr>
      </w:pPr>
      <w:r w:rsidRPr="00E105B1">
        <w:rPr>
          <w:i/>
        </w:rPr>
        <w:t xml:space="preserve">Source: Modified from Calderón and Servén </w:t>
      </w:r>
      <w:r w:rsidR="00F7383F" w:rsidRPr="00E105B1">
        <w:rPr>
          <w:i/>
        </w:rPr>
        <w:fldChar w:fldCharType="begin"/>
      </w:r>
      <w:r w:rsidRPr="00E105B1">
        <w:rPr>
          <w:i/>
        </w:rPr>
        <w:instrText xml:space="preserve"> ADDIN ZOTERO_ITEM {"citationID":"1bnl6bq6ao","properties":{"formattedCitation":"(2010a, i46)","plainCitation":"(2010a, i46)"},"citationItems":[{"id":621,"uris":["http://zotero.org/groups/4482/items/V86FCKMI"],"uri":["http://zotero.org/groups/4482/items/V86FCKMI"],"locator":"i46","label":"page","suppress-author":true}]} </w:instrText>
      </w:r>
      <w:r w:rsidR="00F7383F" w:rsidRPr="00E105B1">
        <w:rPr>
          <w:i/>
        </w:rPr>
        <w:fldChar w:fldCharType="separate"/>
      </w:r>
      <w:r w:rsidRPr="00E105B1">
        <w:rPr>
          <w:i/>
        </w:rPr>
        <w:t>(2010a, i46)</w:t>
      </w:r>
      <w:r w:rsidR="00F7383F" w:rsidRPr="00E105B1">
        <w:rPr>
          <w:i/>
        </w:rPr>
        <w:fldChar w:fldCharType="end"/>
      </w:r>
    </w:p>
    <w:p w:rsidR="007D46DA" w:rsidRPr="005C2421" w:rsidRDefault="007D46DA" w:rsidP="007D46DA"/>
    <w:p w:rsidR="007D46DA" w:rsidRPr="005C2421" w:rsidRDefault="007D46DA" w:rsidP="007D46DA"/>
    <w:p w:rsidR="007D46DA" w:rsidRPr="005C2421" w:rsidRDefault="007D46DA" w:rsidP="00A84F12">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5C2421">
        <w:rPr>
          <w:b/>
        </w:rPr>
        <w:t>Box 3.2 r</w:t>
      </w:r>
      <w:r w:rsidRPr="00E105B1">
        <w:rPr>
          <w:b/>
        </w:rPr>
        <w:t xml:space="preserve">ural electrification and inequality </w:t>
      </w:r>
    </w:p>
    <w:p w:rsidR="007D46DA" w:rsidRPr="005C2421" w:rsidRDefault="007D46DA" w:rsidP="00A84F12">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E105B1">
        <w:t xml:space="preserve">In Bangladesh, an effort to electrify rural areas brought a number of benefits to the impacted areas. Newly electrified households showed a 22 percent increase in income, along with increased off-farm employment opportunities, as now electrified businesses expanded their operating hours from 9 to 14 hours and hired more workers </w:t>
      </w:r>
      <w:r w:rsidR="00F7383F" w:rsidRPr="00E105B1">
        <w:fldChar w:fldCharType="begin"/>
      </w:r>
      <w:r w:rsidRPr="00E105B1">
        <w:instrText xml:space="preserve"> ADDIN ZOTERO_ITEM {"citationID":"emSpEpG3","properties":{"formattedCitation":"(Songco 2002, 4)","plainCitation":"(Songco 2002, 4)"},"citationItems":[{"id":1567,"uris":["http://zotero.org/groups/4482/items/T6A7EK6I"],"uri":["http://zotero.org/groups/4482/items/T6A7EK6I"],"locator":"4","label":"page"}]} </w:instrText>
      </w:r>
      <w:r w:rsidR="00F7383F" w:rsidRPr="00E105B1">
        <w:fldChar w:fldCharType="separate"/>
      </w:r>
      <w:r w:rsidRPr="00E105B1">
        <w:rPr>
          <w:noProof/>
        </w:rPr>
        <w:t>(Songco 2002, 4)</w:t>
      </w:r>
      <w:r w:rsidR="00F7383F" w:rsidRPr="00E105B1">
        <w:fldChar w:fldCharType="end"/>
      </w:r>
      <w:r w:rsidRPr="00E105B1">
        <w:t xml:space="preserve">. In India, rural electrification led to the replacement of diesel pumps for well-based irrigation with electric ones. The new pumps brought increased efficiency and lower fuel costs, both of which allowed farmers to raise yields and incomes. Project impact assessments in both countries suggest that the electrification of agriculture was especially significant in reducing the incidence of absolute poverty as access to electricity spurred farmers to move towards more modern forms of agricultural production </w:t>
      </w:r>
      <w:r w:rsidR="00F7383F" w:rsidRPr="00E105B1">
        <w:fldChar w:fldCharType="begin"/>
      </w:r>
      <w:r w:rsidRPr="00E105B1">
        <w:instrText xml:space="preserve"> ADDIN ZOTERO_ITEM {"citationID":"TwmISdA5","properties":{"formattedCitation":"(Songco 2002, 4)","plainCitation":"(Songco 2002, 4)"},"citationItems":[{"id":1567,"uris":["http://zotero.org/groups/4482/items/T6A7EK6I"],"uri":["http://zotero.org/groups/4482/items/T6A7EK6I"],"locator":"4","label":"page"}]} </w:instrText>
      </w:r>
      <w:r w:rsidR="00F7383F" w:rsidRPr="00E105B1">
        <w:fldChar w:fldCharType="separate"/>
      </w:r>
      <w:r w:rsidRPr="00E105B1">
        <w:rPr>
          <w:noProof/>
        </w:rPr>
        <w:t>(Songco 2002, 5)</w:t>
      </w:r>
      <w:r w:rsidR="00F7383F" w:rsidRPr="00E105B1">
        <w:fldChar w:fldCharType="end"/>
      </w:r>
      <w:r w:rsidRPr="00E105B1">
        <w:t xml:space="preserve">. </w:t>
      </w:r>
    </w:p>
    <w:p w:rsidR="007D46DA" w:rsidRPr="005C2421" w:rsidRDefault="007D46DA" w:rsidP="00A84F12">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p>
    <w:p w:rsidR="007D46DA" w:rsidRPr="005C2421" w:rsidRDefault="007D46DA" w:rsidP="007D46DA"/>
    <w:p w:rsidR="007D46DA" w:rsidRPr="005C2421" w:rsidRDefault="007D46DA" w:rsidP="00877E30">
      <w:pPr>
        <w:pStyle w:val="Heading3"/>
        <w:numPr>
          <w:ilvl w:val="2"/>
          <w:numId w:val="31"/>
        </w:numPr>
      </w:pPr>
      <w:bookmarkStart w:id="70" w:name="_Toc199583378"/>
      <w:bookmarkStart w:id="71" w:name="_Toc200095280"/>
      <w:r w:rsidRPr="005C2421">
        <w:t xml:space="preserve">Infrastructure and </w:t>
      </w:r>
      <w:r>
        <w:t>h</w:t>
      </w:r>
      <w:r w:rsidRPr="005C2421">
        <w:t>ealth</w:t>
      </w:r>
      <w:bookmarkEnd w:id="70"/>
      <w:bookmarkEnd w:id="71"/>
    </w:p>
    <w:p w:rsidR="007D46DA" w:rsidRPr="005C2421" w:rsidRDefault="007D46DA" w:rsidP="007D46DA">
      <w:pPr>
        <w:keepLines/>
      </w:pPr>
      <w:r w:rsidRPr="005C2421">
        <w:t xml:space="preserve">Infrastructure can play significant roles, positive and negative, in </w:t>
      </w:r>
      <w:r w:rsidRPr="00E105B1">
        <w:t xml:space="preserve">relation to human health. It reduces the degree to which individuals are exposed to many specific health risks, increases the access of individuals to healthcare, and improves the nature of healthcare itself. Properly maintained and functioning infrastructure provides direct protection from, as well as the means to deal with the aftermath of, human-caused and natural disasters </w:t>
      </w:r>
      <w:fldSimple w:instr=" ADDIN ZOTERO_ITEM {&quot;citationID&quot;:&quot;vHAapN3r&quot;,&quot;properties&quot;:{&quot;formattedCitation&quot;:&quot;(Streips and Simpson 2007)&quot;,&quot;plainCitation&quot;:&quot;(Streips and Simpson 2007)&quot;},&quot;citationItems&quot;:[{&quot;id&quot;:461,&quot;uris&quot;:[&quot;http://zotero.org/groups/4482/items/JPFZR97T&quot;],&quot;uri&quot;:[&quot;http://zotero.org/groups/4482/items/JPFZR97T&quot;]}]} ">
        <w:r w:rsidRPr="00E105B1">
          <w:t>(Streips and Simpson 2007)</w:t>
        </w:r>
      </w:fldSimple>
      <w:r w:rsidRPr="00E105B1">
        <w:t>. More broadly, infrastructure like improved irrigation and rural roads, can impact health indirectly through boosting agricultural productivity, and thereby reducing undernutrition (see again Box 3.1). Also, to the extent that infrastructure enhances overall economic growth, reduces income poverty, and boosts education (discussed below) it enhances both the access to, and provision of, health services. It also can lead to many injuries and deaths, however, as do high many transportation systems including those for automobiles, especially when poorly designed.</w:t>
      </w:r>
    </w:p>
    <w:p w:rsidR="007D46DA" w:rsidRPr="005C2421" w:rsidRDefault="007D46DA" w:rsidP="007D46DA"/>
    <w:p w:rsidR="007D46DA" w:rsidRPr="005C2421" w:rsidRDefault="007D46DA" w:rsidP="007D46DA">
      <w:r w:rsidRPr="00E105B1">
        <w:t xml:space="preserve">Few studies have attempted to quantify directly and comprehensively the impacts of infrastructure on health. The World Health Organization (WHO), in its Global Burden of Disease, Comparative Risk Assessment, and Environmental Burden of Disease projects (see in particular Desai, Mehta, and Smith </w:t>
      </w:r>
      <w:fldSimple w:instr=" ADDIN ZOTERO_ITEM {&quot;citationID&quot;:&quot;s6sNr2lw&quot;,&quot;properties&quot;:{&quot;formattedCitation&quot;:&quot;(2004)&quot;,&quot;plainCitation&quot;:&quot;(2004)&quot;},&quot;citationItems&quot;:[{&quot;id&quot;:432,&quot;uris&quot;:[&quot;http://zotero.org/groups/4482/items/GXNF8ZPP&quot;],&quot;uri&quot;:[&quot;http://zotero.org/groups/4482/items/GXNF8ZPP&quot;],&quot;suppress-author&quot;:true}]} ">
        <w:r w:rsidRPr="00E105B1">
          <w:t>(2004)</w:t>
        </w:r>
      </w:fldSimple>
      <w:r w:rsidRPr="00E105B1">
        <w:t xml:space="preserve"> and Fewtrell et al.</w:t>
      </w:r>
      <w:fldSimple w:instr=" ADDIN ZOTERO_ITEM {&quot;citationID&quot;:&quot;11202vfpmf&quot;,&quot;properties&quot;:{&quot;formattedCitation&quot;:&quot;(2007)&quot;,&quot;plainCitation&quot;:&quot;(2007)&quot;},&quot;citationItems&quot;:[{&quot;id&quot;:458,&quot;uris&quot;:[&quot;http://zotero.org/groups/4482/items/JM3CTTQV&quot;],&quot;uri&quot;:[&quot;http://zotero.org/groups/4482/items/JM3CTTQV&quot;],&quot;suppress-author&quot;:true}]} ">
        <w:r w:rsidRPr="00E105B1">
          <w:t>(2007)</w:t>
        </w:r>
      </w:fldSimple>
      <w:r w:rsidRPr="00E105B1">
        <w:t xml:space="preserve">, has summarized many of the studies related to the impacts of infrastructure on specific disease outcomes. Specifically, WHO estimated that, in 2004, nearly 2 million deaths were attributable to unsafe water and sanitation, and a similar number were attributable to indoor air pollution related to the use of solid fuels for heating and cooking </w:t>
      </w:r>
      <w:r w:rsidR="00F7383F" w:rsidRPr="00E105B1">
        <w:fldChar w:fldCharType="begin"/>
      </w:r>
      <w:r w:rsidRPr="00E105B1">
        <w:instrText xml:space="preserve"> ADDIN ZOTERO_ITEM {"citationID":"2pqgrptv31","properties":{"formattedCitation":"(World Health Organization (WHO) 2009a)","plainCitation":"(World Health Organization (WHO) 2009a)"},"citationItems":[{"id":1264,"uris":["http://zotero.org/groups/4482/items/Q77MUWAN"],"uri":["http://zotero.org/groups/4482/items/Q77MUWAN"]}]} </w:instrText>
      </w:r>
      <w:r w:rsidR="00F7383F" w:rsidRPr="00E105B1">
        <w:fldChar w:fldCharType="separate"/>
      </w:r>
      <w:r w:rsidRPr="00E105B1">
        <w:t>(World Health Organization (WHO) 2009a)</w:t>
      </w:r>
      <w:r w:rsidR="00F7383F" w:rsidRPr="00E105B1">
        <w:fldChar w:fldCharType="end"/>
      </w:r>
      <w:r w:rsidRPr="00E105B1">
        <w:t xml:space="preserve">. In related work, Hutton, Haller, and Bartram </w:t>
      </w:r>
      <w:fldSimple w:instr=" ADDIN ZOTERO_ITEM {&quot;citationID&quot;:&quot;1do7k4geg1&quot;,&quot;properties&quot;:{&quot;formattedCitation&quot;:&quot;(2007)&quot;,&quot;plainCitation&quot;:&quot;(2007)&quot;},&quot;citationItems&quot;:[{&quot;id&quot;:325,&quot;uris&quot;:[&quot;http://zotero.org/groups/4482/items/A3SGDX8U&quot;],&quot;uri&quot;:[&quot;http://zotero.org/groups/4482/items/A3SGDX8U&quot;],&quot;suppress-author&quot;:true}]} ">
        <w:r w:rsidRPr="00E105B1">
          <w:t>(2007)</w:t>
        </w:r>
      </w:fldSimple>
      <w:r w:rsidRPr="00E105B1">
        <w:t xml:space="preserve"> estimated that 70 percent of all incidences of diarrhea in developing countries could be prevented if all households had direct connections to sources of drinking water and sanitation.</w:t>
      </w:r>
    </w:p>
    <w:p w:rsidR="007D46DA" w:rsidRPr="005C2421" w:rsidRDefault="007D46DA" w:rsidP="007D46DA"/>
    <w:p w:rsidR="007D46DA" w:rsidRPr="005C2421" w:rsidRDefault="007D46DA" w:rsidP="007D46DA">
      <w:r w:rsidRPr="00E105B1">
        <w:t xml:space="preserve">Fay et al. </w:t>
      </w:r>
      <w:fldSimple w:instr=" ADDIN ZOTERO_ITEM {&quot;citationID&quot;:&quot;po6owiML&quot;,&quot;properties&quot;:{&quot;formattedCitation&quot;:&quot;(2005)&quot;,&quot;plainCitation&quot;:&quot;(2005)&quot;},&quot;citationItems&quot;:[{&quot;id&quot;:648,&quot;uris&quot;:[&quot;http://zotero.org/groups/4482/items/WB5KM3K2&quot;],&quot;uri&quot;:[&quot;http://zotero.org/groups/4482/items/WB5KM3K2&quot;],&quot;suppress-author&quot;:true}]} ">
        <w:r w:rsidRPr="00E105B1">
          <w:t>(2005)</w:t>
        </w:r>
      </w:fldSimple>
      <w:r w:rsidRPr="00E105B1">
        <w:t xml:space="preserve">, building on earlier work by Leipziger et al. </w:t>
      </w:r>
      <w:fldSimple w:instr=" ADDIN ZOTERO_ITEM {&quot;citationID&quot;:&quot;0U0u39WE&quot;,&quot;properties&quot;:{&quot;formattedCitation&quot;:&quot;(2003)&quot;,&quot;plainCitation&quot;:&quot;(2003)&quot;},&quot;citationItems&quot;:[{&quot;id&quot;:662,&quot;uris&quot;:[&quot;http://zotero.org/groups/4482/items/X88DNQBK&quot;],&quot;uri&quot;:[&quot;http://zotero.org/groups/4482/items/X88DNQBK&quot;],&quot;suppress-author&quot;:true}]} ">
        <w:r w:rsidRPr="00E105B1">
          <w:t>(2003)</w:t>
        </w:r>
      </w:fldSimple>
      <w:r w:rsidRPr="00E105B1">
        <w:t xml:space="preserve">, explored the role of infrastructure, income inequality, urbanization, education, and direct health interventions  in meeting the child-health-related Millennium Development Goals for reductions in infant mortality, child mortality, and stunting (a proxy for undernutrition). Specifically, they included these aspects of household infrastructure: access to improved sanitation, access to piped water, access to electricity, and the presence or absence of a dirt floor. Their results indicated household infrastructure has significant direct effects on child mortality and stunting while the impacts on infant mortality were smaller and operated indirectly, primarily through undernutrition. And in a study of nine developing countries, the World Bank </w:t>
      </w:r>
      <w:fldSimple w:instr=" ADDIN ZOTERO_ITEM {&quot;citationID&quot;:&quot;2gt4lqv7un&quot;,&quot;properties&quot;:{&quot;formattedCitation&quot;:&quot;(2008)&quot;,&quot;plainCitation&quot;:&quot;(2008)&quot;},&quot;citationItems&quot;:[{&quot;id&quot;:1191,&quot;uris&quot;:[&quot;http://zotero.org/groups/4482/items/9KWMM27F&quot;],&quot;uri&quot;:[&quot;http://zotero.org/groups/4482/items/9KWMM27F&quot;],&quot;suppress-author&quot;:true}]} ">
        <w:r w:rsidRPr="00E105B1">
          <w:t>(2008)</w:t>
        </w:r>
      </w:fldSimple>
      <w:r w:rsidRPr="00E105B1">
        <w:t xml:space="preserve"> estimated that increased rural electrification was associated with lower levels of fertility, primarily due to increased health knowledge. The same study also showed a statistically significant link between rural electrification and nutrition; however, it found no clear link to infant and child mortality.</w:t>
      </w:r>
    </w:p>
    <w:p w:rsidR="007D46DA" w:rsidRPr="005C2421" w:rsidRDefault="007D46DA" w:rsidP="007D46DA"/>
    <w:p w:rsidR="007D46DA" w:rsidRPr="005C2421" w:rsidRDefault="007D46DA" w:rsidP="007D46DA">
      <w:r w:rsidRPr="00E105B1">
        <w:t xml:space="preserve">At the same time, electrification has proven very important to human health by enabling the production and distribution of perishable medicines. In Colombia, Mexico, and Peru, a series of national programs enhanced healthcare provision to rural areas by installing clean energy infrastructure to electrify local health clinics and replace the often-faulty kerosene refrigerators used to store vaccines. Electrification helped to increase vaccination coverage, increased the speed of disease diagnosis and resulted in overall improved health outcomes. In Africa, the World Health Organization implemented a similar program, dubbed </w:t>
      </w:r>
      <w:r w:rsidRPr="00E105B1">
        <w:rPr>
          <w:i/>
        </w:rPr>
        <w:t xml:space="preserve">Cold Chain, </w:t>
      </w:r>
      <w:r w:rsidRPr="00E105B1">
        <w:t xml:space="preserve">which used solar energy infrastructure to increase vaccine safety </w:t>
      </w:r>
      <w:r w:rsidR="00F7383F" w:rsidRPr="00E105B1">
        <w:fldChar w:fldCharType="begin"/>
      </w:r>
      <w:r w:rsidRPr="00E105B1">
        <w:instrText xml:space="preserve"> ADDIN ZOTERO_ITEM {"citationID":"7tVt2S0F","properties":{"formattedCitation":"(Jimenez and Olson 1998, 35)","plainCitation":"(Jimenez and Olson 1998, 35)"},"citationItems":[{"id":1613,"uris":["http://zotero.org/groups/4482/items/CETTRMV7"],"uri":["http://zotero.org/groups/4482/items/CETTRMV7"],"locator":"35","label":"page"}]} </w:instrText>
      </w:r>
      <w:r w:rsidR="00F7383F" w:rsidRPr="00E105B1">
        <w:fldChar w:fldCharType="separate"/>
      </w:r>
      <w:r w:rsidRPr="00E105B1">
        <w:rPr>
          <w:noProof/>
        </w:rPr>
        <w:t>(Jimenez and Olson 1998, 35)</w:t>
      </w:r>
      <w:r w:rsidR="00F7383F" w:rsidRPr="00E105B1">
        <w:fldChar w:fldCharType="end"/>
      </w:r>
      <w:r w:rsidRPr="00E105B1">
        <w:t xml:space="preserve">. </w:t>
      </w:r>
    </w:p>
    <w:p w:rsidR="007D46DA" w:rsidRPr="005C2421" w:rsidRDefault="007D46DA" w:rsidP="007D46DA"/>
    <w:p w:rsidR="007D46DA" w:rsidRPr="005C2421" w:rsidRDefault="007D46DA" w:rsidP="007D46DA">
      <w:r w:rsidRPr="00E105B1">
        <w:t xml:space="preserve">Infrastructure also impacts health through the vital role it plays in the supply of food, as discussed earlier in Box 3.1 and briefly summarized here. Irrigation significantly increases the yield of many crops, as do other tangible and non-tangible resources, including fertilizer and agricultural knowledge. Pinstrup-Anderson and Shimokawa </w:t>
      </w:r>
      <w:fldSimple w:instr=" ADDIN ZOTERO_ITEM {&quot;citationID&quot;:&quot;2lec1k035e&quot;,&quot;properties&quot;:{&quot;formattedCitation&quot;:&quot;(2008)&quot;,&quot;plainCitation&quot;:&quot;(2008)&quot;},&quot;citationItems&quot;:[{&quot;id&quot;:1345,&quot;uris&quot;:[&quot;http://zotero.org/groups/4482/items/VIHUQA3Q&quot;],&quot;uri&quot;:[&quot;http://zotero.org/groups/4482/items/VIHUQA3Q&quot;],&quot;suppress-author&quot;:true}]} ">
        <w:r w:rsidRPr="00E105B1">
          <w:t>(2008)</w:t>
        </w:r>
      </w:fldSimple>
      <w:r w:rsidRPr="00E105B1">
        <w:t xml:space="preserve"> summarized much of the existing research on the importance of infrastructure for access to these input and output markets. Once produced, infrastructure, particularly in the form of roads and energy for cooling, are integral to the storage and transportation of foodstuffs to the ultimate consumer.</w:t>
      </w:r>
    </w:p>
    <w:p w:rsidR="007D46DA" w:rsidRPr="005C2421" w:rsidRDefault="007D46DA" w:rsidP="007D46DA"/>
    <w:p w:rsidR="007D46DA" w:rsidRPr="005C2421" w:rsidRDefault="007D46DA" w:rsidP="007D46DA">
      <w:r w:rsidRPr="00E105B1">
        <w:t xml:space="preserve">In Morocco, a project to pave and upgrade some of the country’s rural road networks, which serve 70 percent of the country’s poor, resulted in a number of health benefits to the rural population, some obvious, some less so. Rural healthcare clinics connected to the newly improved roads saw patient access rates increase and better attendance by staff workers. Easier access to the facilities also meant that they could stock more medicines, especially perishable ones, as transport times were less. Less obvious, the improved roads also resulted in an improvement in local diets as the price of perishable foods like fish, vegetables and fruit declined (Songco, Jocelyn 2002; 13). </w:t>
      </w:r>
    </w:p>
    <w:p w:rsidR="007D46DA" w:rsidRPr="005C2421" w:rsidRDefault="007D46DA" w:rsidP="007D46DA"/>
    <w:p w:rsidR="007D46DA" w:rsidRPr="005C2421" w:rsidRDefault="007D46DA" w:rsidP="007D46DA">
      <w:r w:rsidRPr="00E105B1">
        <w:t xml:space="preserve">Today, information and communication technology (ICT) infrastructure holds perhaps the greatest potential for improving the deliverability, quality, and efficiency of health services. The development of ICT has generated significant expectations and spurred such modern terms as telemedicine, eHealth, and health information technology (HIT). Generally conceived, ICT is understood to impact health by enabling improved access to information and services, the provisioning of care where otherwise unavailable, enhanced professional education, increased quality control, and reduced costs </w:t>
      </w:r>
      <w:fldSimple w:instr=" ADDIN ZOTERO_ITEM {&quot;citationID&quot;:&quot;25cpj2bggr&quot;,&quot;properties&quot;:{&quot;formattedCitation&quot;:&quot;(Hjelm 2005)&quot;,&quot;plainCitation&quot;:&quot;(Hjelm 2005)&quot;},&quot;citationItems&quot;:[{&quot;id&quot;:1323,&quot;uris&quot;:[&quot;http://zotero.org/groups/4482/items/4QT7TICN&quot;],&quot;uri&quot;:[&quot;http://zotero.org/groups/4482/items/4QT7TICN&quot;]}]} ">
        <w:r w:rsidRPr="00E105B1">
          <w:t>(Hjelm 2005)</w:t>
        </w:r>
      </w:fldSimple>
      <w:r w:rsidRPr="00E105B1">
        <w:t xml:space="preserve">. Of particular importance to remote and rural areas, it facilitates the “delivery of health care and the exchange of health-care information across distances” </w:t>
      </w:r>
      <w:r w:rsidR="00F7383F" w:rsidRPr="00E105B1">
        <w:fldChar w:fldCharType="begin"/>
      </w:r>
      <w:r w:rsidRPr="00E105B1">
        <w:instrText xml:space="preserve"> ADDIN ZOTERO_ITEM {"citationID":"1ijsn5qivl","properties":{"formattedCitation":"(Craig and Patterson 2005, 3)","plainCitation":"(Craig and Patterson 2005, 3)"},"citationItems":[{"id":1332,"uris":["http://zotero.org/groups/4482/items/G44D33TK"],"uri":["http://zotero.org/groups/4482/items/G44D33TK"],"locator":"3","label":"page"}]} </w:instrText>
      </w:r>
      <w:r w:rsidR="00F7383F" w:rsidRPr="00E105B1">
        <w:fldChar w:fldCharType="separate"/>
      </w:r>
      <w:r w:rsidRPr="00E105B1">
        <w:t>(Craig and Patterson 2005, 3)</w:t>
      </w:r>
      <w:r w:rsidR="00F7383F" w:rsidRPr="00E105B1">
        <w:fldChar w:fldCharType="end"/>
      </w:r>
      <w:r w:rsidRPr="00E105B1">
        <w:t>.</w:t>
      </w:r>
    </w:p>
    <w:p w:rsidR="007D46DA" w:rsidRPr="005C2421" w:rsidRDefault="007D46DA" w:rsidP="007D46DA"/>
    <w:p w:rsidR="007D46DA" w:rsidRPr="005C2421" w:rsidRDefault="007D46DA" w:rsidP="007D46DA">
      <w:r w:rsidRPr="00E105B1">
        <w:t xml:space="preserve">The increased use of ICT in the medical field has spawned a number of studies that try to estimate empirically its net benefits. One set of studies, primarily looking at developed countries, has focused on potential cost savings from the use of Electronic Health Record systems (EHRs). Chaudhry et al </w:t>
      </w:r>
      <w:fldSimple w:instr=" ADDIN ZOTERO_ITEM {&quot;citationID&quot;:&quot;miv1cuh1j&quot;,&quot;properties&quot;:{&quot;formattedCitation&quot;:&quot;(2006)&quot;,&quot;plainCitation&quot;:&quot;(2006)&quot;},&quot;citationItems&quot;:[{&quot;id&quot;:1362,&quot;uris&quot;:[&quot;http://zotero.org/groups/4482/items/2TQVFZF5&quot;],&quot;uri&quot;:[&quot;http://zotero.org/groups/4482/items/2TQVFZF5&quot;],&quot;suppress-author&quot;:true}]} ">
        <w:r w:rsidRPr="00E105B1">
          <w:t>(2006)</w:t>
        </w:r>
      </w:fldSimple>
      <w:r w:rsidRPr="00E105B1">
        <w:t xml:space="preserve">, Goldzweig et al </w:t>
      </w:r>
      <w:fldSimple w:instr=" ADDIN ZOTERO_ITEM {&quot;citationID&quot;:&quot;29i8rbjreh&quot;,&quot;properties&quot;:{&quot;formattedCitation&quot;:&quot;(2009)&quot;,&quot;plainCitation&quot;:&quot;(2009)&quot;},&quot;citationItems&quot;:[{&quot;id&quot;:1371,&quot;uris&quot;:[&quot;http://zotero.org/groups/4482/items/GR7ZTDKJ&quot;],&quot;uri&quot;:[&quot;http://zotero.org/groups/4482/items/GR7ZTDKJ&quot;],&quot;suppress-author&quot;:true}]} ">
        <w:r w:rsidRPr="00E105B1">
          <w:t>(2009)</w:t>
        </w:r>
      </w:fldSimple>
      <w:r w:rsidRPr="00E105B1">
        <w:t xml:space="preserve">, and Buntin et al </w:t>
      </w:r>
      <w:fldSimple w:instr=" ADDIN ZOTERO_ITEM {&quot;citationID&quot;:&quot;dcusu58pc&quot;,&quot;properties&quot;:{&quot;formattedCitation&quot;:&quot;(2011)&quot;,&quot;plainCitation&quot;:&quot;(2011)&quot;},&quot;citationItems&quot;:[{&quot;id&quot;:1369,&quot;uris&quot;:[&quot;http://zotero.org/groups/4482/items/EJ4T3HKG&quot;],&quot;uri&quot;:[&quot;http://zotero.org/groups/4482/items/EJ4T3HKG&quot;],&quot;suppress-author&quot;:true}]} ">
        <w:r w:rsidRPr="00E105B1">
          <w:t>(2011)</w:t>
        </w:r>
      </w:fldSimple>
      <w:r w:rsidRPr="00E105B1">
        <w:t xml:space="preserve"> provide a series of systematic reviews of many of these studies in developed countries. The OECD </w:t>
      </w:r>
      <w:fldSimple w:instr=" ADDIN ZOTERO_ITEM {&quot;citationID&quot;:&quot;2oilriugs&quot;,&quot;properties&quot;:{&quot;formattedCitation&quot;:&quot;(2010b)&quot;,&quot;plainCitation&quot;:&quot;(2010b)&quot;},&quot;citationItems&quot;:[{&quot;id&quot;:1346,&quot;uris&quot;:[&quot;http://zotero.org/groups/4482/items/VWQZTEZM&quot;],&quot;uri&quot;:[&quot;http://zotero.org/groups/4482/items/VWQZTEZM&quot;],&quot;suppress-author&quot;:true}]} ">
        <w:r w:rsidRPr="00E105B1">
          <w:t>(2010b)</w:t>
        </w:r>
      </w:fldSimple>
      <w:r w:rsidRPr="00E105B1">
        <w:t xml:space="preserve"> also conducted a detailed analysis of specific cases in five developed countries. Hillestad et al. </w:t>
      </w:r>
      <w:fldSimple w:instr=" ADDIN ZOTERO_ITEM {&quot;citationID&quot;:&quot;1ddb3cbaa&quot;,&quot;properties&quot;:{&quot;formattedCitation&quot;:&quot;(2005)&quot;,&quot;plainCitation&quot;:&quot;(2005)&quot;},&quot;citationItems&quot;:[{&quot;id&quot;:1328,&quot;uris&quot;:[&quot;http://zotero.org/groups/4482/items/BF2BWKT5&quot;],&quot;uri&quot;:[&quot;http://zotero.org/groups/4482/items/BF2BWKT5&quot;],&quot;suppress-author&quot;:true}]} ">
        <w:r w:rsidRPr="00E105B1">
          <w:t>(2005)</w:t>
        </w:r>
      </w:fldSimple>
      <w:r w:rsidRPr="00E105B1">
        <w:t xml:space="preserve"> estimated that universal adoption of EHRs in the U.S. could save physician offices 142 billion and hospitals 371 billion over a 15-year period, while the Congressional Budget Office of the United States cited work estimating that IT-enabled efficiencies could save 77 billion per year </w:t>
      </w:r>
      <w:r w:rsidR="00F7383F" w:rsidRPr="00E105B1">
        <w:fldChar w:fldCharType="begin"/>
      </w:r>
      <w:r w:rsidRPr="00E105B1">
        <w:instrText xml:space="preserve"> ADDIN ZOTERO_ITEM {"citationID":"1e6fqlob1t","properties":{"formattedCitation":"(Congressional Budget Office 2008)","plainCitation":"(Congressional Budget Office 2008)"},"citationItems":[{"id":1366,"uris":["http://zotero.org/groups/4482/items/8GNQUCVJ"],"uri":["http://zotero.org/groups/4482/items/8GNQUCVJ"]}]} </w:instrText>
      </w:r>
      <w:r w:rsidR="00F7383F" w:rsidRPr="00E105B1">
        <w:fldChar w:fldCharType="separate"/>
      </w:r>
      <w:r w:rsidRPr="00E105B1">
        <w:t>(Congressional Budget Office 2008)</w:t>
      </w:r>
      <w:r w:rsidR="00F7383F" w:rsidRPr="00E105B1">
        <w:fldChar w:fldCharType="end"/>
      </w:r>
      <w:r w:rsidRPr="00E105B1">
        <w:t xml:space="preserve">. Beyond anticipated cost reductions, OECD </w:t>
      </w:r>
      <w:r w:rsidR="00F7383F" w:rsidRPr="00E105B1">
        <w:fldChar w:fldCharType="begin"/>
      </w:r>
      <w:r w:rsidRPr="00E105B1">
        <w:instrText xml:space="preserve"> ADDIN ZOTERO_ITEM {"citationID":"gmujd4n41","properties":{"formattedCitation":"(2010b, 34)","plainCitation":"(2010b, 34)"},"citationItems":[{"id":1346,"uris":["http://zotero.org/groups/4482/items/VWQZTEZM"],"uri":["http://zotero.org/groups/4482/items/VWQZTEZM"],"locator":"34","label":"page","suppress-author":true}]} </w:instrText>
      </w:r>
      <w:r w:rsidR="00F7383F" w:rsidRPr="00E105B1">
        <w:fldChar w:fldCharType="separate"/>
      </w:r>
      <w:r w:rsidRPr="00E105B1">
        <w:t>(2010b, 34)</w:t>
      </w:r>
      <w:r w:rsidR="00F7383F" w:rsidRPr="00E105B1">
        <w:fldChar w:fldCharType="end"/>
      </w:r>
      <w:r w:rsidRPr="00E105B1">
        <w:t xml:space="preserve"> also noted direct effects by improving patient safety and quality care through a reduction in medical errors and better patient monitoring. In one example, British Columbia (Canada) realized a 21 percent increase in diabetes testing compliance through the implementation of an ICT-enabled chronic disease management toolkit and related support system. </w:t>
      </w:r>
    </w:p>
    <w:p w:rsidR="007D46DA" w:rsidRPr="005C2421" w:rsidRDefault="007D46DA" w:rsidP="007D46DA"/>
    <w:p w:rsidR="007D46DA" w:rsidRPr="005C2421" w:rsidRDefault="007D46DA" w:rsidP="007D46DA">
      <w:r w:rsidRPr="00E105B1">
        <w:t xml:space="preserve">Studies focusing on developing countries have looked more at how ICT has been used to improve access to medical treatment. In Mali, the deployment of a national telemedicine network helped improve distance medical learning and consultations </w:t>
      </w:r>
      <w:fldSimple w:instr=" ADDIN ZOTERO_ITEM {&quot;citationID&quot;:&quot;12bv1ivnst&quot;,&quot;properties&quot;:{&quot;formattedCitation&quot;:&quot;(Geissbuhler et al. 2003)&quot;,&quot;plainCitation&quot;:&quot;(Geissbuhler et al. 2003)&quot;},&quot;citationItems&quot;:[{&quot;id&quot;:1376,&quot;uris&quot;:[&quot;http://zotero.org/groups/4482/items/TMKEVXHE&quot;],&quot;uri&quot;:[&quot;http://zotero.org/groups/4482/items/TMKEVXHE&quot;]}]} ">
        <w:r w:rsidRPr="00E105B1">
          <w:t>(Geissbuhler et al. 2003)</w:t>
        </w:r>
      </w:fldSimple>
      <w:r w:rsidRPr="00E105B1">
        <w:t xml:space="preserve">. The project, while experiencing some challenges, was subsequently extended into ten French-speaking countries and added medical laboratory quality control and rural telemedicine evaluations </w:t>
      </w:r>
      <w:r w:rsidR="00F7383F" w:rsidRPr="00E105B1">
        <w:fldChar w:fldCharType="begin"/>
      </w:r>
      <w:r w:rsidRPr="00E105B1">
        <w:instrText xml:space="preserve"> ADDIN ZOTERO_ITEM {"citationID":"23akaijqos","properties":{"formattedCitation":"(Geissbuhler, Bagayoko, and Ly 2007, 351)","plainCitation":"(Geissbuhler, Bagayoko, and Ly 2007, 351)"},"citationItems":[{"id":1377,"uris":["http://zotero.org/groups/4482/items/XWK4BPAZ"],"uri":["http://zotero.org/groups/4482/items/XWK4BPAZ"],"locator":"351","label":"page"}]} </w:instrText>
      </w:r>
      <w:r w:rsidR="00F7383F" w:rsidRPr="00E105B1">
        <w:fldChar w:fldCharType="separate"/>
      </w:r>
      <w:r w:rsidRPr="00E105B1">
        <w:t>(Geissbuhler, Bagayoko, and Ly 2007, 351)</w:t>
      </w:r>
      <w:r w:rsidR="00F7383F" w:rsidRPr="00E105B1">
        <w:fldChar w:fldCharType="end"/>
      </w:r>
      <w:r w:rsidRPr="00E105B1">
        <w:t xml:space="preserve">. In Peru, a more extensive project deployed telemedicine capabilities in 39 rural sites in the remote Alto Amazonas province </w:t>
      </w:r>
      <w:r w:rsidR="00F7383F" w:rsidRPr="00E105B1">
        <w:fldChar w:fldCharType="begin"/>
      </w:r>
      <w:r w:rsidRPr="00E105B1">
        <w:instrText xml:space="preserve"> ADDIN ZOTERO_ITEM {"citationID":"tmlv68hkk","properties":{"formattedCitation":"{\\rtf (Mart\\uc0\\u237{}nez et al. 2004)}","plainCitation":"(Martínez et al. 2004)"},"citationItems":[{"id":1370,"uris":["http://zotero.org/groups/4482/items/FPGD8QQC"],"uri":["http://zotero.org/groups/4482/items/FPGD8QQC"]}]} </w:instrText>
      </w:r>
      <w:r w:rsidR="00F7383F" w:rsidRPr="00E105B1">
        <w:fldChar w:fldCharType="separate"/>
      </w:r>
      <w:r w:rsidRPr="00E105B1">
        <w:t>(Martínez et al. 2004)</w:t>
      </w:r>
      <w:r w:rsidR="00F7383F" w:rsidRPr="00E105B1">
        <w:fldChar w:fldCharType="end"/>
      </w:r>
      <w:r w:rsidRPr="00E105B1">
        <w:t xml:space="preserve">. The project realized improvements in emergency evacuations, diagnosis and treatment, and epidemiological surveillance, while estimating full repayment of investment costs in 30 months. Finally, telemedicine has enabled collaborations between developing and developed countries, as in a Jordanian/Canadian joint effort to extend pediatric neuro-oncology consultations </w:t>
      </w:r>
      <w:fldSimple w:instr=" ADDIN ZOTERO_ITEM {&quot;citationID&quot;:&quot;20974udfqu&quot;,&quot;properties&quot;:{&quot;formattedCitation&quot;:&quot;(Qaddoumi et al. 2007)&quot;,&quot;plainCitation&quot;:&quot;(Qaddoumi et al. 2007)&quot;},&quot;citationItems&quot;:[{&quot;id&quot;:1375,&quot;uris&quot;:[&quot;http://zotero.org/groups/4482/items/MB8PARN3&quot;],&quot;uri&quot;:[&quot;http://zotero.org/groups/4482/items/MB8PARN3&quot;]}]} ">
        <w:r w:rsidRPr="00E105B1">
          <w:t>(Qaddoumi et al. 2007)</w:t>
        </w:r>
      </w:fldSimple>
      <w:r w:rsidRPr="00E105B1">
        <w:t>. Using videoconferencing, physicians were able to review and discuss 72 cases affecting 64 patients undergoing treatment from varying types of brain tumors. Of the cases selected for consultation, 36 percent received recommendations for major changes in treatment, with a 91 percent compliance rate in subsequent treatment (Qaddoumi et al. 2007: 39).</w:t>
      </w:r>
    </w:p>
    <w:p w:rsidR="007D46DA" w:rsidRPr="005C2421" w:rsidRDefault="007D46DA" w:rsidP="007D46DA"/>
    <w:p w:rsidR="007D46DA" w:rsidRPr="005C2421" w:rsidRDefault="007D46DA" w:rsidP="007D46DA">
      <w:r w:rsidRPr="00E105B1">
        <w:t xml:space="preserve">However, we would be remiss not to elaborate also the negative impacts infrastructure can have on human health. As mentioned, traffic accidents and fatalities along the world’s roadways are perhaps the most direct of these impacts. According to estimates by WHO </w:t>
      </w:r>
      <w:r w:rsidR="00F7383F" w:rsidRPr="00E105B1">
        <w:fldChar w:fldCharType="begin"/>
      </w:r>
      <w:r w:rsidRPr="00E105B1">
        <w:instrText xml:space="preserve"> ADDIN ZOTERO_ITEM {"citationID":"sn2j96g1l","properties":{"formattedCitation":"(2009b, vii)","plainCitation":"(2009b, vii)"},"citationItems":[{"id":1423,"uris":["http://zotero.org/groups/4482/items/TSW8JKTQ"],"uri":["http://zotero.org/groups/4482/items/TSW8JKTQ"],"locator":"vii","label":"page","suppress-author":true}]} </w:instrText>
      </w:r>
      <w:r w:rsidR="00F7383F" w:rsidRPr="00E105B1">
        <w:fldChar w:fldCharType="separate"/>
      </w:r>
      <w:r w:rsidRPr="00E105B1">
        <w:t>(2009b, vii)</w:t>
      </w:r>
      <w:r w:rsidR="00F7383F" w:rsidRPr="00E105B1">
        <w:fldChar w:fldCharType="end"/>
      </w:r>
      <w:r w:rsidRPr="00E105B1">
        <w:t xml:space="preserve">, more than “1.2 million people die each year on the world’s roads, and between 20 and 50 million suffer non-fatal injuries.” While many factors determine the rate of road traffic accidents resulting in death, injury, and disability, it is clear that building more roads will generally mean more vehicles and more accidents (although safer roads and vehicles can offset or reverse this relationship). This concern is reflected in the establishment of the International Road Assessment Programme and in the inclusion of ‘safe roads and mobility’ as one of five pillars of the Global Plan for the Decade of Action for Road Safety 2011-2020 </w:t>
      </w:r>
      <w:r w:rsidR="00F7383F" w:rsidRPr="00E105B1">
        <w:fldChar w:fldCharType="begin"/>
      </w:r>
      <w:r w:rsidRPr="00E105B1">
        <w:instrText xml:space="preserve"> ADDIN ZOTERO_ITEM {"citationID":"2ac7jnbs1b","properties":{"formattedCitation":"(World Health Organization (WHO) 2011)","plainCitation":"(World Health Organization (WHO) 2011)"},"citationItems":[{"id":1340,"uris":["http://zotero.org/groups/4482/items/PSIKFG7B"],"uri":["http://zotero.org/groups/4482/items/PSIKFG7B"]}]} </w:instrText>
      </w:r>
      <w:r w:rsidR="00F7383F" w:rsidRPr="00E105B1">
        <w:fldChar w:fldCharType="separate"/>
      </w:r>
      <w:r w:rsidRPr="00E105B1">
        <w:t>(World Health Organization (WHO) 2011)</w:t>
      </w:r>
      <w:r w:rsidR="00F7383F" w:rsidRPr="00E105B1">
        <w:fldChar w:fldCharType="end"/>
      </w:r>
      <w:r w:rsidRPr="00E105B1">
        <w:t xml:space="preserve">, as the design of roads and road networks can either enhance road safety or lead to more road accidents. </w:t>
      </w:r>
    </w:p>
    <w:p w:rsidR="007D46DA" w:rsidRPr="005C2421" w:rsidRDefault="007D46DA" w:rsidP="007D46DA"/>
    <w:p w:rsidR="007D46DA" w:rsidRPr="005C2421" w:rsidRDefault="007D46DA" w:rsidP="007D46DA">
      <w:r w:rsidRPr="00E105B1">
        <w:t>Along with traffic accidents, increased transportation activity contributes to air pollution. Urban outdoor air pollution, to which transportation contributes significantly, is known to cause a number of respiratory and cardiovascular health issues in affected populations, and is estimated to have caused more than 1.3 million deaths globally in 2008.</w:t>
      </w:r>
      <w:r>
        <w:rPr>
          <w:rStyle w:val="FootnoteReference"/>
        </w:rPr>
        <w:footnoteReference w:id="39"/>
      </w:r>
      <w:r w:rsidRPr="00E105B1">
        <w:t xml:space="preserve"> Lower-middle to upper-middle income countries tend to be the most affected, but negative health impacts from air pollution are present across both developing and developed countries (WHO 2011).</w:t>
      </w:r>
      <w:r>
        <w:rPr>
          <w:rStyle w:val="FootnoteReference"/>
        </w:rPr>
        <w:t xml:space="preserve"> </w:t>
      </w:r>
    </w:p>
    <w:p w:rsidR="007D46DA" w:rsidRPr="005C2421" w:rsidRDefault="007D46DA" w:rsidP="007D46DA"/>
    <w:p w:rsidR="007D46DA" w:rsidRPr="005C2421" w:rsidRDefault="007D46DA" w:rsidP="007D46DA">
      <w:r w:rsidRPr="00E105B1">
        <w:t>More indirectly, the expansion and integration of transportation networks across the globe— while providing new economic opportunities, fostering international trade, and increasing migration—has also aided the spread of disease. Pathogens from influenza to HIV/AIDS are now able to move ‘farther, faster, and in greater numbers’ thanks to increasing levels of mobility</w:t>
      </w:r>
      <w:r w:rsidRPr="00E105B1">
        <w:rPr>
          <w:noProof/>
        </w:rPr>
        <w:t xml:space="preserve"> </w:t>
      </w:r>
      <w:r w:rsidR="00F7383F" w:rsidRPr="00E105B1">
        <w:rPr>
          <w:noProof/>
        </w:rPr>
        <w:fldChar w:fldCharType="begin"/>
      </w:r>
      <w:r w:rsidRPr="00E105B1">
        <w:rPr>
          <w:noProof/>
        </w:rPr>
        <w:instrText xml:space="preserve"> ADDIN ZOTERO_ITEM {"citationID":"WmHhPBIv","properties":{"formattedCitation":"(Tatem, Hay, and Rogers 2006, 6242)","plainCitation":"(Tatem, Hay, and Rogers 2006, 6242)"},"citationItems":[{"id":1573,"uris":["http://zotero.org/groups/4482/items/J8QH9JJA"],"uri":["http://zotero.org/groups/4482/items/J8QH9JJA"],"locator":"6242","label":"page"}]} </w:instrText>
      </w:r>
      <w:r w:rsidR="00F7383F" w:rsidRPr="00E105B1">
        <w:rPr>
          <w:noProof/>
        </w:rPr>
        <w:fldChar w:fldCharType="separate"/>
      </w:r>
      <w:r w:rsidRPr="00E105B1">
        <w:rPr>
          <w:noProof/>
        </w:rPr>
        <w:t>(Tatem, Hay, and Rogers 2006, 6242)</w:t>
      </w:r>
      <w:r w:rsidR="00F7383F" w:rsidRPr="00E105B1">
        <w:rPr>
          <w:noProof/>
        </w:rPr>
        <w:fldChar w:fldCharType="end"/>
      </w:r>
      <w:r w:rsidRPr="00E105B1">
        <w:t xml:space="preserve">. </w:t>
      </w:r>
    </w:p>
    <w:p w:rsidR="007D46DA" w:rsidRPr="005C2421" w:rsidRDefault="007D46DA" w:rsidP="007D46DA"/>
    <w:p w:rsidR="007D46DA" w:rsidRPr="005C2421" w:rsidRDefault="007D46DA" w:rsidP="007D46DA">
      <w:r w:rsidRPr="00E105B1">
        <w:t xml:space="preserve">And finally, when human-made infrastructure fails, the results can be devastating in terms of deaths and injuries. For example, dams and levees encourage increased development in areas that have traditionally been subject to the vagaries of flooding. The largest dam disaster on record occurred in August 1975, with the failures of the Banqiao, Shimantan, and 60 other dams in Henan province in central China. The ensuing floods, famine, and epidemics killed an estimated 200,000 people </w:t>
      </w:r>
      <w:r w:rsidR="00F7383F" w:rsidRPr="00E105B1">
        <w:fldChar w:fldCharType="begin"/>
      </w:r>
      <w:r w:rsidRPr="00E105B1">
        <w:instrText xml:space="preserve"> ADDIN ZOTERO_ITEM {"citationID":"3pq6jt70k","properties":{"formattedCitation":"(Pearce 2006; McCully 2001)","plainCitation":"(Pearce 2006; McCully 2001)"},"citationItems":[{"id":1325,"uris":["http://zotero.org/groups/4482/items/85PMTGMT"],"uri":["http://zotero.org/groups/4482/items/85PMTGMT"],"label":"page"},{"id":1331,"uris":["http://zotero.org/groups/4482/items/FPSK6M74"],"uri":["http://zotero.org/groups/4482/items/FPSK6M74"],"label":"page"}]} </w:instrText>
      </w:r>
      <w:r w:rsidR="00F7383F" w:rsidRPr="00E105B1">
        <w:fldChar w:fldCharType="separate"/>
      </w:r>
      <w:r w:rsidRPr="00E105B1">
        <w:t>(Pearce 2006; McCully 2001)</w:t>
      </w:r>
      <w:r w:rsidR="00F7383F" w:rsidRPr="00E105B1">
        <w:fldChar w:fldCharType="end"/>
      </w:r>
      <w:r w:rsidRPr="00E105B1">
        <w:t>. In the United States, the levee failures in and around New Orleans during Hurricane Katrina in 2005 resulted in the flooding of an estimated 80 to 85 percent of the New Orleans metropolitan area, 1,120 to 1,570 deaths (counts vary)</w:t>
      </w:r>
      <w:r>
        <w:rPr>
          <w:rStyle w:val="FootnoteReference"/>
        </w:rPr>
        <w:footnoteReference w:id="40"/>
      </w:r>
      <w:r w:rsidRPr="00E105B1">
        <w:t xml:space="preserve">, and some 50 to 100 billion dollars in damages, primarily due to flooding </w:t>
      </w:r>
      <w:r w:rsidR="00F7383F" w:rsidRPr="00E105B1">
        <w:fldChar w:fldCharType="begin"/>
      </w:r>
      <w:r w:rsidRPr="00E105B1">
        <w:instrText xml:space="preserve"> ADDIN ZOTERO_ITEM {"citationID":"GqW9ThLJ","properties":{"formattedCitation":"{\\rtf (Seed et al. 2005, 2\\uc0\\u8211{}11; Jonkman et al. 2009, 683; Blake et al. 2007, 4; Kates et al. 2006, 14655)}","plainCitation":"(Seed et al. 2005, 2–11; Jonkman et al. 2009, 683; Blake et al. 2007, 4; Kates et al. 2006, 14655)"},"citationItems":[{"id":1578,"uris":["http://zotero.org/groups/4482/items/ZGG5XA97"],"uri":["http://zotero.org/groups/4482/items/ZGG5XA97"],"locator":"2-11","label":"page"},{"id":1593,"uris":["http://zotero.org/groups/4482/items/VHT27ZRT"],"uri":["http://zotero.org/groups/4482/items/VHT27ZRT"],"locator":"683","label":"page"},{"id":1588,"uris":["http://zotero.org/groups/4482/items/RZCWWTHV"],"uri":["http://zotero.org/groups/4482/items/RZCWWTHV"],"locator":"4","label":"page"},{"id":1590,"uris":["http://zotero.org/groups/4482/items/GV5ES8TD"],"uri":["http://zotero.org/groups/4482/items/GV5ES8TD"],"locator":"14655","label":"page"}]} </w:instrText>
      </w:r>
      <w:r w:rsidR="00F7383F" w:rsidRPr="00E105B1">
        <w:fldChar w:fldCharType="separate"/>
      </w:r>
      <w:r w:rsidRPr="00E105B1">
        <w:t>(Seed et al. 2005, 2–11; Jonkman et al. 2009, 683; Blake et al. 2007, 4; Kates et al. 2006, 14655)</w:t>
      </w:r>
      <w:r w:rsidR="00F7383F" w:rsidRPr="00E105B1">
        <w:fldChar w:fldCharType="end"/>
      </w:r>
      <w:r w:rsidRPr="00E105B1">
        <w:t>.</w:t>
      </w:r>
    </w:p>
    <w:p w:rsidR="007D46DA" w:rsidRPr="005C2421" w:rsidRDefault="007D46DA" w:rsidP="007D46DA"/>
    <w:p w:rsidR="00A84F12" w:rsidRDefault="007D46DA" w:rsidP="00877E30">
      <w:pPr>
        <w:pStyle w:val="Heading3"/>
        <w:numPr>
          <w:ilvl w:val="2"/>
          <w:numId w:val="31"/>
        </w:numPr>
      </w:pPr>
      <w:bookmarkStart w:id="72" w:name="_Toc199583379"/>
      <w:bookmarkStart w:id="73" w:name="_Toc200095281"/>
      <w:r w:rsidRPr="005C2421">
        <w:t xml:space="preserve">Infrastructure and </w:t>
      </w:r>
      <w:r>
        <w:t>e</w:t>
      </w:r>
      <w:r w:rsidRPr="005C2421">
        <w:t>ducation</w:t>
      </w:r>
      <w:bookmarkEnd w:id="72"/>
      <w:bookmarkEnd w:id="73"/>
    </w:p>
    <w:p w:rsidR="007D46DA" w:rsidRPr="005C2421" w:rsidRDefault="007D46DA" w:rsidP="007D46DA">
      <w:r w:rsidRPr="005C2421">
        <w:t xml:space="preserve">As is the case with health, although the links between infrastructure and education are intuitively reasonable and frequently asserted, there is less </w:t>
      </w:r>
      <w:r w:rsidRPr="00E105B1">
        <w:t>empirical support for these claims than might be desired.</w:t>
      </w:r>
      <w:r>
        <w:rPr>
          <w:rStyle w:val="FootnoteReference"/>
        </w:rPr>
        <w:footnoteReference w:id="41"/>
      </w:r>
      <w:r w:rsidRPr="00E105B1">
        <w:t xml:space="preserve"> Further, in studies of the forward linkages from infrastructure to education, typically only one infrastructure sector is considered at a time; the measures of impact vary from study to study; and the scope of any study is most often an investigation of the results of a single infrastructure project in one location. Thus, the quantitative results and stylized facts that can be generalized to other locales, countries, and regions are few and far between. Even so, the cumulative evidence from the literature is that infrastructure, in homes and communities as well as in schools themselves, does affect school enrollment, attendance, and learning, and that it does so through a variety of pathways.</w:t>
      </w:r>
    </w:p>
    <w:p w:rsidR="007D46DA" w:rsidRPr="005C2421" w:rsidRDefault="007D46DA" w:rsidP="007D46DA"/>
    <w:p w:rsidR="007D46DA" w:rsidRPr="005C2421" w:rsidRDefault="007D46DA" w:rsidP="007D46DA">
      <w:r w:rsidRPr="00E105B1">
        <w:t xml:space="preserve">Simply getting to school is often a major challenge to students and teachers. All-weather roads are key, particularly in rural areas. They shorten the travel time to a given location, including for those who walk or travel by bicycle. The presence of roads also encourages the establishment of new schools in areas that were previously more remote </w:t>
      </w:r>
      <w:r w:rsidR="00F7383F" w:rsidRPr="00E105B1">
        <w:fldChar w:fldCharType="begin"/>
      </w:r>
      <w:r w:rsidRPr="00E105B1">
        <w:instrText xml:space="preserve"> ADDIN ZOTERO_ITEM {"citationID":"k1t2bchg5","properties":{"formattedCitation":"(Anderson and Vandervoort 1982, 23)","plainCitation":"(Anderson and Vandervoort 1982, 23)"},"citationItems":[{"id":1502,"uris":["http://zotero.org/groups/4482/items/FQBH7TTT"],"uri":["http://zotero.org/groups/4482/items/FQBH7TTT"],"locator":"23","label":"page"}]} </w:instrText>
      </w:r>
      <w:r w:rsidR="00F7383F" w:rsidRPr="00E105B1">
        <w:fldChar w:fldCharType="separate"/>
      </w:r>
      <w:r w:rsidRPr="00E105B1">
        <w:t>(Anderson and Vandervoort 1982, 23)</w:t>
      </w:r>
      <w:r w:rsidR="00F7383F" w:rsidRPr="00E105B1">
        <w:fldChar w:fldCharType="end"/>
      </w:r>
      <w:r w:rsidRPr="00E105B1">
        <w:t xml:space="preserve">. Teachers are easier to recruit when they can travel to schools by good roads, and the absenteeism of both teachers and students due to bad weather is significantly reduced. In Vietnam, for example, rural road improvements allowed for year-round access to schools as children were able to get to and from school even during the rainy season, whereas in the past they were often forced to spend the night at the school (Songco 2002; 24). The attendance of girls (whose enrollment rates still lag those of boys in many developing countries) is especially affected for at least two reasons: (1) travel by road is safer; and (2) reduced travel time is especially helpful for girls, who are more likely than boys to spend more hours on family responsibilities and who are more likely to walk rather than have access to a bicycle for transportation than are boys (see Porter et al. </w:t>
      </w:r>
      <w:fldSimple w:instr=" ADDIN ZOTERO_ITEM {&quot;citationID&quot;:&quot;2i5guh2lcm&quot;,&quot;properties&quot;:{&quot;formattedCitation&quot;:&quot;(2011)&quot;,&quot;plainCitation&quot;:&quot;(2011)&quot;},&quot;citationItems&quot;:[{&quot;id&quot;:1267,&quot;uris&quot;:[&quot;http://zotero.org/groups/4482/items/RWJZA2BV&quot;],&quot;uri&quot;:[&quot;http://zotero.org/groups/4482/items/RWJZA2BV&quot;],&quot;suppress-author&quot;:true}]} ">
        <w:r w:rsidRPr="00E105B1">
          <w:t>(2011)</w:t>
        </w:r>
      </w:fldSimple>
      <w:r w:rsidRPr="00E105B1">
        <w:t xml:space="preserve"> for a particularly rich exploration of transport, mobility, and girls’ school attendance in Ghana, Malawi, and South Africa). </w:t>
      </w:r>
    </w:p>
    <w:p w:rsidR="007D46DA" w:rsidRPr="005C2421" w:rsidRDefault="007D46DA" w:rsidP="007D46DA"/>
    <w:p w:rsidR="007D46DA" w:rsidRPr="005C2421" w:rsidRDefault="007D46DA" w:rsidP="007D46DA">
      <w:r w:rsidRPr="00E105B1">
        <w:t xml:space="preserve">Access to modern forms of energy, particularly electricity, also play a key role in education Having such access in the home allows students to read and study more easily at night; it also makes more time for </w:t>
      </w:r>
      <w:r w:rsidR="00A84F12" w:rsidRPr="00E105B1">
        <w:t>them to</w:t>
      </w:r>
      <w:r w:rsidRPr="00E105B1">
        <w:t xml:space="preserve"> attend school and to study because they do not have to gather wood or other fuel sources. An analysis of Demographic and Health Survey data for nine countries by the World Bank Independent Evaluation Group found that children in electrified households have higher education levels than those without electricity, even after controlling for parental education, household income, and school facilities </w:t>
      </w:r>
      <w:r w:rsidR="00F7383F" w:rsidRPr="00E105B1">
        <w:fldChar w:fldCharType="begin"/>
      </w:r>
      <w:r w:rsidRPr="00E105B1">
        <w:instrText xml:space="preserve"> ADDIN ZOTERO_ITEM {"citationID":"2gdr4n0lo1","properties":{"formattedCitation":"(World Bank 2008, 46)","plainCitation":"(World Bank 2008, 46)"},"citationItems":[{"id":1191,"uris":["http://zotero.org/groups/4482/items/9KWMM27F"],"uri":["http://zotero.org/groups/4482/items/9KWMM27F"],"locator":"46","label":"page"}]} </w:instrText>
      </w:r>
      <w:r w:rsidR="00F7383F" w:rsidRPr="00E105B1">
        <w:fldChar w:fldCharType="separate"/>
      </w:r>
      <w:r w:rsidRPr="00E105B1">
        <w:t>(World Bank 2008, 46)</w:t>
      </w:r>
      <w:r w:rsidR="00F7383F" w:rsidRPr="00E105B1">
        <w:fldChar w:fldCharType="end"/>
      </w:r>
      <w:r w:rsidRPr="00E105B1">
        <w:t xml:space="preserve">. Schools with access to modern forms of energy provide enhanced educational environments because of better lighting, access to educational tools (television, radio, film, computers), and adequate heating in the winter </w:t>
      </w:r>
      <w:r w:rsidR="00F7383F" w:rsidRPr="00E105B1">
        <w:fldChar w:fldCharType="begin"/>
      </w:r>
      <w:r w:rsidRPr="00E105B1">
        <w:instrText xml:space="preserve"> ADDIN ZOTERO_ITEM {"citationID":"1vqp4ph88k","properties":{"formattedCitation":"{\\rtf (Brenneman and Kerf 2002, 18\\uc0\\u8211{}19)}","plainCitation":"(Brenneman and Kerf 2002, 18–19)"},"citationItems":[{"id":681,"uris":["http://zotero.org/groups/4482/items/Z452ART4"],"uri":["http://zotero.org/groups/4482/items/Z452ART4"],"locator":"18-19","label":"page"}]} </w:instrText>
      </w:r>
      <w:r w:rsidR="00F7383F" w:rsidRPr="00E105B1">
        <w:fldChar w:fldCharType="separate"/>
      </w:r>
      <w:r w:rsidRPr="00E105B1">
        <w:t>(Brenneman and Kerf 2002, 18–19)</w:t>
      </w:r>
      <w:r w:rsidR="00F7383F" w:rsidRPr="00E105B1">
        <w:fldChar w:fldCharType="end"/>
      </w:r>
      <w:r w:rsidRPr="00E105B1">
        <w:t xml:space="preserve">. There is also evidence that schools in remote locations that have electricity are more successful in attracting teachers than schools in similar locations that are not electrified </w:t>
      </w:r>
      <w:r w:rsidR="00F7383F" w:rsidRPr="00E105B1">
        <w:fldChar w:fldCharType="begin"/>
      </w:r>
      <w:r w:rsidRPr="00E105B1">
        <w:instrText xml:space="preserve"> ADDIN ZOTERO_ITEM {"citationID":"OyCmd3uH","properties":{"formattedCitation":"(World Bank 2008, 46)","plainCitation":"(World Bank 2008, 46)"},"citationItems":[{"id":1191,"uris":["http://zotero.org/groups/4482/items/9KWMM27F"],"uri":["http://zotero.org/groups/4482/items/9KWMM27F"],"locator":"46","label":"page"}]} </w:instrText>
      </w:r>
      <w:r w:rsidR="00F7383F" w:rsidRPr="00E105B1">
        <w:fldChar w:fldCharType="separate"/>
      </w:r>
      <w:r w:rsidRPr="00E105B1">
        <w:t>(World Bank 2008, 46)</w:t>
      </w:r>
      <w:r w:rsidR="00F7383F" w:rsidRPr="00E105B1">
        <w:fldChar w:fldCharType="end"/>
      </w:r>
      <w:r w:rsidRPr="00E105B1">
        <w:t>.  More generally, schools themselves are a form of infrastructure (see Box 3.3).</w:t>
      </w:r>
    </w:p>
    <w:p w:rsidR="007D46DA" w:rsidRPr="005C2421" w:rsidRDefault="007D46DA" w:rsidP="007D46DA"/>
    <w:p w:rsidR="007D46DA" w:rsidRPr="005C2421" w:rsidDel="00E72BBF" w:rsidRDefault="00F7383F" w:rsidP="007D46DA">
      <w:r>
        <w:pict>
          <v:shape id="_x0000_s1030" type="#_x0000_t202" style="width:450pt;height:447.1pt;mso-wrap-edited:f;mso-left-percent:-10001;mso-top-percent:-10001;mso-position-horizontal:absolute;mso-position-horizontal-relative:char;mso-position-vertical:absolute;mso-position-vertical-relative:line;mso-left-percent:-10001;mso-top-percent:-10001" wrapcoords="-36 0 -36 21565 21636 21565 21636 0 -36 0" fillcolor="#d8d8d8 [2732]" strokecolor="black [3213]" strokeweight="1pt">
            <v:fill o:detectmouseclick="t"/>
            <v:textbox inset=",7.2pt,,7.2pt">
              <w:txbxContent>
                <w:p w:rsidR="002C11AA" w:rsidRPr="0077612A" w:rsidRDefault="002C11AA" w:rsidP="007D46DA">
                  <w:pPr>
                    <w:rPr>
                      <w:b/>
                      <w:color w:val="000000"/>
                    </w:rPr>
                  </w:pPr>
                  <w:r w:rsidRPr="0077612A">
                    <w:rPr>
                      <w:b/>
                      <w:color w:val="000000"/>
                    </w:rPr>
                    <w:t xml:space="preserve">Box 3.3 Schools as </w:t>
                  </w:r>
                  <w:r w:rsidRPr="0077612A">
                    <w:rPr>
                      <w:b/>
                      <w:color w:val="E75454"/>
                      <w:u w:val="single"/>
                    </w:rPr>
                    <w:t>i</w:t>
                  </w:r>
                  <w:r w:rsidRPr="0077612A">
                    <w:rPr>
                      <w:b/>
                      <w:color w:val="000000"/>
                    </w:rPr>
                    <w:t xml:space="preserve">nfrastructure </w:t>
                  </w:r>
                </w:p>
                <w:p w:rsidR="002C11AA" w:rsidRPr="0077612A" w:rsidRDefault="002C11AA" w:rsidP="007D46DA">
                  <w:pPr>
                    <w:rPr>
                      <w:color w:val="000000"/>
                    </w:rPr>
                  </w:pPr>
                  <w:r w:rsidRPr="0077612A">
                    <w:rPr>
                      <w:color w:val="000000"/>
                    </w:rPr>
                    <w:t>School buildings themselves can be regarded as a form of infrastructure. Indeed, the condition of school buildings can have a major impact on student learning. In Georgia, a multiyear program (1998 to 2002) to rehabilitate rural school buildings across the country increased enrollment and completion rates as the improvements to the buildings, from repaired roofs, windows, pipes, to new sanitary and heating equipment, meant the schools no longer had to close for the winter. Primary and secondary enrollment rates at the improved schools increased by 6 percent between 2000 and 2001, while enrollment in non-improved school districts fell. For the improved schools, secondary completion rates increased by 37 percent as compared to non-improved schools, where the increase was only 24 percent. The incidence of respiratory disease in students, due to inadequate ventilation and heating, decreased by 12 percent (Lokshin and Yemtsov 2004).</w:t>
                  </w:r>
                </w:p>
                <w:p w:rsidR="002C11AA" w:rsidRPr="0077612A" w:rsidRDefault="002C11AA" w:rsidP="007D46DA">
                  <w:pPr>
                    <w:rPr>
                      <w:color w:val="000000"/>
                    </w:rPr>
                  </w:pPr>
                </w:p>
                <w:p w:rsidR="002C11AA" w:rsidRPr="0077612A" w:rsidRDefault="002C11AA" w:rsidP="007D46DA">
                  <w:pPr>
                    <w:rPr>
                      <w:color w:val="000000"/>
                    </w:rPr>
                  </w:pPr>
                  <w:r w:rsidRPr="0077612A">
                    <w:rPr>
                      <w:color w:val="000000"/>
                    </w:rPr>
                    <w:t>Inadequate water and sanitation facilities at schools are a particular barrier to girls. One study of a rural school in South Africa without an on-site water connection noted that female students (but not boys) were expected to leave during school hours to collect water for the school (Devnarain and Matthias 2011). And with respect to sanitation, the Council of Scientific and Industrial Research (2010</w:t>
                  </w:r>
                  <w:r>
                    <w:rPr>
                      <w:color w:val="000000"/>
                    </w:rPr>
                    <w:t>:</w:t>
                  </w:r>
                  <w:r w:rsidRPr="0077612A">
                    <w:rPr>
                      <w:color w:val="000000"/>
                    </w:rPr>
                    <w:t xml:space="preserve"> 41) noted:</w:t>
                  </w:r>
                </w:p>
                <w:p w:rsidR="002C11AA" w:rsidRPr="0077612A" w:rsidRDefault="002C11AA" w:rsidP="007D46DA">
                  <w:pPr>
                    <w:rPr>
                      <w:color w:val="000000"/>
                    </w:rPr>
                  </w:pPr>
                </w:p>
                <w:p w:rsidR="002C11AA" w:rsidRPr="0077612A" w:rsidRDefault="002C11AA" w:rsidP="007D46DA">
                  <w:pPr>
                    <w:ind w:left="720"/>
                    <w:rPr>
                      <w:color w:val="000000"/>
                    </w:rPr>
                  </w:pPr>
                  <w:r w:rsidRPr="0077612A">
                    <w:rPr>
                      <w:color w:val="000000"/>
                    </w:rPr>
                    <w:t xml:space="preserve">Every day—directly because of lack of maintenance of the physical </w:t>
                  </w:r>
                  <w:r>
                    <w:rPr>
                      <w:color w:val="000000"/>
                    </w:rPr>
                    <w:t>I</w:t>
                  </w:r>
                  <w:r w:rsidRPr="0077612A">
                    <w:rPr>
                      <w:color w:val="000000"/>
                    </w:rPr>
                    <w:t>nfrastructure especially the water and sanitation facilities—countless learners at many rural schools are deprived of learning contact hours. Girl students are most affected by this as they often have to go home to find a clean toilet. And due to the long distances they have to walk to school, they then don’t return to school for the rest of the day.</w:t>
                  </w:r>
                </w:p>
                <w:p w:rsidR="002C11AA" w:rsidRPr="0077612A" w:rsidRDefault="002C11AA" w:rsidP="007D46DA">
                  <w:pPr>
                    <w:rPr>
                      <w:color w:val="000000"/>
                    </w:rPr>
                  </w:pPr>
                </w:p>
                <w:p w:rsidR="002C11AA" w:rsidRDefault="002C11AA" w:rsidP="007D46DA">
                  <w:r w:rsidRPr="0077612A">
                    <w:rPr>
                      <w:color w:val="000000"/>
                    </w:rPr>
                    <w:t>The consequences of inadequate (or nonexistent) school sanitation are exacerbated for girls who are menstruating, as documented by a study of adolescent school girls in Nepal that noted, among other things, (1) high rates of absenteeism among menstruating girls in schools that lack private facilities and (2) health complications associated with the use of unhygienic school facilities (WaterAid 2009).</w:t>
                  </w:r>
                </w:p>
              </w:txbxContent>
            </v:textbox>
            <w10:wrap type="none"/>
            <w10:anchorlock/>
          </v:shape>
        </w:pict>
      </w:r>
    </w:p>
    <w:p w:rsidR="007D46DA" w:rsidRPr="005C2421" w:rsidRDefault="007D46DA" w:rsidP="007D46DA"/>
    <w:p w:rsidR="007D46DA" w:rsidRPr="005C2421" w:rsidRDefault="007D46DA" w:rsidP="007D46DA">
      <w:r w:rsidRPr="00E105B1">
        <w:t xml:space="preserve">Similarly, water and sanitation infrastructures can have a significant impact on school enrollment and attendance. Many studies have documented the extensive hours that may be required on a daily or weekly basis to walk to and from water sources to obtain water for livestock and family use in poor rural areas—a task that often is assigned to children and particularly to girls. Summarizing the findings of a number of such studies, Brenneman and Kerf </w:t>
      </w:r>
      <w:r w:rsidR="00F7383F" w:rsidRPr="00E105B1">
        <w:fldChar w:fldCharType="begin"/>
      </w:r>
      <w:r w:rsidRPr="00E105B1">
        <w:instrText xml:space="preserve"> ADDIN ZOTERO_ITEM {"citationID":"20um1ie8dt","properties":{"formattedCitation":"(2002, 105)","plainCitation":"(2002, 105)"},"citationItems":[{"id":681,"uris":["http://zotero.org/groups/4482/items/Z452ART4"],"uri":["http://zotero.org/groups/4482/items/Z452ART4"],"locator":"105","label":"page","suppress-author":true}]} </w:instrText>
      </w:r>
      <w:r w:rsidR="00F7383F" w:rsidRPr="00E105B1">
        <w:fldChar w:fldCharType="separate"/>
      </w:r>
      <w:r w:rsidRPr="00E105B1">
        <w:t>(2002, 105)</w:t>
      </w:r>
      <w:r w:rsidR="00F7383F" w:rsidRPr="00E105B1">
        <w:fldChar w:fldCharType="end"/>
      </w:r>
      <w:r w:rsidRPr="00E105B1">
        <w:t xml:space="preserve"> noted that “Connecting towns or homes to clean sources of potable water that reduce or eliminate the time that children spend collecting water often allows more children of poor families to attend school.” The cleanliness of the water is key as it also encourages more regular attendance and better learning because of the absence of intestinal parasites and other water-borne diseases </w:t>
      </w:r>
      <w:r w:rsidR="00F7383F" w:rsidRPr="00E105B1">
        <w:fldChar w:fldCharType="begin"/>
      </w:r>
      <w:r w:rsidRPr="00E105B1">
        <w:instrText xml:space="preserve"> ADDIN ZOTERO_ITEM {"citationID":"2dih81dr5c","properties":{"formattedCitation":"(Burrows, Acton, and Maunder 2004)","plainCitation":"(Burrows, Acton, and Maunder 2004)"},"citationItems":[{"id":1504,"uris":["http://zotero.org/groups/4482/items/KHEEDEDK"],"uri":["http://zotero.org/groups/4482/items/KHEEDEDK"]}]} </w:instrText>
      </w:r>
      <w:r w:rsidR="00F7383F" w:rsidRPr="00E105B1">
        <w:fldChar w:fldCharType="separate"/>
      </w:r>
      <w:r w:rsidRPr="00E105B1">
        <w:t>(Burrows, Acton, and Maunder 2004)</w:t>
      </w:r>
      <w:r w:rsidR="00F7383F" w:rsidRPr="00E105B1">
        <w:fldChar w:fldCharType="end"/>
      </w:r>
      <w:r w:rsidRPr="00E105B1">
        <w:t>.</w:t>
      </w:r>
    </w:p>
    <w:p w:rsidR="007D46DA" w:rsidRPr="005C2421" w:rsidRDefault="007D46DA" w:rsidP="007D46DA"/>
    <w:p w:rsidR="007D46DA" w:rsidRPr="005C2421" w:rsidRDefault="007D46DA" w:rsidP="007D46DA"/>
    <w:p w:rsidR="007D46DA" w:rsidRPr="005C2421" w:rsidRDefault="007D46DA" w:rsidP="007D46DA">
      <w:r w:rsidRPr="00E105B1">
        <w:t>Obviously no exploration of the connections between infrastructure and education can exclude information and communication technology, at home and in the school. Competence as an educated person now assumes at least a basic computer literacy. Beyond that, use of the internet is frequently presented as a way to expand learning opportunities by connecting both students and teachers with resource-rich environments. Even further, ICT is advocated as a means to enhance educational outcomes through student-centered, active learning rather than passive or rote learning.</w:t>
      </w:r>
    </w:p>
    <w:p w:rsidR="007D46DA" w:rsidRPr="005C2421" w:rsidRDefault="007D46DA" w:rsidP="007D46DA"/>
    <w:p w:rsidR="007D46DA" w:rsidRPr="005C2421" w:rsidRDefault="007D46DA" w:rsidP="007D46DA">
      <w:r w:rsidRPr="00E105B1">
        <w:t xml:space="preserve">A recent report in the World Bank’s ICT and Education Series </w:t>
      </w:r>
      <w:fldSimple w:instr=" ADDIN ZOTERO_ITEM {&quot;citationID&quot;:&quot;2l911im287&quot;,&quot;properties&quot;:{&quot;formattedCitation&quot;:&quot;(Trucano 2005)&quot;,&quot;plainCitation&quot;:&quot;(Trucano 2005)&quot;},&quot;citationItems&quot;:[{&quot;id&quot;:1503,&quot;uris&quot;:[&quot;http://zotero.org/groups/4482/items/HWX6Z43K&quot;],&quot;uri&quot;:[&quot;http://zotero.org/groups/4482/items/HWX6Z43K&quot;]}]} ">
        <w:r w:rsidRPr="00E105B1">
          <w:t>(Trucano 2005)</w:t>
        </w:r>
      </w:fldSimple>
      <w:r w:rsidRPr="00E105B1">
        <w:t xml:space="preserve"> explored what we actually know about the effective uses of information and communication technologies in education in developing countries. Supported by an extensive literature review, Trucano </w:t>
      </w:r>
      <w:r w:rsidR="00F7383F" w:rsidRPr="00E105B1">
        <w:fldChar w:fldCharType="begin"/>
      </w:r>
      <w:r w:rsidRPr="00E105B1">
        <w:instrText xml:space="preserve"> ADDIN ZOTERO_ITEM {"citationID":"1g8pdkm500","properties":{"formattedCitation":"(2005, 6)","plainCitation":"(2005, 6)"},"citationItems":[{"id":1503,"uris":["http://zotero.org/groups/4482/items/HWX6Z43K"],"uri":["http://zotero.org/groups/4482/items/HWX6Z43K"],"locator":"6","label":"page","suppress-author":true}]} </w:instrText>
      </w:r>
      <w:r w:rsidR="00F7383F" w:rsidRPr="00E105B1">
        <w:fldChar w:fldCharType="separate"/>
      </w:r>
      <w:r w:rsidRPr="00E105B1">
        <w:t>(2005, 6)</w:t>
      </w:r>
      <w:r w:rsidR="00F7383F" w:rsidRPr="00E105B1">
        <w:fldChar w:fldCharType="end"/>
      </w:r>
      <w:r w:rsidRPr="00E105B1">
        <w:t xml:space="preserve"> concluded that “In general, and despite thousands of impact studies, the impact of ICT use on student achievement remains difficult to measure and open to much reasonable debate.” A lack of comparative international studies and of a common set of indicators contributed to this mixed finding.</w:t>
      </w:r>
    </w:p>
    <w:p w:rsidR="007D46DA" w:rsidRPr="005C2421" w:rsidRDefault="007D46DA" w:rsidP="007D46DA"/>
    <w:p w:rsidR="007D46DA" w:rsidRPr="005C2421" w:rsidRDefault="007D46DA" w:rsidP="007D46DA">
      <w:r w:rsidRPr="00E105B1">
        <w:t xml:space="preserve">Much of the conflicting evidence on ICT’s impact on education stems from the widely varying circumstances of its use in different settings. Schools in rural areas of developing countries often lack access to electricity (either totally or reliably) or the means to acquire batteries to power electronics. If they are able to obtain electronic equipment, they may not be able to maintain or replace it. And even if they do, its educational potential will be under-realized if it is not meaningfully integrated with the broader curriculum, which requires not only professional support and training for teachers but also broader education system support, which may be slow in coming if a culture has a tradition of rote learning. With professional development opportunities for teachers and with system support, however, there is evidence that ICT can enhance education in developing countries. For example, Light </w:t>
      </w:r>
      <w:fldSimple w:instr=" ADDIN ZOTERO_ITEM {&quot;citationID&quot;:&quot;218hpffech&quot;,&quot;properties&quot;:{&quot;formattedCitation&quot;:&quot;(2009)&quot;,&quot;plainCitation&quot;:&quot;(2009)&quot;},&quot;citationItems&quot;:[{&quot;id&quot;:1499,&quot;uris&quot;:[&quot;http://zotero.org/groups/4482/items/743ZC4UJ&quot;],&quot;uri&quot;:[&quot;http://zotero.org/groups/4482/items/743ZC4UJ&quot;],&quot;suppress-author&quot;:true}]} ">
        <w:r w:rsidRPr="00E105B1">
          <w:t>(2009)</w:t>
        </w:r>
      </w:fldSimple>
      <w:r w:rsidRPr="00E105B1">
        <w:t xml:space="preserve"> reported the positive impacts on student-centered learning of an Intel professional education program for teachers at six schools in Chile, India, and Turkey, where one criterion for school selection was that they not have privileged access to resources, technology, or funds. </w:t>
      </w:r>
    </w:p>
    <w:p w:rsidR="007D46DA" w:rsidRPr="005C2421" w:rsidRDefault="007D46DA" w:rsidP="007D46DA"/>
    <w:p w:rsidR="007D46DA" w:rsidRPr="005C2421" w:rsidRDefault="007D46DA" w:rsidP="007D46DA">
      <w:r w:rsidRPr="00E105B1">
        <w:t>Distance education, often with UNESCO and World Bank support, is in fact being used to deliver a variety of tertiary and professional development programs (not just teacher education) in many developing countries, particularly in Southeast Asia and in sub-Saharan Africa. It is often adopted as a way of reducing the very high per-student costs of tertiary program delivery in many developing countries, and of providing a means for rapid expansion of enrollment levels without having to build-out and maintain new or expanded physical campuses and faculties.  For example, a 2009 World Bank report focusing on tertiary education for growth in sub-Saharan Africa stated:</w:t>
      </w:r>
    </w:p>
    <w:p w:rsidR="007D46DA" w:rsidRPr="005C2421" w:rsidRDefault="007D46DA" w:rsidP="007D46DA"/>
    <w:p w:rsidR="007D46DA" w:rsidRPr="005C2421" w:rsidRDefault="007D46DA" w:rsidP="007D46DA">
      <w:pPr>
        <w:ind w:left="864" w:right="864"/>
      </w:pPr>
      <w:r w:rsidRPr="00E105B1">
        <w:t xml:space="preserve">Traditional face-to-face models of delivering postsecondary education are expensive and can limit developing country capacities for further enrollment expansion. ... Alternative, lower-cost delivery models are needed if educational access is to grow in the years ahead. Fortunately, the elements of such a transformation are becoming discernible. They include lifelong learning, ICT applications to education, on-line distance education, open source courses, self-paced learning, and educational gameware </w:t>
      </w:r>
      <w:r w:rsidR="00F7383F" w:rsidRPr="00E105B1">
        <w:fldChar w:fldCharType="begin"/>
      </w:r>
      <w:r w:rsidRPr="00E105B1">
        <w:instrText xml:space="preserve"> ADDIN ZOTERO_ITEM {"citationID":"1hqt0ulucu","properties":{"formattedCitation":"(World Bank 2009, 109)","plainCitation":"(World Bank 2009, 109)"},"citationItems":[{"id":1534,"uris":["http://zotero.org/groups/4482/items/C872BNB5"],"uri":["http://zotero.org/groups/4482/items/C872BNB5"],"locator":"109","label":"page"}]} </w:instrText>
      </w:r>
      <w:r w:rsidR="00F7383F" w:rsidRPr="00E105B1">
        <w:fldChar w:fldCharType="separate"/>
      </w:r>
      <w:r w:rsidRPr="00E105B1">
        <w:t>(World Bank 2009, 109)</w:t>
      </w:r>
      <w:r w:rsidR="00F7383F" w:rsidRPr="00E105B1">
        <w:fldChar w:fldCharType="end"/>
      </w:r>
      <w:r w:rsidRPr="00E105B1">
        <w:t>.</w:t>
      </w:r>
    </w:p>
    <w:p w:rsidR="007D46DA" w:rsidRPr="005C2421" w:rsidRDefault="007D46DA" w:rsidP="007D46DA">
      <w:pPr>
        <w:ind w:left="720" w:right="720"/>
      </w:pPr>
    </w:p>
    <w:p w:rsidR="007D46DA" w:rsidRPr="005C2421" w:rsidRDefault="007D46DA" w:rsidP="007D46DA">
      <w:r w:rsidRPr="00E105B1">
        <w:t>These types of programs are increasingly being offered both by existing institutions and open universities set up solely for such purposes. Enrollments in many distance education programs have grown rapidly and can be very large for relatively small numbers of teaching and administrative personnel—the website of the National Open University of Nigeria</w:t>
      </w:r>
      <w:r>
        <w:rPr>
          <w:rStyle w:val="FootnoteReference"/>
        </w:rPr>
        <w:footnoteReference w:id="42"/>
      </w:r>
      <w:r w:rsidRPr="00E105B1">
        <w:t xml:space="preserve">, for example, refers to 32,400 students enrolled in over 50 courses of study with a total headquarters academic, technology, administrative, and support staff of only198 persons. </w:t>
      </w:r>
    </w:p>
    <w:p w:rsidR="007D46DA" w:rsidRPr="005C2421" w:rsidRDefault="007D46DA" w:rsidP="007D46DA"/>
    <w:p w:rsidR="007D46DA" w:rsidRPr="005C2421" w:rsidRDefault="007D46DA" w:rsidP="007D46DA">
      <w:r w:rsidRPr="00E105B1">
        <w:t xml:space="preserve">A number of issues have accompanied the promise of distance education programs. One is the need for reliable technology for delivery for the programs. Another is the quality of the programs.And finally, some authors express concern that distance education may in fact be increasing the “educational divide” because of “the IT access gap . . . between haves and haves not in developing countries” </w:t>
      </w:r>
      <w:r w:rsidR="00F7383F" w:rsidRPr="00E105B1">
        <w:fldChar w:fldCharType="begin"/>
      </w:r>
      <w:r w:rsidRPr="00E105B1">
        <w:instrText xml:space="preserve"> ADDIN ZOTERO_ITEM {"citationID":"2l6nd2rt3c","properties":{"formattedCitation":"(Gulati 2008, unpaginated)","plainCitation":"(Gulati 2008, unpaginated)"},"citationItems":[{"id":1533,"uris":["http://zotero.org/groups/4482/items/9A8KIXH6"],"uri":["http://zotero.org/groups/4482/items/9A8KIXH6"],"locator":"unpaginated","label":"page"}]} </w:instrText>
      </w:r>
      <w:r w:rsidR="00F7383F" w:rsidRPr="00E105B1">
        <w:fldChar w:fldCharType="separate"/>
      </w:r>
      <w:r w:rsidRPr="00E105B1">
        <w:t>(Gulati 2008, unpaginated)</w:t>
      </w:r>
      <w:r w:rsidR="00F7383F" w:rsidRPr="00E105B1">
        <w:fldChar w:fldCharType="end"/>
      </w:r>
      <w:r w:rsidRPr="00E105B1">
        <w:t xml:space="preserve">, even as other reports note that distance education has improved opportunities for students living in rural areas and women </w:t>
      </w:r>
      <w:fldSimple w:instr=" ADDIN ZOTERO_ITEM {&quot;citationID&quot;:&quot;Xix5v5wm&quot;,&quot;properties&quot;:{&quot;formattedCitation&quot;:&quot;(UNESCO 2003, 11)&quot;,&quot;plainCitation&quot;:&quot;(UNESCO 2003, 11)&quot;},&quot;citationItems&quot;:[{&quot;id&quot;:1615,&quot;uris&quot;:[&quot;http://zotero.org/groups/4482/items/C2C6SI43&quot;],&quot;uri&quot;:[&quot;http://zotero.org/groups/4482/items/C2C6SI43&quot;],&quot;locator&quot;:&quot;11&quot;}]} ">
        <w:r w:rsidRPr="00E105B1">
          <w:rPr>
            <w:noProof/>
          </w:rPr>
          <w:t>(UNESCO 2003, 11)</w:t>
        </w:r>
      </w:fldSimple>
      <w:r w:rsidRPr="00E105B1">
        <w:t>.</w:t>
      </w:r>
    </w:p>
    <w:p w:rsidR="007D46DA" w:rsidRPr="005C2421" w:rsidRDefault="007D46DA" w:rsidP="007D46DA"/>
    <w:p w:rsidR="007D46DA" w:rsidRPr="005C2421" w:rsidRDefault="007D46DA" w:rsidP="007D46DA">
      <w:r w:rsidRPr="00E105B1">
        <w:t>Fewer studies have looked at the links between infrastructure and education in developed countries. In one brief analysis</w:t>
      </w:r>
      <w:r>
        <w:rPr>
          <w:rStyle w:val="FootnoteReference"/>
        </w:rPr>
        <w:t xml:space="preserve"> </w:t>
      </w:r>
      <w:r>
        <w:rPr>
          <w:rStyle w:val="FootnoteReference"/>
        </w:rPr>
        <w:footnoteReference w:id="43"/>
      </w:r>
      <w:r w:rsidRPr="00E105B1">
        <w:t>, the OECD’s former Programme on Educational Building (now the Centre for Effective Learning Environments) compared scores on learning outcomes measured as part of the OECD’s Programme for International Student Assessment (PISA) against an index of school infrastructure quality using 2003 data.</w:t>
      </w:r>
      <w:r>
        <w:rPr>
          <w:rStyle w:val="FootnoteReference"/>
        </w:rPr>
        <w:t xml:space="preserve"> </w:t>
      </w:r>
      <w:r w:rsidRPr="00E105B1">
        <w:t xml:space="preserve"> This index was based on (1) school buildings and grounds; (2) heating, cooling, and lighting systems; and (3) instructional space. They did not find a strong indication of a relationship; for example, only 1 percent of the variation in math performance was explained by school infrastructure quality. However, they also express caution about this conclusion, noting that they were looking at a relatively small sample, the measure of infrastructure quality relied “on the judgment of school principals rather than on external observations or the views of students and teachers”, and that “data may be subject to social desirability of responses and to cross-cultural and linguistic differences.”</w:t>
      </w:r>
    </w:p>
    <w:p w:rsidR="007D46DA" w:rsidRPr="005C2421" w:rsidRDefault="007D46DA" w:rsidP="007D46DA"/>
    <w:p w:rsidR="007D46DA" w:rsidRPr="005C2421" w:rsidRDefault="007D46DA" w:rsidP="007D46DA">
      <w:r w:rsidRPr="00E105B1">
        <w:t xml:space="preserve">A more recent study explored the relationship between computer use and the performance of 15-year-olds on the science component of PISA in all 30 OECD member countries and 27 partner countries participating in the PISA 2006 assessment </w:t>
      </w:r>
      <w:r w:rsidR="00F7383F" w:rsidRPr="00E105B1">
        <w:fldChar w:fldCharType="begin"/>
      </w:r>
      <w:r w:rsidRPr="00E105B1">
        <w:instrText xml:space="preserve"> ADDIN ZOTERO_ITEM {"citationID":"B2MKEPkO","properties":{"formattedCitation":"(Organisation for Economic Cooperation and Development (OECD) 2010a)","plainCitation":"(Organisation for Economic Cooperation and Development (OECD) 2010a)"},"citationItems":[{"id":1501,"uris":["http://zotero.org/groups/4482/items/7PTDP24M"],"uri":["http://zotero.org/groups/4482/items/7PTDP24M"]}]} </w:instrText>
      </w:r>
      <w:r w:rsidR="00F7383F" w:rsidRPr="00E105B1">
        <w:fldChar w:fldCharType="separate"/>
      </w:r>
      <w:r w:rsidRPr="00E105B1">
        <w:t>(Organisation for Economic Cooperation and Development (OECD) 2010a)</w:t>
      </w:r>
      <w:r w:rsidR="00F7383F" w:rsidRPr="00E105B1">
        <w:fldChar w:fldCharType="end"/>
      </w:r>
      <w:r w:rsidRPr="00E105B1">
        <w:t xml:space="preserve">. A subset of this group (variously reported as 25 OECD countries and 14 partner countries </w:t>
      </w:r>
      <w:r w:rsidR="00F7383F" w:rsidRPr="00E105B1">
        <w:fldChar w:fldCharType="begin"/>
      </w:r>
      <w:r w:rsidRPr="00E105B1">
        <w:instrText xml:space="preserve"> ADDIN ZOTERO_ITEM {"citationID":"2m5vq2mtju","properties":{"formattedCitation":"(Organisation for Economic Cooperation and Development (OECD) 2010a, 19)","plainCitation":"(Organisation for Economic Cooperation and Development (OECD) 2010a, 19)"},"citationItems":[{"id":1501,"uris":["http://zotero.org/groups/4482/items/7PTDP24M"],"uri":["http://zotero.org/groups/4482/items/7PTDP24M"],"locator":"19","label":"page"}]} </w:instrText>
      </w:r>
      <w:r w:rsidR="00F7383F" w:rsidRPr="00E105B1">
        <w:fldChar w:fldCharType="separate"/>
      </w:r>
      <w:r w:rsidRPr="00E105B1">
        <w:t>(Organisation for Economic Cooperation and Development (OECD) 2010a, 19)</w:t>
      </w:r>
      <w:r w:rsidR="00F7383F" w:rsidRPr="00E105B1">
        <w:fldChar w:fldCharType="end"/>
      </w:r>
      <w:r w:rsidRPr="00E105B1">
        <w:t xml:space="preserve"> and 23 OECD and 10 partner countries </w:t>
      </w:r>
      <w:r w:rsidR="00F7383F" w:rsidRPr="00E105B1">
        <w:fldChar w:fldCharType="begin"/>
      </w:r>
      <w:r w:rsidRPr="00E105B1">
        <w:instrText xml:space="preserve"> ADDIN ZOTERO_ITEM {"citationID":"niDaLXS8","properties":{"formattedCitation":"(Organisation for Economic Cooperation and Development (OECD) 2010a, 141)","plainCitation":"(Organisation for Economic Cooperation and Development (OECD) 2010a, 141)"},"citationItems":[{"id":1501,"uris":["http://zotero.org/groups/4482/items/7PTDP24M"],"uri":["http://zotero.org/groups/4482/items/7PTDP24M"],"locator":"141","label":"page"}]} </w:instrText>
      </w:r>
      <w:r w:rsidR="00F7383F" w:rsidRPr="00E105B1">
        <w:fldChar w:fldCharType="separate"/>
      </w:r>
      <w:r w:rsidRPr="00E105B1">
        <w:t>(Organisation for Economic Cooperation and Development (OECD) 2010a, 141)</w:t>
      </w:r>
      <w:r w:rsidR="00F7383F" w:rsidRPr="00E105B1">
        <w:fldChar w:fldCharType="end"/>
      </w:r>
      <w:r w:rsidRPr="00E105B1">
        <w:t xml:space="preserve">), participated in a special technology survey that allowed more extensive analysis of drivers of the outcomes. The study found that a higher frequency of computer use was associated with higher average science scores in all of the countries considered </w:t>
      </w:r>
      <w:r w:rsidR="00F7383F" w:rsidRPr="00E105B1">
        <w:fldChar w:fldCharType="begin"/>
      </w:r>
      <w:r w:rsidRPr="00E105B1">
        <w:instrText xml:space="preserve"> ADDIN ZOTERO_ITEM {"citationID":"K0uHDv9U","properties":{"formattedCitation":"(Organisation for Economic Cooperation and Development (OECD) 2010a, 150)","plainCitation":"(Organisation for Economic Cooperation and Development (OECD) 2010a, 150)"},"citationItems":[{"id":1501,"uris":["http://zotero.org/groups/4482/items/7PTDP24M"],"uri":["http://zotero.org/groups/4482/items/7PTDP24M"],"locator":"150","label":"page"}]} </w:instrText>
      </w:r>
      <w:r w:rsidR="00F7383F" w:rsidRPr="00E105B1">
        <w:fldChar w:fldCharType="separate"/>
      </w:r>
      <w:r w:rsidRPr="00E105B1">
        <w:t>(Organisation for Economic Cooperation and Development (OECD) 2010a, 150)</w:t>
      </w:r>
      <w:r w:rsidR="00F7383F" w:rsidRPr="00E105B1">
        <w:fldChar w:fldCharType="end"/>
      </w:r>
      <w:r w:rsidRPr="00E105B1">
        <w:t>. However, other variables also affected the impact of a given frequency of computer use:</w:t>
      </w:r>
    </w:p>
    <w:p w:rsidR="007D46DA" w:rsidRPr="005C2421" w:rsidRDefault="007D46DA" w:rsidP="007D46DA"/>
    <w:p w:rsidR="007D46DA" w:rsidRPr="005C2421" w:rsidRDefault="007D46DA" w:rsidP="007D46DA">
      <w:pPr>
        <w:ind w:left="1152" w:right="720"/>
      </w:pPr>
      <w:r w:rsidRPr="00E105B1">
        <w:t xml:space="preserve">One of the most striking findings of this study is that the digital divide in education goes beyond the issue of access to technology. A second digital divide separates those with the competencies and skills to benefit from computer use from those who do not. These competencies and skills are closely linked to students’ economic, cultural and social capital </w:t>
      </w:r>
      <w:r w:rsidR="00F7383F" w:rsidRPr="00E105B1">
        <w:fldChar w:fldCharType="begin"/>
      </w:r>
      <w:r w:rsidRPr="00E105B1">
        <w:instrText xml:space="preserve"> ADDIN ZOTERO_ITEM {"citationID":"itqmGf6i","properties":{"formattedCitation":"(Organisation for Economic Cooperation and Development (OECD) 2010a, 3)","plainCitation":"(Organisation for Economic Cooperation and Development (OECD) 2010a, 3)"},"citationItems":[{"id":1501,"uris":["http://zotero.org/groups/4482/items/7PTDP24M"],"uri":["http://zotero.org/groups/4482/items/7PTDP24M"],"locator":"3","label":"page"}]} </w:instrText>
      </w:r>
      <w:r w:rsidR="00F7383F" w:rsidRPr="00E105B1">
        <w:fldChar w:fldCharType="separate"/>
      </w:r>
      <w:r w:rsidRPr="00E105B1">
        <w:t>(Organisation for Economic Cooperation and Development (OECD) 2010a, 3)</w:t>
      </w:r>
      <w:r w:rsidR="00F7383F" w:rsidRPr="00E105B1">
        <w:fldChar w:fldCharType="end"/>
      </w:r>
      <w:r w:rsidRPr="00E105B1">
        <w:t>.</w:t>
      </w:r>
    </w:p>
    <w:p w:rsidR="007D46DA" w:rsidRPr="005C2421" w:rsidRDefault="007D46DA" w:rsidP="007D46DA">
      <w:pPr>
        <w:ind w:left="1152" w:right="720"/>
      </w:pPr>
    </w:p>
    <w:p w:rsidR="00A84F12" w:rsidRDefault="007D46DA" w:rsidP="00877E30">
      <w:pPr>
        <w:pStyle w:val="Heading3"/>
        <w:numPr>
          <w:ilvl w:val="2"/>
          <w:numId w:val="31"/>
        </w:numPr>
      </w:pPr>
      <w:bookmarkStart w:id="74" w:name="_Toc199583380"/>
      <w:bookmarkStart w:id="75" w:name="_Toc200095282"/>
      <w:r w:rsidRPr="005C2421">
        <w:t xml:space="preserve">Infrastructure and </w:t>
      </w:r>
      <w:r>
        <w:t>g</w:t>
      </w:r>
      <w:r w:rsidRPr="005C2421">
        <w:t>overnance</w:t>
      </w:r>
      <w:bookmarkEnd w:id="74"/>
      <w:bookmarkEnd w:id="75"/>
    </w:p>
    <w:p w:rsidR="007D46DA" w:rsidRPr="005C2421" w:rsidRDefault="007D46DA" w:rsidP="007D46DA">
      <w:r w:rsidRPr="005C2421">
        <w:t xml:space="preserve">The final volume in the Patterns of Potential Human Progress series will focus on strengthening state governance. That volume will measure and analyze the concept of governance along three axes: security, capacity, and inclusiveness. Security is fundamental to the very existence of the state and governance; it involves territorial control and protection, the exertion of authority, and the basic knitting of a population together.  Capacity requires the ability to mobilize resources and to use them effectively.  Inclusion extends participation and the benefits of the state's activities to the broad population, not simply a small elite. </w:t>
      </w:r>
    </w:p>
    <w:p w:rsidR="007D46DA" w:rsidRPr="005C2421" w:rsidRDefault="007D46DA" w:rsidP="007D46DA"/>
    <w:p w:rsidR="007D46DA" w:rsidRPr="005C2421" w:rsidRDefault="007D46DA" w:rsidP="007D46DA">
      <w:r w:rsidRPr="00E105B1">
        <w:t xml:space="preserve">It is primarily capacity and inclusion on which the World Bank focused when it defined governance as “the manner in which power is exercised in the management of a country’s economic and social resources for development” </w:t>
      </w:r>
      <w:r w:rsidR="00F7383F" w:rsidRPr="00E105B1">
        <w:fldChar w:fldCharType="begin"/>
      </w:r>
      <w:r w:rsidRPr="00E105B1">
        <w:instrText xml:space="preserve"> ADDIN ZOTERO_ITEM {"citationID":"26fdtserch","properties":{"formattedCitation":"(World Bank 1991, 1)","plainCitation":"(World Bank 1991, 1)"},"citationItems":[{"id":1507,"uris":["http://zotero.org/groups/4482/items/343UDBK7"],"uri":["http://zotero.org/groups/4482/items/343UDBK7"],"locator":"1","label":"page"}]} </w:instrText>
      </w:r>
      <w:r w:rsidR="00F7383F" w:rsidRPr="00E105B1">
        <w:fldChar w:fldCharType="separate"/>
      </w:r>
      <w:r w:rsidRPr="00E105B1">
        <w:t>(World Bank 1991, 1)</w:t>
      </w:r>
      <w:r w:rsidR="00F7383F" w:rsidRPr="00E105B1">
        <w:fldChar w:fldCharType="end"/>
      </w:r>
      <w:r w:rsidRPr="00E105B1">
        <w:t xml:space="preserve">. As for what makes for good governance, the United Nations Development Programme (UNDP) identifies nine main characteristics of a ‘good’ system of governance: 1) a broad level of participation in decision-making processes; 2) established rule of law; 3) transparency at all government levels; 4) high responsiveness to stakeholders; 5) a consensus based orientation; 6) promotion of an equitable distribution of resources; 7) effectiveness and efficiency; 8) accountability to the public and stakeholders; 9) a long-term strategic vision for continued good governance and human development </w:t>
      </w:r>
      <w:r w:rsidR="00F7383F" w:rsidRPr="00E105B1">
        <w:fldChar w:fldCharType="begin"/>
      </w:r>
      <w:r w:rsidRPr="00E105B1">
        <w:instrText xml:space="preserve"> ADDIN ZOTERO_ITEM {"citationID":"24q68j7c21","properties":{"formattedCitation":"(United Nations Development Programme (UNDP) 1997, 5)","plainCitation":"(United Nations Development Programme (UNDP) 1997, 5)"},"citationItems":[{"id":1508,"uris":["http://zotero.org/groups/4482/items/476MID5K"],"uri":["http://zotero.org/groups/4482/items/476MID5K"],"locator":"5","label":"page"}]} </w:instrText>
      </w:r>
      <w:r w:rsidR="00F7383F" w:rsidRPr="00E105B1">
        <w:fldChar w:fldCharType="separate"/>
      </w:r>
      <w:r w:rsidRPr="00E105B1">
        <w:t>(United Nations Development Programme (UNDP) 1997, 5)</w:t>
      </w:r>
      <w:r w:rsidR="00F7383F" w:rsidRPr="00E105B1">
        <w:fldChar w:fldCharType="end"/>
      </w:r>
      <w:r w:rsidRPr="00E105B1">
        <w:t>.</w:t>
      </w:r>
    </w:p>
    <w:p w:rsidR="007D46DA" w:rsidRPr="005C2421" w:rsidRDefault="007D46DA" w:rsidP="007D46DA"/>
    <w:p w:rsidR="007D46DA" w:rsidRPr="005C2421" w:rsidRDefault="007D46DA" w:rsidP="007D46DA">
      <w:r w:rsidRPr="00E105B1">
        <w:t xml:space="preserve">We should not, however, forget the fundamental importance of physical infrastructure in the very creation and protection of the state, in both autocratic and democratic forms.  Ruling sovereigns and elites have long recognized that transportation infrastructure, such as roads, canals, and rail lines are essential for their ability to provide basic order and to exert their power within their territory, as well as to protect that territory and its people. The development of the Roman road system and the German autobahn system both had those motivations, as well as that of facilitating economic intercourse and development. Roads, rail and air enable the movement of people and ideas, shrinking distances and providing physical links among populations. They also help to bridge the gaps between a state’s core and peripheries and between urban and rural centers. Infrastructure is the physical manifestation of the knitting together of a state; its multiple guises are the ‘sinews’ of nations </w:t>
      </w:r>
      <w:r w:rsidR="00F7383F" w:rsidRPr="00E105B1">
        <w:fldChar w:fldCharType="begin"/>
      </w:r>
      <w:r w:rsidRPr="00E105B1">
        <w:instrText xml:space="preserve"> ADDIN ZOTERO_ITEM {"citationID":"HWzwDPGZ","properties":{"formattedCitation":"(Webley 1985)","plainCitation":"(Webley 1985)"},"citationItems":[{"id":1096,"uris":["http://zotero.org/groups/7613/items/CJ7NZ9GB","http://zotero.org/groups/4482/items/6RATN364"],"uri":["http://zotero.org/groups/7613/items/CJ7NZ9GB","http://zotero.org/groups/4482/items/6RATN364"]}]} </w:instrText>
      </w:r>
      <w:r w:rsidR="00F7383F" w:rsidRPr="00E105B1">
        <w:fldChar w:fldCharType="separate"/>
      </w:r>
      <w:r w:rsidRPr="00E105B1">
        <w:t>(Webley 1985)</w:t>
      </w:r>
      <w:r w:rsidR="00F7383F" w:rsidRPr="00E105B1">
        <w:fldChar w:fldCharType="end"/>
      </w:r>
      <w:r w:rsidRPr="00E105B1">
        <w:t xml:space="preserve">.  </w:t>
      </w:r>
    </w:p>
    <w:p w:rsidR="007D46DA" w:rsidRPr="005C2421" w:rsidRDefault="007D46DA" w:rsidP="007D46DA"/>
    <w:p w:rsidR="007D46DA" w:rsidRPr="005C2421" w:rsidRDefault="007D46DA" w:rsidP="007D46DA">
      <w:r w:rsidRPr="00E105B1">
        <w:t xml:space="preserve">We have earlier discussed the importance of infrastructure for the basic safety and health of the population, for its education, and for economic development.  Providing infrastructure systems thereby enhance the foundations of security and power of the state, and the costs of doing so also motivate it to improve its capacity to extract and use resources for its own benefit and for that of its all-important citizenry—even before that citizenry might be much involved in the processes of governance.  Fundamental to such resource extraction has been the development of knowledge systems to count the population and measure its wealth.  It is no accident that the Domesday Book of 1086 in England listed and assessed the households of the day, preceding the development of one of the first modern states, or that all modern countries put great weight on censuses, even sometimes building the requirement for them into constitutions.  It is also no accident that, given the large sums involved in big public projects and the very substantial ongoing sums tied to such activities as waste collection, provision of infrastructure has also created many incentives for corruption in government and misuse of those extracted resources </w:t>
      </w:r>
      <w:r w:rsidR="00F7383F" w:rsidRPr="00E105B1">
        <w:fldChar w:fldCharType="begin"/>
      </w:r>
      <w:r w:rsidRPr="00E105B1">
        <w:instrText xml:space="preserve"> ADDIN ZOTERO_ITEM {"citationID":"2lC3MoLF","properties":{"formattedCitation":"{\\rtf (Rose-Ackerman 1999, 27\\uc0\\u8211{}38; Campos and Pradhan 2007)}","plainCitation":"(Rose-Ackerman 1999, 27–38; Campos and Pradhan 2007)"},"citationItems":[{"id":1120,"uris":["http://zotero.org/groups/4482/items/JTSTDFFV"],"uri":["http://zotero.org/groups/4482/items/JTSTDFFV"],"locator":"27-38","label":"page"},{"id":1542,"uris":["http://zotero.org/groups/4482/items/48TX6I87"],"uri":["http://zotero.org/groups/4482/items/48TX6I87"],"label":"page"}]} </w:instrText>
      </w:r>
      <w:r w:rsidR="00F7383F" w:rsidRPr="00E105B1">
        <w:fldChar w:fldCharType="separate"/>
      </w:r>
      <w:r w:rsidRPr="00E105B1">
        <w:t>(Rose-Ackerman 1999, 27–38; Campos and Pradhan 2007)</w:t>
      </w:r>
      <w:r w:rsidR="00F7383F" w:rsidRPr="00E105B1">
        <w:fldChar w:fldCharType="end"/>
      </w:r>
      <w:r w:rsidRPr="00E105B1">
        <w:t>.</w:t>
      </w:r>
    </w:p>
    <w:p w:rsidR="007D46DA" w:rsidRPr="005C2421" w:rsidRDefault="007D46DA" w:rsidP="007D46DA"/>
    <w:p w:rsidR="007D46DA" w:rsidRPr="005C2421" w:rsidRDefault="007D46DA" w:rsidP="007D46DA">
      <w:r w:rsidRPr="00E105B1">
        <w:t>At the beginning of this chapter, we described infrastructure’s relationship to development as a co-evolutionary one, with each influencing the other. It should come as little surprise then that infrastructure and good governance share a similar relationship, as good governance is of central importance for increasing human development, while human development facilitates improved governance.   Across the last two centuries the concept of participation by a broad citizenry has moved sharply ahead around the world, both in terms of the formal institutions of democracy and with respect to the practice of widespread and deep citizen involvement.  Thus the interactions between infrastructure, society, and government can create a virtuous cycle driving further development.</w:t>
      </w:r>
    </w:p>
    <w:p w:rsidR="007D46DA" w:rsidRPr="005C2421" w:rsidRDefault="007D46DA" w:rsidP="007D46DA"/>
    <w:p w:rsidR="007D46DA" w:rsidRPr="005C2421" w:rsidRDefault="007D46DA" w:rsidP="007D46DA">
      <w:r w:rsidRPr="00E105B1">
        <w:t>Information flows have become ever more important in the two-way linkage between governments and societies.  Information is needed in order for a government to make decisions and information is needed for the public to be able to participate in the decision making process; flow of information also helps ensure transparency within the government. The transmission of information is one of infrastructure’s most basic functions.  Such flows can also, of course, create the ability for authoritarian governments to monitor and suppress their citizenry.</w:t>
      </w:r>
    </w:p>
    <w:p w:rsidR="007D46DA" w:rsidRPr="005C2421" w:rsidRDefault="007D46DA" w:rsidP="007D46DA"/>
    <w:p w:rsidR="007D46DA" w:rsidRPr="005C2421" w:rsidRDefault="007D46DA" w:rsidP="007D46DA">
      <w:r w:rsidRPr="00E105B1">
        <w:t xml:space="preserve">In the modern era ICT thus plays critical and seemingly ever more important roles in governance </w:t>
      </w:r>
      <w:r w:rsidR="00F7383F" w:rsidRPr="00E105B1">
        <w:fldChar w:fldCharType="begin"/>
      </w:r>
      <w:r w:rsidRPr="00E105B1">
        <w:instrText xml:space="preserve"> ADDIN ZOTERO_ITEM {"citationID":"zGp8TtLW","properties":{"formattedCitation":"(United Nations Development Programme (UNDP) 2012)","plainCitation":"(United Nations Development Programme (UNDP) 2012)"},"citationItems":[{"id":1560,"uris":["http://zotero.org/groups/4482/items/SERQGP7R"],"uri":["http://zotero.org/groups/4482/items/SERQGP7R"]}]} </w:instrText>
      </w:r>
      <w:r w:rsidR="00F7383F" w:rsidRPr="00E105B1">
        <w:fldChar w:fldCharType="separate"/>
      </w:r>
      <w:r w:rsidRPr="00E105B1">
        <w:rPr>
          <w:noProof/>
        </w:rPr>
        <w:t>(United Nations Development Programme (UNDP) 2012)</w:t>
      </w:r>
      <w:r w:rsidR="00F7383F" w:rsidRPr="00E105B1">
        <w:fldChar w:fldCharType="end"/>
      </w:r>
      <w:r w:rsidRPr="00E105B1">
        <w:t xml:space="preserve">. The data it carries allows users to track their governments’ activities and also provides dynamic feedback from the public so that governments might provide services more effectively and efficiently—what Miscuraca, Reid, and Deakin </w:t>
      </w:r>
      <w:r w:rsidR="00F7383F" w:rsidRPr="00E105B1">
        <w:fldChar w:fldCharType="begin"/>
      </w:r>
      <w:r w:rsidRPr="00E105B1">
        <w:instrText xml:space="preserve"> ADDIN ZOTERO_ITEM {"citationID":"ohqqsagq4","properties":{"formattedCitation":"(2011, 7)","plainCitation":"(2011, 7)"},"citationItems":[{"id":1511,"uris":["http://zotero.org/groups/4482/items/FKW4B9SA"],"uri":["http://zotero.org/groups/4482/items/FKW4B9SA"],"locator":"7","label":"page","suppress-author":true}]} </w:instrText>
      </w:r>
      <w:r w:rsidR="00F7383F" w:rsidRPr="00E105B1">
        <w:fldChar w:fldCharType="separate"/>
      </w:r>
      <w:r w:rsidRPr="00E105B1">
        <w:t>(2011, 7)</w:t>
      </w:r>
      <w:r w:rsidR="00F7383F" w:rsidRPr="00E105B1">
        <w:fldChar w:fldCharType="end"/>
      </w:r>
      <w:r w:rsidRPr="00E105B1">
        <w:t xml:space="preserve"> call “ICT-enabled governance,” or, more generally, e-governance, which the International Institute for Communication and Development (IICD) defines as:</w:t>
      </w:r>
    </w:p>
    <w:p w:rsidR="007D46DA" w:rsidRPr="005C2421" w:rsidRDefault="007D46DA" w:rsidP="007D46DA"/>
    <w:p w:rsidR="007D46DA" w:rsidRPr="005C2421" w:rsidRDefault="007D46DA" w:rsidP="007D46DA">
      <w:pPr>
        <w:ind w:left="720"/>
      </w:pPr>
      <w:r w:rsidRPr="00E105B1">
        <w:t xml:space="preserve">The application of </w:t>
      </w:r>
      <w:r w:rsidRPr="00E105B1">
        <w:rPr>
          <w:i/>
        </w:rPr>
        <w:t>electronic means</w:t>
      </w:r>
      <w:r w:rsidRPr="00E105B1">
        <w:t xml:space="preserve"> in (1) the </w:t>
      </w:r>
      <w:r w:rsidRPr="00E105B1">
        <w:rPr>
          <w:i/>
        </w:rPr>
        <w:t>interaction</w:t>
      </w:r>
      <w:r w:rsidRPr="00E105B1">
        <w:t xml:space="preserve"> between </w:t>
      </w:r>
      <w:r w:rsidRPr="00E105B1">
        <w:rPr>
          <w:i/>
        </w:rPr>
        <w:t>government</w:t>
      </w:r>
      <w:r w:rsidRPr="00E105B1">
        <w:t xml:space="preserve"> and citizens and government and businesses, as well as (2) in internal </w:t>
      </w:r>
      <w:r w:rsidRPr="00E105B1">
        <w:rPr>
          <w:i/>
        </w:rPr>
        <w:t>government</w:t>
      </w:r>
      <w:r w:rsidRPr="00E105B1">
        <w:t xml:space="preserve"> </w:t>
      </w:r>
      <w:r w:rsidRPr="00E105B1">
        <w:rPr>
          <w:i/>
        </w:rPr>
        <w:t>operations</w:t>
      </w:r>
      <w:r w:rsidRPr="00E105B1">
        <w:t xml:space="preserve"> to simplify and improve democratic, government and business aspects of Governance.</w:t>
      </w:r>
      <w:r>
        <w:rPr>
          <w:rStyle w:val="FootnoteReference"/>
        </w:rPr>
        <w:footnoteReference w:id="44"/>
      </w:r>
      <w:r w:rsidRPr="00E105B1">
        <w:t xml:space="preserve">  </w:t>
      </w:r>
      <w:r w:rsidR="00F7383F" w:rsidRPr="00E105B1">
        <w:fldChar w:fldCharType="begin"/>
      </w:r>
      <w:r w:rsidRPr="00E105B1">
        <w:instrText xml:space="preserve"> ADDIN ZOTERO_ITEM {"citationID":"vIlylOGn","properties":{"formattedCitation":"(Backus 2001, 2)","plainCitation":"(Backus 2001, 2)"},"citationItems":[{"id":1438,"uris":["http://zotero.org/groups/4482/items/MSUJCEJT"],"uri":["http://zotero.org/groups/4482/items/MSUJCEJT"],"locator":"2","label":"page"}]} </w:instrText>
      </w:r>
      <w:r w:rsidR="00F7383F" w:rsidRPr="00E105B1">
        <w:fldChar w:fldCharType="separate"/>
      </w:r>
      <w:r w:rsidRPr="00E105B1">
        <w:rPr>
          <w:noProof/>
        </w:rPr>
        <w:t>(Backus 2001, 2)</w:t>
      </w:r>
      <w:r w:rsidR="00F7383F" w:rsidRPr="00E105B1">
        <w:fldChar w:fldCharType="end"/>
      </w:r>
    </w:p>
    <w:p w:rsidR="007D46DA" w:rsidRPr="005C2421" w:rsidRDefault="007D46DA" w:rsidP="007D46DA">
      <w:pPr>
        <w:ind w:left="720"/>
      </w:pPr>
    </w:p>
    <w:p w:rsidR="007D46DA" w:rsidRPr="005C2421" w:rsidRDefault="007D46DA" w:rsidP="007D46DA">
      <w:r w:rsidRPr="00E105B1">
        <w:t>E-governance over the last two decades has become increasingly important in international development practice. The World Bank, for example, hosts an E-Government Practice Group to disseminate e-governance best practices as part of its E-Development Thematic Group.</w:t>
      </w:r>
      <w:r>
        <w:rPr>
          <w:rStyle w:val="FootnoteReference"/>
        </w:rPr>
        <w:footnoteReference w:id="45"/>
      </w:r>
      <w:r w:rsidRPr="00E105B1">
        <w:t xml:space="preserve"> The UNDP, UNESCO, and USAID have all published reports and or undertaken projects dealing with e-governance issues. And since 2001, the OECD has maintained an e-Government Project whose purpose is to “explore how governments can best exploit information and communication technologies (ICTS) to embed good governance principles and achieve public policy goals.”</w:t>
      </w:r>
      <w:r>
        <w:rPr>
          <w:rStyle w:val="FootnoteReference"/>
        </w:rPr>
        <w:footnoteReference w:id="46"/>
      </w:r>
    </w:p>
    <w:p w:rsidR="007D46DA" w:rsidRPr="005C2421" w:rsidRDefault="007D46DA" w:rsidP="007D46DA"/>
    <w:p w:rsidR="007D46DA" w:rsidRPr="005C2421" w:rsidRDefault="007D46DA" w:rsidP="007D46DA">
      <w:r w:rsidRPr="00E105B1">
        <w:t xml:space="preserve">Where responsiveness is lacking, ICT infrastructure provides a means for citizens to increase pressure on governments through more effective organizing. One has only to look at the role of cell phones, Facebook, and Twitter in the pro-democracy demonstrations that have taken place around the world in recent years. But the exact relationship between ICT infrastructure and democratization remains uncertain. Shirazi, Ngwenyama, and Morawczynski et al. </w:t>
      </w:r>
      <w:fldSimple w:instr=" ADDIN ZOTERO_ITEM {&quot;citationID&quot;:&quot;2bv7obnla0&quot;,&quot;properties&quot;:{&quot;formattedCitation&quot;:&quot;(2010)&quot;,&quot;plainCitation&quot;:&quot;(2010)&quot;},&quot;citationItems&quot;:[{&quot;id&quot;:1509,&quot;uris&quot;:[&quot;http://zotero.org/groups/4482/items/62M55CAD&quot;],&quot;uri&quot;:[&quot;http://zotero.org/groups/4482/items/62M55CAD&quot;],&quot;suppress-author&quot;:true}]} ">
        <w:r w:rsidRPr="00E105B1">
          <w:t>(2010)</w:t>
        </w:r>
      </w:fldSimple>
      <w:r w:rsidRPr="00E105B1">
        <w:t xml:space="preserve"> built a quantitative model using a composite level of democracy index and data on ICT stocks and access in order to test whether greater ICT penetration in a country should lead to increased democratic freedom in that country (see Box 3.3). The authors found a strong correlation between ICT growth and increased democratic freedom. They also found that education tends to be an important intermediate factor, and that repressive governments, which censor information, tend to reduce ICT growth rates in those countries. The push for greater democratization is just one form of ICT-enabled civil actions however. Many other ICT-enabled civil actions, like environmental and zoning protests, have been less dramatic but have nonetheless pressured existing institutions and government authorities to respond to specific grievances.</w:t>
      </w:r>
    </w:p>
    <w:p w:rsidR="007D46DA" w:rsidRPr="005C2421" w:rsidRDefault="007D46DA" w:rsidP="007D46DA"/>
    <w:p w:rsidR="007D46DA" w:rsidRPr="005C2421" w:rsidRDefault="007D46DA" w:rsidP="007D46DA"/>
    <w:p w:rsidR="007D46DA" w:rsidRPr="005C2421" w:rsidRDefault="007D46DA" w:rsidP="00A84F12">
      <w:pPr>
        <w:pBdr>
          <w:top w:val="single" w:sz="4" w:space="1" w:color="auto"/>
          <w:left w:val="single" w:sz="4" w:space="4" w:color="auto"/>
          <w:bottom w:val="single" w:sz="4" w:space="19" w:color="auto"/>
          <w:right w:val="single" w:sz="4" w:space="4" w:color="auto"/>
        </w:pBdr>
        <w:shd w:val="clear" w:color="auto" w:fill="D9D9D9" w:themeFill="background1" w:themeFillShade="D9"/>
        <w:rPr>
          <w:b/>
        </w:rPr>
      </w:pPr>
      <w:r w:rsidRPr="00E105B1">
        <w:rPr>
          <w:b/>
        </w:rPr>
        <w:t>Box 3.3 ICT and democratization</w:t>
      </w:r>
    </w:p>
    <w:p w:rsidR="007D46DA" w:rsidRPr="005C2421" w:rsidRDefault="007D46DA" w:rsidP="00A84F12">
      <w:pPr>
        <w:pBdr>
          <w:top w:val="single" w:sz="4" w:space="1" w:color="auto"/>
          <w:left w:val="single" w:sz="4" w:space="4" w:color="auto"/>
          <w:bottom w:val="single" w:sz="4" w:space="19" w:color="auto"/>
          <w:right w:val="single" w:sz="4" w:space="4" w:color="auto"/>
        </w:pBdr>
        <w:shd w:val="clear" w:color="auto" w:fill="D9D9D9" w:themeFill="background1" w:themeFillShade="D9"/>
      </w:pPr>
      <w:r w:rsidRPr="00E105B1">
        <w:t xml:space="preserve">Infrastructure is an essential component in effective governance as it connects governments and their publics. In recent years, ICT related technologies have gone one step further, allowing a move away from the more traditional model of government as disseminator and the public as passive receiver to a two-way model of interaction. Perhaps the greatest impact ICT infrastructure has had has been on the electoral process. In the 2006 elections in Thailand, the Thai Election Commission used SMS messaging to notify some 25 million voters of polling place schedules </w:t>
      </w:r>
      <w:r w:rsidR="00F7383F" w:rsidRPr="00E105B1">
        <w:fldChar w:fldCharType="begin"/>
      </w:r>
      <w:r w:rsidRPr="00E105B1">
        <w:instrText xml:space="preserve"> ADDIN ZOTERO_ITEM {"citationID":"7Qn2hHCT","properties":{"formattedCitation":"(Stein 2006, 4)","plainCitation":"(Stein 2006, 4)"},"citationItems":[{"id":1597,"uris":["http://zotero.org/groups/4482/items/W4A2ZI6B"],"uri":["http://zotero.org/groups/4482/items/W4A2ZI6B"],"locator":"4","label":"page"}]} </w:instrText>
      </w:r>
      <w:r w:rsidR="00F7383F" w:rsidRPr="00E105B1">
        <w:fldChar w:fldCharType="separate"/>
      </w:r>
      <w:r w:rsidRPr="00E105B1">
        <w:rPr>
          <w:noProof/>
        </w:rPr>
        <w:t>(Stein 2006, 4)</w:t>
      </w:r>
      <w:r w:rsidR="00F7383F" w:rsidRPr="00E105B1">
        <w:fldChar w:fldCharType="end"/>
      </w:r>
      <w:r w:rsidRPr="00E105B1">
        <w:t>. In South Africa, the 2009 elections were hailed as the country’s first ICT election as all four major political parties used ICT in various ways, from getting out the vote to enabling campaign donations by SMS.</w:t>
      </w:r>
      <w:r>
        <w:rPr>
          <w:rStyle w:val="FootnoteReference"/>
        </w:rPr>
        <w:footnoteReference w:id="47"/>
      </w:r>
      <w:r w:rsidRPr="00E105B1">
        <w:t xml:space="preserve"> In Kenya, after the post-election violence in 2007 that left 1300 people dead, the government began a program of electronic voting that allowed polling stations across the country to transmit results electronically to more centralized voting centers.</w:t>
      </w:r>
      <w:r>
        <w:rPr>
          <w:rStyle w:val="FootnoteReference"/>
        </w:rPr>
        <w:footnoteReference w:id="48"/>
      </w:r>
      <w:r w:rsidRPr="00E105B1">
        <w:t xml:space="preserve">  But ICT infrastructure has done more than just affect voter turnout and transmit results. In Thailand, the same networks used to get out the vote were also used to coordinate the public protests that brought down the newly elected Premier once allegations of corruption and abuse surfaced. In 2004, mobile phone ring tones became a new form of protest as millions of Filipinos downloaded and played in public an audio clip from a wiretapped phone conversation by then President Gloria Arroyo, accused of electoral fraud, discussing election results </w:t>
      </w:r>
      <w:r w:rsidR="00F7383F" w:rsidRPr="00E105B1">
        <w:fldChar w:fldCharType="begin"/>
      </w:r>
      <w:r w:rsidRPr="00E105B1">
        <w:instrText xml:space="preserve"> ADDIN ZOTERO_ITEM {"citationID":"8qGq1m8w","properties":{"formattedCitation":"(Stein 2006, 4)","plainCitation":"(Stein 2006, 4)"},"citationItems":[{"id":1597,"uris":["http://zotero.org/groups/4482/items/W4A2ZI6B"],"uri":["http://zotero.org/groups/4482/items/W4A2ZI6B"],"locator":"4","label":"page"}]} </w:instrText>
      </w:r>
      <w:r w:rsidR="00F7383F" w:rsidRPr="00E105B1">
        <w:fldChar w:fldCharType="separate"/>
      </w:r>
      <w:r w:rsidRPr="00E105B1">
        <w:rPr>
          <w:noProof/>
        </w:rPr>
        <w:t>(Stein 2006)</w:t>
      </w:r>
      <w:r w:rsidR="00F7383F" w:rsidRPr="00E105B1">
        <w:fldChar w:fldCharType="end"/>
      </w:r>
      <w:r w:rsidRPr="00E105B1">
        <w:t>. And around the world, from the Occupy Movement in the US</w:t>
      </w:r>
      <w:r>
        <w:rPr>
          <w:rStyle w:val="FootnoteReference"/>
        </w:rPr>
        <w:footnoteReference w:id="49"/>
      </w:r>
      <w:r w:rsidRPr="00E105B1">
        <w:t xml:space="preserve"> to the Arab Spring in the Middle East, ICT infrastructure has enabled the flow of revolutionary ideas and the coordination of mass protests </w:t>
      </w:r>
      <w:fldSimple w:instr=" ADDIN ZOTERO_ITEM {&quot;citationID&quot;:&quot;DHc3MlBS&quot;,&quot;properties&quot;:{&quot;formattedCitation&quot;:&quot;(Stepanova 2011)&quot;,&quot;plainCitation&quot;:&quot;(Stepanova 2011)&quot;},&quot;citationItems&quot;:[{&quot;id&quot;:1600,&quot;uris&quot;:[&quot;http://zotero.org/groups/4482/items/B4KSNBHP&quot;],&quot;uri&quot;:[&quot;http://zotero.org/groups/4482/items/B4KSNBHP&quot;]}]} ">
        <w:r w:rsidRPr="00E105B1">
          <w:rPr>
            <w:noProof/>
          </w:rPr>
          <w:t>(Stepanova 2011)</w:t>
        </w:r>
      </w:fldSimple>
      <w:r w:rsidRPr="00E105B1">
        <w:t xml:space="preserve">.     </w:t>
      </w:r>
    </w:p>
    <w:p w:rsidR="007D46DA" w:rsidRPr="005C2421" w:rsidRDefault="007D46DA" w:rsidP="007D46DA"/>
    <w:p w:rsidR="007D46DA" w:rsidRPr="005C2421" w:rsidRDefault="007D46DA" w:rsidP="007D46DA">
      <w:pPr>
        <w:rPr>
          <w:iCs/>
          <w:color w:val="000000"/>
        </w:rPr>
      </w:pPr>
      <w:r w:rsidRPr="00E105B1">
        <w:rPr>
          <w:iCs/>
          <w:color w:val="000000"/>
        </w:rPr>
        <w:t xml:space="preserve">Infrastructure generally, and not just ICT, can support not only basic democratic forms, but much deeper and richer inclusion (as well as government intrusiveness into what once were private domains). Brenneman and Kerf </w:t>
      </w:r>
      <w:r w:rsidR="00F7383F" w:rsidRPr="00E105B1">
        <w:rPr>
          <w:iCs/>
          <w:color w:val="000000"/>
        </w:rPr>
        <w:fldChar w:fldCharType="begin"/>
      </w:r>
      <w:r w:rsidRPr="00E105B1">
        <w:rPr>
          <w:iCs/>
          <w:color w:val="000000"/>
        </w:rPr>
        <w:instrText xml:space="preserve"> ADDIN ZOTERO_ITEM {"citationID":"2hqa9f8p9q","properties":{"formattedCitation":"(2002)","plainCitation":"(2002)"},"citationItems":[{"id":681,"uris":["http://zotero.org/groups/4482/items/Z452ART4"],"uri":["http://zotero.org/groups/4482/items/Z452ART4"],"suppress-author":true}]} </w:instrText>
      </w:r>
      <w:r w:rsidR="00F7383F" w:rsidRPr="00E105B1">
        <w:rPr>
          <w:iCs/>
          <w:color w:val="000000"/>
        </w:rPr>
        <w:fldChar w:fldCharType="separate"/>
      </w:r>
      <w:r w:rsidRPr="00E105B1">
        <w:t>(2002)</w:t>
      </w:r>
      <w:r w:rsidR="00F7383F" w:rsidRPr="00E105B1">
        <w:rPr>
          <w:iCs/>
          <w:color w:val="000000"/>
        </w:rPr>
        <w:fldChar w:fldCharType="end"/>
      </w:r>
      <w:r w:rsidRPr="00E105B1">
        <w:rPr>
          <w:iCs/>
          <w:color w:val="000000"/>
        </w:rPr>
        <w:t xml:space="preserve"> illustrated how infrastructure provision can support effective and inclusive governance by looking at its impact on women’s empowerment. While gender inequality may be culturally based, lack of infrastructure or poor infrastructure quality serves to further this form of inequality. Because of their household responsibilities, women tend to be disproportionally effected by the state of local infrastructure. Where electricity is lacking, women are forced to collect firewood; where improved water is lacking, women are the ones to fetch water; where transportation is lacking, women and girls are more likely to remain at home and miss out on education. Access to modern infrastructure can decrease the time women spend on domestic duties and so can increase their ability to participate in civil society and government.</w:t>
      </w:r>
    </w:p>
    <w:p w:rsidR="007D46DA" w:rsidRPr="005C2421" w:rsidRDefault="007D46DA" w:rsidP="007D46DA"/>
    <w:p w:rsidR="00A84F12" w:rsidRDefault="007D46DA" w:rsidP="007D46DA">
      <w:r w:rsidRPr="00E105B1">
        <w:t>The honey pots associated with the funding of infrastructure, from local sanitation and electrical services to global energy systems, have often been linked to poor governance and corruption. Yet, infrastructure provision can also lead to good governance through the creation of a healthy, well-educated, and well-connected population that is more likely to want to participate in the governance system and to do so effectively. Together and in interaction, infrastructure and good governance can enable the provision of society-building services and human development.</w:t>
      </w:r>
    </w:p>
    <w:p w:rsidR="007D46DA" w:rsidRPr="005C2421" w:rsidRDefault="007D46DA" w:rsidP="007D46DA"/>
    <w:p w:rsidR="00A84F12" w:rsidRDefault="007D46DA" w:rsidP="00877E30">
      <w:pPr>
        <w:pStyle w:val="Heading3"/>
        <w:numPr>
          <w:ilvl w:val="2"/>
          <w:numId w:val="31"/>
        </w:numPr>
      </w:pPr>
      <w:bookmarkStart w:id="76" w:name="_Toc199583381"/>
      <w:bookmarkStart w:id="77" w:name="_Toc200095283"/>
      <w:r w:rsidRPr="005C2421">
        <w:t xml:space="preserve">Infrastructure and the </w:t>
      </w:r>
      <w:r>
        <w:t>e</w:t>
      </w:r>
      <w:r w:rsidRPr="005C2421">
        <w:t>nvironment</w:t>
      </w:r>
      <w:bookmarkEnd w:id="76"/>
      <w:bookmarkEnd w:id="77"/>
    </w:p>
    <w:p w:rsidR="007D46DA" w:rsidRPr="005C2421" w:rsidRDefault="007D46DA" w:rsidP="007D46DA">
      <w:r w:rsidRPr="005C2421">
        <w:t>The impacts of infrastructure on the natural environment are manifold. These include the direct physical impacts associated with the construction, existence, use, and decommissioning of infrastructure, but also the indirect effects that result from how infrastructure shapes the way in which we interact with the natural environment.</w:t>
      </w:r>
    </w:p>
    <w:p w:rsidR="007D46DA" w:rsidRPr="005C2421" w:rsidRDefault="007D46DA" w:rsidP="007D46DA"/>
    <w:p w:rsidR="007D46DA" w:rsidRPr="005C2421" w:rsidRDefault="007D46DA" w:rsidP="007D46DA">
      <w:r w:rsidRPr="00E105B1">
        <w:t>Perhaps nothing other than the conversion of land for agriculture has had as large an impact on reshaping the physical environment than the development of human-made infrastructure. The 30-35 million kilometers of roads in the world are enough to circle the earth more than 800 times at the equator.</w:t>
      </w:r>
      <w:r>
        <w:rPr>
          <w:rStyle w:val="FootnoteReference"/>
        </w:rPr>
        <w:footnoteReference w:id="50"/>
      </w:r>
      <w:r w:rsidRPr="00E105B1">
        <w:t xml:space="preserve"> Lehner et al </w:t>
      </w:r>
      <w:fldSimple w:instr=" ADDIN ZOTERO_ITEM {&quot;citationID&quot;:&quot;26rvt9b67l&quot;,&quot;properties&quot;:{&quot;formattedCitation&quot;:&quot;(2011)&quot;,&quot;plainCitation&quot;:&quot;(2011)&quot;},&quot;citationItems&quot;:[{&quot;id&quot;:1071,&quot;uris&quot;:[&quot;http://zotero.org/groups/4482/items/FTUR9APR&quot;],&quot;uri&quot;:[&quot;http://zotero.org/groups/4482/items/FTUR9APR&quot;],&quot;suppress-author&quot;:true}]} ">
        <w:r w:rsidRPr="00E105B1">
          <w:t>(2011)</w:t>
        </w:r>
      </w:fldSimple>
      <w:r w:rsidRPr="00E105B1">
        <w:t xml:space="preserve"> estimated that there are nearly 17 million reservoirs worldwide, with a storage capacity of 8,069 cubic kilometers of freshwater and covering more than 300,000 square kilometers. This is approximately equal to twenty percent of total water discharge into oceans and internal sinks, and represents an area the size of Italy.</w:t>
      </w:r>
      <w:r>
        <w:rPr>
          <w:rStyle w:val="FootnoteReference"/>
        </w:rPr>
        <w:footnoteReference w:id="51"/>
      </w:r>
      <w:r w:rsidRPr="00E105B1">
        <w:t xml:space="preserve"> Meanwhile ports and airports dominate many coastal and urban areas, and oil and gas wells and coal, metal and stone mines also dot the planet.</w:t>
      </w:r>
    </w:p>
    <w:p w:rsidR="007D46DA" w:rsidRPr="005C2421" w:rsidRDefault="007D46DA" w:rsidP="007D46DA"/>
    <w:p w:rsidR="007D46DA" w:rsidRPr="005C2421" w:rsidRDefault="007D46DA" w:rsidP="007D46DA">
      <w:r w:rsidRPr="00E105B1">
        <w:t xml:space="preserve">Roads, railways, and other man-made corridors (e.g., oil and gas pipelines and electricity transmission lines), fragment landscapes and bring increased contact between humans and the natural environment. Benítez-Lopéz, Alkemade and Verweij </w:t>
      </w:r>
      <w:fldSimple w:instr=" ADDIN ZOTERO_ITEM {&quot;citationID&quot;:&quot;LludK1RJ&quot;,&quot;properties&quot;:{&quot;formattedCitation&quot;:&quot;(2010)&quot;,&quot;plainCitation&quot;:&quot;(2010)&quot;},&quot;citationItems&quot;:[{&quot;id&quot;:350,&quot;uris&quot;:[&quot;http://zotero.org/groups/4482/items/BU98BRC4&quot;],&quot;uri&quot;:[&quot;http://zotero.org/groups/4482/items/BU98BRC4&quot;],&quot;suppress-author&quot;:true}]} ">
        <w:r w:rsidRPr="00E105B1">
          <w:t>(2010)</w:t>
        </w:r>
      </w:fldSimple>
      <w:r w:rsidRPr="00E105B1">
        <w:t xml:space="preserve"> and Fahrig and Rytwinski </w:t>
      </w:r>
      <w:fldSimple w:instr=" ADDIN ZOTERO_ITEM {&quot;citationID&quot;:&quot;TzJerZTN&quot;,&quot;properties&quot;:{&quot;formattedCitation&quot;:&quot;(2009)&quot;,&quot;plainCitation&quot;:&quot;(2009)&quot;},&quot;citationItems&quot;:[{&quot;id&quot;:555,&quot;uris&quot;:[&quot;http://zotero.org/groups/4482/items/RZVCFT9Z&quot;],&quot;uri&quot;:[&quot;http://zotero.org/groups/4482/items/RZVCFT9Z&quot;],&quot;suppress-author&quot;:true}]} ">
        <w:r w:rsidRPr="00E105B1">
          <w:t>(2009)</w:t>
        </w:r>
      </w:fldSimple>
      <w:r w:rsidRPr="00E105B1">
        <w:t xml:space="preserve"> reviewed large numbers of studies on the impacts of roads on species diversity and abundance. Beyond direct mortality, they point to significant impacts, extending several kilometers from the actual roads, on reproductive success and population size.</w:t>
      </w:r>
    </w:p>
    <w:p w:rsidR="007D46DA" w:rsidRPr="005C2421" w:rsidRDefault="007D46DA" w:rsidP="007D46DA"/>
    <w:p w:rsidR="007D46DA" w:rsidRPr="005C2421" w:rsidRDefault="007D46DA" w:rsidP="007D46DA">
      <w:r w:rsidRPr="00E105B1">
        <w:t xml:space="preserve">It is in their ability to open up new areas for human exploitation that roads may have the biggest effect, however. Figure 3.3 illustrates the role of roads in accelerating deforestation between 1975 and 2001 following the construction of the Cuiaba-Port Velho highway through the province of Rondônia in Brazil </w:t>
      </w:r>
      <w:r w:rsidR="00F7383F" w:rsidRPr="00E105B1">
        <w:fldChar w:fldCharType="begin"/>
      </w:r>
      <w:r w:rsidRPr="00E105B1">
        <w:instrText xml:space="preserve"> ADDIN ZOTERO_ITEM {"citationID":"2mv2e16ni5","properties":{"formattedCitation":"(United Nations Environment Programme (UNEP), United States Geological Survey, and University of Maryland 2005)","plainCitation":"(United Nations Environment Programme (UNEP), United States Geological Survey, and University of Maryland 2005)"},"citationItems":[{"id":1271,"uris":["http://zotero.org/groups/4482/items/7JSTSSX7","http://zotero.org/groups/4482/items/UPRI6374"],"uri":["http://zotero.org/groups/4482/items/7JSTSSX7","http://zotero.org/groups/4482/items/UPRI6374"]}]} </w:instrText>
      </w:r>
      <w:r w:rsidR="00F7383F" w:rsidRPr="00E105B1">
        <w:fldChar w:fldCharType="separate"/>
      </w:r>
      <w:r w:rsidRPr="00E105B1">
        <w:t>(United Nations Environment Programme (UNEP), United States Geological Survey, and University of Maryland 2005)</w:t>
      </w:r>
      <w:r w:rsidR="00F7383F" w:rsidRPr="00E105B1">
        <w:fldChar w:fldCharType="end"/>
      </w:r>
      <w:r w:rsidRPr="00E105B1">
        <w:t>. The ‘fishbone’ or ‘feathered’ pattern is quite typical as loggers and farmers build out from the initial roadway.</w:t>
      </w:r>
    </w:p>
    <w:p w:rsidR="007D46DA" w:rsidRPr="005C2421" w:rsidRDefault="007D46DA" w:rsidP="007D46DA"/>
    <w:p w:rsidR="007D46DA" w:rsidRPr="005C2421" w:rsidRDefault="007D46DA" w:rsidP="007D46DA">
      <w:r>
        <w:rPr>
          <w:noProof/>
        </w:rPr>
        <w:drawing>
          <wp:anchor distT="0" distB="0" distL="114300" distR="114300" simplePos="0" relativeHeight="251672576" behindDoc="0" locked="0" layoutInCell="1" allowOverlap="1">
            <wp:simplePos x="0" y="0"/>
            <wp:positionH relativeFrom="column">
              <wp:align>center</wp:align>
            </wp:positionH>
            <wp:positionV relativeFrom="paragraph">
              <wp:posOffset>0</wp:posOffset>
            </wp:positionV>
            <wp:extent cx="5943600" cy="1819275"/>
            <wp:effectExtent l="25400" t="0" r="0" b="0"/>
            <wp:wrapTopAndBottom/>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srcRect/>
                    <a:stretch>
                      <a:fillRect/>
                    </a:stretch>
                  </pic:blipFill>
                  <pic:spPr bwMode="auto">
                    <a:xfrm>
                      <a:off x="0" y="0"/>
                      <a:ext cx="5943600" cy="1819275"/>
                    </a:xfrm>
                    <a:prstGeom prst="rect">
                      <a:avLst/>
                    </a:prstGeom>
                    <a:noFill/>
                  </pic:spPr>
                </pic:pic>
              </a:graphicData>
            </a:graphic>
          </wp:anchor>
        </w:drawing>
      </w:r>
      <w:r w:rsidRPr="00E105B1">
        <w:rPr>
          <w:b/>
        </w:rPr>
        <w:t>Figure 3.3 Changes in tropical forests of Rondonia, Brazil (1975-2001)</w:t>
      </w:r>
    </w:p>
    <w:p w:rsidR="007D46DA" w:rsidRPr="005C2421" w:rsidRDefault="007D46DA" w:rsidP="007D46DA">
      <w:pPr>
        <w:rPr>
          <w:i/>
        </w:rPr>
      </w:pPr>
      <w:r w:rsidRPr="00E105B1">
        <w:rPr>
          <w:i/>
        </w:rPr>
        <w:t xml:space="preserve">Source: Used with permission from UNEP </w:t>
      </w:r>
      <w:r w:rsidR="00F7383F" w:rsidRPr="00E105B1">
        <w:rPr>
          <w:i/>
        </w:rPr>
        <w:fldChar w:fldCharType="begin"/>
      </w:r>
      <w:r w:rsidRPr="00E105B1">
        <w:rPr>
          <w:i/>
        </w:rPr>
        <w:instrText xml:space="preserve"> ADDIN ZOTERO_ITEM {"citationID":"1tpha4h648","properties":{"formattedCitation":"{\\rtf (2005, 184\\uc0\\u8211{}185)}","plainCitation":"(2005, 184–185)"},"citationItems":[{"id":1271,"uris":["http://zotero.org/groups/4482/items/7JSTSSX7","http://zotero.org/groups/4482/items/UPRI6374"],"uri":["http://zotero.org/groups/4482/items/7JSTSSX7","http://zotero.org/groups/4482/items/UPRI6374"],"locator":"184-185","label":"page","suppress-author":true}]} </w:instrText>
      </w:r>
      <w:r w:rsidR="00F7383F" w:rsidRPr="00E105B1">
        <w:rPr>
          <w:i/>
        </w:rPr>
        <w:fldChar w:fldCharType="separate"/>
      </w:r>
      <w:r w:rsidRPr="00E105B1">
        <w:rPr>
          <w:i/>
        </w:rPr>
        <w:t>(2005, 184–185)</w:t>
      </w:r>
      <w:r w:rsidR="00F7383F" w:rsidRPr="00E105B1">
        <w:rPr>
          <w:i/>
        </w:rPr>
        <w:fldChar w:fldCharType="end"/>
      </w:r>
      <w:r w:rsidRPr="00E105B1">
        <w:rPr>
          <w:i/>
        </w:rPr>
        <w:t>.</w:t>
      </w:r>
    </w:p>
    <w:p w:rsidR="007D46DA" w:rsidRPr="005C2421" w:rsidRDefault="007D46DA" w:rsidP="007D46DA">
      <w:pPr>
        <w:rPr>
          <w:i/>
        </w:rPr>
      </w:pPr>
    </w:p>
    <w:p w:rsidR="007D46DA" w:rsidRPr="005C2421" w:rsidRDefault="007D46DA" w:rsidP="007D46DA">
      <w:r w:rsidRPr="005C2421">
        <w:t>Large projects aimed at the storage and transport of water—dams, viaducts, and canals—also change and fragment the landscape. The reservoirs behind large dams drown vast areas of land (see Figure 3.4). D</w:t>
      </w:r>
      <w:r w:rsidRPr="00E105B1">
        <w:t xml:space="preserve">ams alter sediment flows and modify many other properties of riverine systems, including flow rates and temperature, affecting ecosystems both up and downstream </w:t>
      </w:r>
      <w:r w:rsidR="00F7383F" w:rsidRPr="00E105B1">
        <w:fldChar w:fldCharType="begin"/>
      </w:r>
      <w:r w:rsidRPr="00E105B1">
        <w:instrText xml:space="preserve"> ADDIN ZOTERO_ITEM {"citationID":"1lacvp020d","properties":{"formattedCitation":"(World Commission on Dams 2000; Pearce 2003; Rosenberg, McCully, and Pringle 2000)","plainCitation":"(World Commission on Dams 2000; Pearce 2003; Rosenberg, McCully, and Pringle 2000)"},"citationItems":[{"id":405,"uris":["http://zotero.org/groups/4482/items/FFWW492P"],"uri":["http://zotero.org/groups/4482/items/FFWW492P"],"label":"page"},{"id":1261,"uris":["http://zotero.org/groups/4482/items/HFTWETKK"],"uri":["http://zotero.org/groups/4482/items/HFTWETKK"],"label":"page"},{"id":1327,"uris":["http://zotero.org/groups/4482/items/AJHMFUQ4"],"uri":["http://zotero.org/groups/4482/items/AJHMFUQ4"],"label":"page"}]} </w:instrText>
      </w:r>
      <w:r w:rsidR="00F7383F" w:rsidRPr="00E105B1">
        <w:fldChar w:fldCharType="separate"/>
      </w:r>
      <w:r w:rsidRPr="00E105B1">
        <w:t>(World Commission on Dams 2000; Pearce 2003; Rosenberg, McCully, and Pringle 2000)</w:t>
      </w:r>
      <w:r w:rsidR="00F7383F" w:rsidRPr="00E105B1">
        <w:fldChar w:fldCharType="end"/>
      </w:r>
      <w:r w:rsidRPr="00E105B1">
        <w:t xml:space="preserve">. Furthermore, there is a continuing debate on the local and global effects of large dams on climate </w:t>
      </w:r>
      <w:r w:rsidR="00F7383F" w:rsidRPr="00E105B1">
        <w:fldChar w:fldCharType="begin"/>
      </w:r>
      <w:r w:rsidRPr="00E105B1">
        <w:instrText xml:space="preserve"> ADDIN ZOTERO_ITEM {"citationID":"83le9mrB","properties":{"formattedCitation":"(Cullenward and Victor 2006)","plainCitation":"(Cullenward and Victor 2006)"},"citationItems":[{"id":517,"uris":["http://zotero.org/groups/4482/items/NT4G2K58"],"uri":["http://zotero.org/groups/4482/items/NT4G2K58"]}]} </w:instrText>
      </w:r>
      <w:r w:rsidR="00F7383F" w:rsidRPr="00E105B1">
        <w:fldChar w:fldCharType="separate"/>
      </w:r>
      <w:r w:rsidRPr="00E105B1">
        <w:t>(Cullenward and Victor 2006)</w:t>
      </w:r>
      <w:r w:rsidR="00F7383F" w:rsidRPr="00E105B1">
        <w:fldChar w:fldCharType="end"/>
      </w:r>
      <w:r w:rsidRPr="00E105B1">
        <w:t>.</w:t>
      </w:r>
    </w:p>
    <w:p w:rsidR="007D46DA" w:rsidRPr="005C2421" w:rsidRDefault="007D46DA" w:rsidP="007D46DA"/>
    <w:p w:rsidR="007D46DA" w:rsidRPr="005C2421" w:rsidRDefault="007D46DA" w:rsidP="007D46DA">
      <w:pPr>
        <w:rPr>
          <w:b/>
        </w:rPr>
      </w:pPr>
      <w:r>
        <w:rPr>
          <w:noProof/>
        </w:rPr>
        <w:drawing>
          <wp:anchor distT="0" distB="0" distL="114300" distR="114300" simplePos="0" relativeHeight="251675648" behindDoc="0" locked="1" layoutInCell="1" allowOverlap="1">
            <wp:simplePos x="0" y="0"/>
            <wp:positionH relativeFrom="column">
              <wp:align>center</wp:align>
            </wp:positionH>
            <wp:positionV relativeFrom="paragraph">
              <wp:posOffset>0</wp:posOffset>
            </wp:positionV>
            <wp:extent cx="4655185" cy="2125980"/>
            <wp:effectExtent l="25400" t="0" r="0" b="0"/>
            <wp:wrapTopAndBottom/>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srcRect/>
                    <a:stretch>
                      <a:fillRect/>
                    </a:stretch>
                  </pic:blipFill>
                  <pic:spPr bwMode="auto">
                    <a:xfrm>
                      <a:off x="0" y="0"/>
                      <a:ext cx="4655185" cy="2125980"/>
                    </a:xfrm>
                    <a:prstGeom prst="rect">
                      <a:avLst/>
                    </a:prstGeom>
                    <a:noFill/>
                  </pic:spPr>
                </pic:pic>
              </a:graphicData>
            </a:graphic>
          </wp:anchor>
        </w:drawing>
      </w:r>
      <w:r w:rsidRPr="00E105B1">
        <w:rPr>
          <w:b/>
        </w:rPr>
        <w:t>Figure 3.4 The creation of Lake Manantali behind a dam on the Bafing River in Mali (1977-1999)</w:t>
      </w:r>
    </w:p>
    <w:p w:rsidR="007D46DA" w:rsidRPr="005C2421" w:rsidRDefault="007D46DA" w:rsidP="007D46DA">
      <w:pPr>
        <w:rPr>
          <w:i/>
        </w:rPr>
      </w:pPr>
      <w:r w:rsidRPr="00E105B1">
        <w:rPr>
          <w:i/>
        </w:rPr>
        <w:t xml:space="preserve">Source: Used with permission from UNEP </w:t>
      </w:r>
      <w:r w:rsidR="00F7383F" w:rsidRPr="00E105B1">
        <w:rPr>
          <w:i/>
        </w:rPr>
        <w:fldChar w:fldCharType="begin"/>
      </w:r>
      <w:r w:rsidRPr="00E105B1">
        <w:rPr>
          <w:i/>
        </w:rPr>
        <w:instrText xml:space="preserve"> ADDIN ZOTERO_ITEM {"citationID":"9Erfp04E","properties":{"formattedCitation":"(2005)","plainCitation":"(2005)"},"citationItems":[{"id":1271,"uris":["http://zotero.org/groups/4482/items/7JSTSSX7","http://zotero.org/groups/4482/items/UPRI6374"],"uri":["http://zotero.org/groups/4482/items/7JSTSSX7","http://zotero.org/groups/4482/items/UPRI6374"],"suppress-author":true}]} </w:instrText>
      </w:r>
      <w:r w:rsidR="00F7383F" w:rsidRPr="00E105B1">
        <w:rPr>
          <w:i/>
        </w:rPr>
        <w:fldChar w:fldCharType="separate"/>
      </w:r>
      <w:r w:rsidRPr="00E105B1">
        <w:rPr>
          <w:i/>
        </w:rPr>
        <w:t>(2005)</w:t>
      </w:r>
      <w:r w:rsidR="00F7383F" w:rsidRPr="00E105B1">
        <w:rPr>
          <w:i/>
        </w:rPr>
        <w:fldChar w:fldCharType="end"/>
      </w:r>
      <w:r w:rsidRPr="00E105B1">
        <w:rPr>
          <w:i/>
        </w:rPr>
        <w:t>.</w:t>
      </w:r>
    </w:p>
    <w:p w:rsidR="007D46DA" w:rsidRPr="005C2421" w:rsidRDefault="007D46DA" w:rsidP="007D46DA"/>
    <w:p w:rsidR="007D46DA" w:rsidRPr="005C2421" w:rsidRDefault="007D46DA" w:rsidP="00053A06">
      <w:pPr>
        <w:pBdr>
          <w:top w:val="single" w:sz="4" w:space="1" w:color="auto"/>
          <w:left w:val="single" w:sz="4" w:space="4" w:color="auto"/>
          <w:bottom w:val="single" w:sz="4" w:space="19" w:color="auto"/>
          <w:right w:val="single" w:sz="4" w:space="4" w:color="auto"/>
        </w:pBdr>
        <w:shd w:val="clear" w:color="auto" w:fill="D9D9D9" w:themeFill="background1" w:themeFillShade="D9"/>
        <w:rPr>
          <w:b/>
        </w:rPr>
      </w:pPr>
      <w:r w:rsidRPr="005C2421">
        <w:rPr>
          <w:b/>
        </w:rPr>
        <w:t xml:space="preserve">Box 3.5 Dams and </w:t>
      </w:r>
      <w:r w:rsidRPr="00E105B1">
        <w:rPr>
          <w:b/>
        </w:rPr>
        <w:t>fish</w:t>
      </w:r>
    </w:p>
    <w:p w:rsidR="007D46DA" w:rsidRPr="005C2421" w:rsidRDefault="007D46DA" w:rsidP="00053A06">
      <w:pPr>
        <w:pBdr>
          <w:top w:val="single" w:sz="4" w:space="1" w:color="auto"/>
          <w:left w:val="single" w:sz="4" w:space="4" w:color="auto"/>
          <w:bottom w:val="single" w:sz="4" w:space="19" w:color="auto"/>
          <w:right w:val="single" w:sz="4" w:space="4" w:color="auto"/>
        </w:pBdr>
        <w:shd w:val="clear" w:color="auto" w:fill="D9D9D9" w:themeFill="background1" w:themeFillShade="D9"/>
      </w:pPr>
      <w:r w:rsidRPr="00E105B1">
        <w:t xml:space="preserve">Dams and their effect on surrounding landscapes are among the most visible of infrastructure’s environmental impacts in the world, going so far as to create whole new ecosystems as dammed waters flood kilometers of land upriver in the creation of massive reservoirs </w:t>
      </w:r>
      <w:r w:rsidR="00F7383F" w:rsidRPr="00E105B1">
        <w:fldChar w:fldCharType="begin"/>
      </w:r>
      <w:r w:rsidRPr="00E105B1">
        <w:instrText xml:space="preserve"> ADDIN ZOTERO_ITEM {"citationID":"iZh4GHfA","properties":{"formattedCitation":"(Agostinho, Pelicice, and Gomes 2008)","plainCitation":"(Agostinho, Pelicice, and Gomes 2008)"},"citationItems":[{"id":1606,"uris":["http://zotero.org/groups/4482/items/DKHZKS5N"],"uri":["http://zotero.org/groups/4482/items/DKHZKS5N"]}]} </w:instrText>
      </w:r>
      <w:r w:rsidR="00F7383F" w:rsidRPr="00E105B1">
        <w:fldChar w:fldCharType="separate"/>
      </w:r>
      <w:r w:rsidRPr="00E105B1">
        <w:rPr>
          <w:noProof/>
        </w:rPr>
        <w:t>(Agostinho, Pelicice, and Gomes 2008)</w:t>
      </w:r>
      <w:r w:rsidR="00F7383F" w:rsidRPr="00E105B1">
        <w:fldChar w:fldCharType="end"/>
      </w:r>
      <w:r w:rsidRPr="00E105B1">
        <w:t xml:space="preserve">. Downriver, floodplains provide some of the richest habitats for freshwater fish on earth, and are often home to the majority of all fish species in a river basin. Dams can endanger these floodplains by restricting the natural changes in river flow and overall water levels. In Brazil, the construction of the Tucurui dam on the Tocantins River in 1984 quickly led to a 60 percent decline in fish catch and a 66 percent decline in freshwater shrimp catch </w:t>
      </w:r>
      <w:fldSimple w:instr=" ADDIN ZOTERO_ITEM {&quot;citationID&quot;:&quot;dewpfLFN&quot;,&quot;properties&quot;:{&quot;formattedCitation&quot;:&quot;(Richter et al. 2010)&quot;,&quot;plainCitation&quot;:&quot;(Richter et al. 2010)&quot;},&quot;citationItems&quot;:[{&quot;id&quot;:1608,&quot;uris&quot;:[&quot;http://zotero.org/groups/4482/items/KNFVQGUR&quot;],&quot;uri&quot;:[&quot;http://zotero.org/groups/4482/items/KNFVQGUR&quot;]}]} ">
        <w:r w:rsidRPr="00E105B1">
          <w:rPr>
            <w:noProof/>
          </w:rPr>
          <w:t>(Richter et al. 2010)</w:t>
        </w:r>
      </w:fldSimple>
      <w:r w:rsidRPr="00E105B1">
        <w:t xml:space="preserve">. In Cameroon, the Maga dam on the Logone River led to a 90 percent decline in fish catch from the river’s wetlands. The drying of the river’s wetlands from loss of flood days also had a negative impact on the region’s land-based wildlife, spurring out migration and a resulting loss in tourism revenue as photogenic fauna moved on </w:t>
      </w:r>
      <w:fldSimple w:instr=" ADDIN ZOTERO_ITEM {&quot;citationID&quot;:&quot;vMv4wfXa&quot;,&quot;properties&quot;:{&quot;formattedCitation&quot;:&quot;(Richter et al. 2010)&quot;,&quot;plainCitation&quot;:&quot;(Richter et al. 2010)&quot;},&quot;citationItems&quot;:[{&quot;id&quot;:1608,&quot;uris&quot;:[&quot;http://zotero.org/groups/4482/items/KNFVQGUR&quot;],&quot;uri&quot;:[&quot;http://zotero.org/groups/4482/items/KNFVQGUR&quot;]}]} ">
        <w:r w:rsidRPr="00E105B1">
          <w:rPr>
            <w:noProof/>
          </w:rPr>
          <w:t>(Richter et al. 2010)</w:t>
        </w:r>
      </w:fldSimple>
      <w:r w:rsidRPr="00E105B1">
        <w:t>. China’s Three Gorges mega dam threatens fish populations throughout the Yangtze River basin. The Yangtze is the longest river in Asia and third longest in the world. It is home to 36 percent of all freshwater fish species in China, including 177 different species that live nowhere else in the world, 25 of which were considered endangered before construction of the dam began.</w:t>
      </w:r>
      <w:r>
        <w:rPr>
          <w:rStyle w:val="FootnoteReference"/>
        </w:rPr>
        <w:footnoteReference w:id="52"/>
      </w:r>
      <w:r w:rsidRPr="00E105B1">
        <w:t xml:space="preserve"> The dam came online in 2008, and while it is too early to judge the full extent of its impact on the region’s fisheries, commercial fish catches on the river had fallen 50 to 70 percent below 2002 levels during the construction period (2003-2005) </w:t>
      </w:r>
      <w:fldSimple w:instr=" ADDIN ZOTERO_ITEM {&quot;citationID&quot;:&quot;epcx19El&quot;,&quot;properties&quot;:{&quot;formattedCitation&quot;:&quot;(Gleick 2009)&quot;,&quot;plainCitation&quot;:&quot;(Gleick 2009)&quot;},&quot;citationItems&quot;:[{&quot;id&quot;:608,&quot;uris&quot;:[&quot;http://zotero.org/groups/4482/items/UC5VV43X&quot;],&quot;uri&quot;:[&quot;http://zotero.org/groups/4482/items/UC5VV43X&quot;]}]} ">
        <w:r w:rsidRPr="00E105B1">
          <w:rPr>
            <w:noProof/>
          </w:rPr>
          <w:t>(Gleick 2009)</w:t>
        </w:r>
      </w:fldSimple>
      <w:r w:rsidRPr="00E105B1">
        <w:t xml:space="preserve">. </w:t>
      </w:r>
    </w:p>
    <w:p w:rsidR="007D46DA" w:rsidRPr="005C2421" w:rsidRDefault="007D46DA" w:rsidP="007D46DA"/>
    <w:p w:rsidR="007D46DA" w:rsidRPr="005C2421" w:rsidRDefault="007D46DA" w:rsidP="007D46DA">
      <w:r w:rsidRPr="00E105B1">
        <w:t xml:space="preserve">Infrastructure is not only used to store water, but also to relocate it, often over hundreds of kilometers. These large-scale diversions of surface water can dramatically change the nature of rivers, lakes, and coastal systems. Due to the diversion of rivers for cotton cultivation, the Aral Sea is now a quarter of the size it was around 1950 </w:t>
      </w:r>
      <w:r w:rsidR="00F7383F" w:rsidRPr="00E105B1">
        <w:fldChar w:fldCharType="begin"/>
      </w:r>
      <w:r w:rsidRPr="00E105B1">
        <w:instrText xml:space="preserve"> ADDIN ZOTERO_ITEM {"citationID":"aWAQ7elI","properties":{"formattedCitation":"(United Nations Environment Programme (UNEP), United States Geological Survey, and University of Maryland 2005)","plainCitation":"(United Nations Environment Programme (UNEP), United States Geological Survey, and University of Maryland 2005)"},"citationItems":[{"id":1271,"uris":["http://zotero.org/groups/4482/items/7JSTSSX7","http://zotero.org/groups/4482/items/UPRI6374"],"uri":["http://zotero.org/groups/4482/items/7JSTSSX7","http://zotero.org/groups/4482/items/UPRI6374"]}]} </w:instrText>
      </w:r>
      <w:r w:rsidR="00F7383F" w:rsidRPr="00E105B1">
        <w:fldChar w:fldCharType="separate"/>
      </w:r>
      <w:r w:rsidRPr="00E105B1">
        <w:t>(United Nations Environment Programme (UNEP), United States Geological Survey, and University of Maryland 2005)</w:t>
      </w:r>
      <w:r w:rsidR="00F7383F" w:rsidRPr="00E105B1">
        <w:fldChar w:fldCharType="end"/>
      </w:r>
      <w:r w:rsidRPr="00E105B1">
        <w:t xml:space="preserve">, and Figure 3.5 shows the changes over a portion of that time—namely, from 1986 to 2004. In the process, its salt concentration has doubled, killing the commercial fishing trade. Meanwhile, some of the world’s largest rivers, including the Colorado (North America), Yellow (Asia), Nile (Africa), and Murray (Australia) no longer reach the sea in drier years, with devastating impacts on coastal ecosystems </w:t>
      </w:r>
      <w:r w:rsidR="00F7383F" w:rsidRPr="00E105B1">
        <w:fldChar w:fldCharType="begin"/>
      </w:r>
      <w:r w:rsidRPr="00E105B1">
        <w:instrText xml:space="preserve"> ADDIN ZOTERO_ITEM {"citationID":"14tb72363a","properties":{"formattedCitation":"(World Commission on Dams 2000)","plainCitation":"(World Commission on Dams 2000)"},"citationItems":[{"id":405,"uris":["http://zotero.org/groups/4482/items/FFWW492P"],"uri":["http://zotero.org/groups/4482/items/FFWW492P"]}]} </w:instrText>
      </w:r>
      <w:r w:rsidR="00F7383F" w:rsidRPr="00E105B1">
        <w:fldChar w:fldCharType="separate"/>
      </w:r>
      <w:r w:rsidRPr="00E105B1">
        <w:t>(World Commission on Dams 2000)</w:t>
      </w:r>
      <w:r w:rsidR="00F7383F" w:rsidRPr="00E105B1">
        <w:fldChar w:fldCharType="end"/>
      </w:r>
      <w:r w:rsidRPr="00E105B1">
        <w:t>.</w:t>
      </w:r>
    </w:p>
    <w:p w:rsidR="007D46DA" w:rsidRPr="005C2421" w:rsidRDefault="007D46DA" w:rsidP="007D46DA"/>
    <w:p w:rsidR="007D46DA" w:rsidRPr="005C2421" w:rsidRDefault="007D46DA" w:rsidP="007D46DA">
      <w:r>
        <w:rPr>
          <w:noProof/>
        </w:rPr>
        <w:drawing>
          <wp:anchor distT="0" distB="0" distL="114300" distR="114300" simplePos="0" relativeHeight="251674624" behindDoc="0" locked="1" layoutInCell="1" allowOverlap="1">
            <wp:simplePos x="0" y="0"/>
            <wp:positionH relativeFrom="column">
              <wp:align>center</wp:align>
            </wp:positionH>
            <wp:positionV relativeFrom="paragraph">
              <wp:posOffset>0</wp:posOffset>
            </wp:positionV>
            <wp:extent cx="5934075" cy="1809115"/>
            <wp:effectExtent l="25400" t="0" r="9525" b="0"/>
            <wp:wrapTopAndBottom/>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srcRect/>
                    <a:stretch>
                      <a:fillRect/>
                    </a:stretch>
                  </pic:blipFill>
                  <pic:spPr bwMode="auto">
                    <a:xfrm>
                      <a:off x="0" y="0"/>
                      <a:ext cx="5934075" cy="1809115"/>
                    </a:xfrm>
                    <a:prstGeom prst="rect">
                      <a:avLst/>
                    </a:prstGeom>
                    <a:noFill/>
                  </pic:spPr>
                </pic:pic>
              </a:graphicData>
            </a:graphic>
          </wp:anchor>
        </w:drawing>
      </w:r>
      <w:r w:rsidRPr="00E105B1">
        <w:rPr>
          <w:b/>
        </w:rPr>
        <w:t>Figure 3.5 The shrinking Aral Sea, Kazakstan (1986-2004)</w:t>
      </w:r>
    </w:p>
    <w:p w:rsidR="007D46DA" w:rsidRPr="005C2421" w:rsidRDefault="007D46DA" w:rsidP="007D46DA">
      <w:pPr>
        <w:rPr>
          <w:i/>
        </w:rPr>
      </w:pPr>
      <w:r w:rsidRPr="00E105B1">
        <w:rPr>
          <w:i/>
        </w:rPr>
        <w:t xml:space="preserve">Source: Used with permission from UNEP </w:t>
      </w:r>
      <w:r w:rsidR="00F7383F" w:rsidRPr="00E105B1">
        <w:rPr>
          <w:i/>
        </w:rPr>
        <w:fldChar w:fldCharType="begin"/>
      </w:r>
      <w:r w:rsidRPr="00E105B1">
        <w:rPr>
          <w:i/>
        </w:rPr>
        <w:instrText xml:space="preserve"> ADDIN ZOTERO_ITEM {"citationID":"puOanE7S","properties":{"formattedCitation":"{\\rtf (2005, 124\\uc0\\u8211{}125)}","plainCitation":"(2005, 124–125)"},"citationItems":[{"id":1271,"uris":["http://zotero.org/groups/4482/items/7JSTSSX7","http://zotero.org/groups/4482/items/UPRI6374"],"uri":["http://zotero.org/groups/4482/items/7JSTSSX7","http://zotero.org/groups/4482/items/UPRI6374"],"locator":"124-125","label":"page","suppress-author":true}]} </w:instrText>
      </w:r>
      <w:r w:rsidR="00F7383F" w:rsidRPr="00E105B1">
        <w:rPr>
          <w:i/>
        </w:rPr>
        <w:fldChar w:fldCharType="separate"/>
      </w:r>
      <w:r w:rsidRPr="00E105B1">
        <w:rPr>
          <w:i/>
        </w:rPr>
        <w:t>(2005, 124–125)</w:t>
      </w:r>
      <w:r w:rsidR="00F7383F" w:rsidRPr="00E105B1">
        <w:rPr>
          <w:i/>
        </w:rPr>
        <w:fldChar w:fldCharType="end"/>
      </w:r>
      <w:r w:rsidRPr="00E105B1">
        <w:rPr>
          <w:i/>
        </w:rPr>
        <w:t>.</w:t>
      </w:r>
    </w:p>
    <w:p w:rsidR="007D46DA" w:rsidRPr="005C2421" w:rsidRDefault="007D46DA" w:rsidP="007D46DA">
      <w:pPr>
        <w:rPr>
          <w:i/>
        </w:rPr>
      </w:pPr>
    </w:p>
    <w:p w:rsidR="007D46DA" w:rsidRPr="005C2421" w:rsidRDefault="007D46DA" w:rsidP="007D46DA">
      <w:r w:rsidRPr="005C2421">
        <w:t>On a more positive note, irrigation can make deserts and semi-arid areas bloom. The</w:t>
      </w:r>
      <w:r w:rsidRPr="00E105B1">
        <w:t>re may be no more obvious example of this than the blossoming of crop circles in areas using center-pivot irrigation (see Figure 3.6).</w:t>
      </w:r>
    </w:p>
    <w:p w:rsidR="007D46DA" w:rsidRPr="005C2421" w:rsidRDefault="007D46DA" w:rsidP="007D46DA">
      <w:r>
        <w:rPr>
          <w:noProof/>
        </w:rPr>
        <w:drawing>
          <wp:anchor distT="0" distB="0" distL="114300" distR="114300" simplePos="0" relativeHeight="251673600" behindDoc="0" locked="1" layoutInCell="1" allowOverlap="1">
            <wp:simplePos x="0" y="0"/>
            <wp:positionH relativeFrom="column">
              <wp:align>center</wp:align>
            </wp:positionH>
            <wp:positionV relativeFrom="paragraph">
              <wp:posOffset>113030</wp:posOffset>
            </wp:positionV>
            <wp:extent cx="5943600" cy="1809115"/>
            <wp:effectExtent l="25400" t="0" r="0" b="0"/>
            <wp:wrapTopAndBottom/>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srcRect/>
                    <a:stretch>
                      <a:fillRect/>
                    </a:stretch>
                  </pic:blipFill>
                  <pic:spPr bwMode="auto">
                    <a:xfrm>
                      <a:off x="0" y="0"/>
                      <a:ext cx="5943600" cy="1809115"/>
                    </a:xfrm>
                    <a:prstGeom prst="rect">
                      <a:avLst/>
                    </a:prstGeom>
                    <a:noFill/>
                  </pic:spPr>
                </pic:pic>
              </a:graphicData>
            </a:graphic>
          </wp:anchor>
        </w:drawing>
      </w:r>
      <w:r w:rsidRPr="00E105B1">
        <w:rPr>
          <w:b/>
        </w:rPr>
        <w:t>Figure 3.6 Greening of the Al’ Isawiyah Desert, Saudi Arabia (1991-2004)</w:t>
      </w:r>
    </w:p>
    <w:p w:rsidR="007D46DA" w:rsidRPr="005C2421" w:rsidRDefault="007D46DA" w:rsidP="007D46DA">
      <w:pPr>
        <w:rPr>
          <w:i/>
        </w:rPr>
      </w:pPr>
      <w:r w:rsidRPr="00E105B1">
        <w:rPr>
          <w:i/>
        </w:rPr>
        <w:t xml:space="preserve">Source: Used with permission from UNEP </w:t>
      </w:r>
      <w:r w:rsidR="00F7383F" w:rsidRPr="00E105B1">
        <w:rPr>
          <w:i/>
        </w:rPr>
        <w:fldChar w:fldCharType="begin"/>
      </w:r>
      <w:r w:rsidRPr="00E105B1">
        <w:rPr>
          <w:i/>
        </w:rPr>
        <w:instrText xml:space="preserve"> ADDIN ZOTERO_ITEM {"citationID":"0fL7uG8K","properties":{"formattedCitation":"{\\rtf (2005, 198\\uc0\\u8211{}199)}","plainCitation":"(2005, 198–199)"},"citationItems":[{"id":1271,"uris":["http://zotero.org/groups/4482/items/7JSTSSX7","http://zotero.org/groups/4482/items/UPRI6374"],"uri":["http://zotero.org/groups/4482/items/7JSTSSX7","http://zotero.org/groups/4482/items/UPRI6374"],"locator":"198-199","label":"page","suppress-author":true}]} </w:instrText>
      </w:r>
      <w:r w:rsidR="00F7383F" w:rsidRPr="00E105B1">
        <w:rPr>
          <w:i/>
        </w:rPr>
        <w:fldChar w:fldCharType="separate"/>
      </w:r>
      <w:r w:rsidRPr="00E105B1">
        <w:rPr>
          <w:i/>
        </w:rPr>
        <w:t>(2005, 198–199)</w:t>
      </w:r>
      <w:r w:rsidR="00F7383F" w:rsidRPr="00E105B1">
        <w:rPr>
          <w:i/>
        </w:rPr>
        <w:fldChar w:fldCharType="end"/>
      </w:r>
      <w:r w:rsidRPr="00E105B1">
        <w:rPr>
          <w:i/>
        </w:rPr>
        <w:t>.</w:t>
      </w:r>
    </w:p>
    <w:p w:rsidR="007D46DA" w:rsidRPr="005C2421" w:rsidRDefault="007D46DA" w:rsidP="007D46DA">
      <w:pPr>
        <w:rPr>
          <w:i/>
        </w:rPr>
      </w:pPr>
    </w:p>
    <w:p w:rsidR="007D46DA" w:rsidRPr="005C2421" w:rsidRDefault="007D46DA" w:rsidP="007D46DA">
      <w:r w:rsidRPr="005C2421">
        <w:t xml:space="preserve">The GLOBIO3 modeling framework provides one of the few efforts to quantitatively estimate the specific impact of infrastructure on the physical </w:t>
      </w:r>
      <w:r w:rsidRPr="00E105B1">
        <w:t>environment at larger scales. GLOBIO3 is used to calculate the impact of infrastructure</w:t>
      </w:r>
      <w:r>
        <w:rPr>
          <w:rStyle w:val="FootnoteReference"/>
        </w:rPr>
        <w:footnoteReference w:id="53"/>
      </w:r>
      <w:r w:rsidRPr="00E105B1">
        <w:t xml:space="preserve"> and four other drivers—land use change (agriculture and forestry), nitrogen deposition, fragmentation, and climate change—on terrestrial biodiversity </w:t>
      </w:r>
      <w:fldSimple w:instr=" ADDIN ZOTERO_ITEM {&quot;citationID&quot;:&quot;uHxTSbJM&quot;,&quot;properties&quot;:{&quot;formattedCitation&quot;:&quot;(Alkemade et al. 2009)&quot;,&quot;plainCitation&quot;:&quot;(Alkemade et al. 2009)&quot;},&quot;citationItems&quot;:[{&quot;id&quot;:682,&quot;uris&quot;:[&quot;http://zotero.org/groups/4482/items/Z4ZT3BWT&quot;],&quot;uri&quot;:[&quot;http://zotero.org/groups/4482/items/Z4ZT3BWT&quot;]}]} ">
        <w:r w:rsidRPr="00E105B1">
          <w:t>(Alkemade et al. 2009)</w:t>
        </w:r>
      </w:fldSimple>
      <w:r w:rsidRPr="00E105B1">
        <w:t xml:space="preserve">. This framework uses quantitative results from the meta-analysis presented in Benítez-Lopéz, Alkemade, and Verweij </w:t>
      </w:r>
      <w:fldSimple w:instr=" ADDIN ZOTERO_ITEM {&quot;citationID&quot;:&quot;Iz4zDsVT&quot;,&quot;properties&quot;:{&quot;formattedCitation&quot;:&quot;(2010)&quot;,&quot;plainCitation&quot;:&quot;(2010)&quot;},&quot;citationItems&quot;:[{&quot;id&quot;:350,&quot;uris&quot;:[&quot;http://zotero.org/groups/4482/items/BU98BRC4&quot;],&quot;uri&quot;:[&quot;http://zotero.org/groups/4482/items/BU98BRC4&quot;],&quot;suppress-author&quot;:true}]} ">
        <w:r w:rsidRPr="00E105B1">
          <w:t>(2010)</w:t>
        </w:r>
      </w:fldSimple>
      <w:r w:rsidRPr="00E105B1">
        <w:t xml:space="preserve"> to estimate the direct effect of infrastructure. At the global level up to the year 2000, Alkemade et al. </w:t>
      </w:r>
      <w:fldSimple w:instr=" ADDIN ZOTERO_ITEM {&quot;citationID&quot;:&quot;TVIcipI4&quot;,&quot;properties&quot;:{&quot;formattedCitation&quot;:&quot;(Alkemade et al. 2009)&quot;,&quot;plainCitation&quot;:&quot;(Alkemade et al. 2009)&quot;},&quot;citationItems&quot;:[{&quot;id&quot;:682,&quot;uris&quot;:[&quot;http://zotero.org/groups/4482/items/Z4ZT3BWT&quot;],&quot;uri&quot;:[&quot;http://zotero.org/groups/4482/items/Z4ZT3BWT&quot;]}]} ">
        <w:r w:rsidRPr="00E105B1">
          <w:rPr>
            <w:noProof/>
          </w:rPr>
          <w:t>(2009)</w:t>
        </w:r>
      </w:fldSimple>
      <w:r w:rsidRPr="00E105B1">
        <w:t xml:space="preserve"> estimated the direct impact of infrastructure to have been second only to land-use change (and slightly greater than habitat fragmentation, to which infrastructure is a significant contributor) in driving species loss.</w:t>
      </w:r>
    </w:p>
    <w:p w:rsidR="007D46DA" w:rsidRPr="005C2421" w:rsidRDefault="007D46DA" w:rsidP="007D46DA"/>
    <w:p w:rsidR="007D46DA" w:rsidRPr="005C2421" w:rsidRDefault="007D46DA" w:rsidP="007D46DA">
      <w:r w:rsidRPr="00E105B1">
        <w:t xml:space="preserve">Increased infrastructure need not necessarily lead to increased negative environmental impact, however. One of the most obvious positive impacts, at least in most higher-income countries,  has been the reduction through wastewater treatment of often devastating consequences for water systems of sewage and various other streams of run-off.  Yet some of he greatest potential for positive environmental returns to infrastructure investments, often again remedial in that they reduce earlier negative human impacts, may lie in the ability of ICTs to improve energy efficiency and accelerate the shift toward renewable resources. One particular area of hope is in smart grids, which use advanced metering, transmission, distribution, and electricity storage technologies to transform the current electricity infrastructure technologies </w:t>
      </w:r>
      <w:fldSimple w:instr=" ADDIN ZOTERO_ITEM {&quot;citationID&quot;:&quot;ah86h93k8&quot;,&quot;properties&quot;:{&quot;formattedCitation&quot;:&quot;(Hledik 2009)&quot;,&quot;plainCitation&quot;:&quot;(Hledik 2009)&quot;},&quot;citationItems&quot;:[{&quot;id&quot;:1337,&quot;uris&quot;:[&quot;http://zotero.org/groups/4482/items/N3SMF7GR&quot;],&quot;uri&quot;:[&quot;http://zotero.org/groups/4482/items/N3SMF7GR&quot;]}]} ">
        <w:r w:rsidRPr="00E105B1">
          <w:t>(Hledik 2009)</w:t>
        </w:r>
      </w:fldSimple>
      <w:r w:rsidRPr="00E105B1">
        <w:t xml:space="preserve">. In addition to providing greater flexibility and efficiency, smart grids facilitate more distributed production of electricity, enhancing the viability of renewable resources, such as wind and solar, which face challenges due to the intermittent nature of their production. Hledik </w:t>
      </w:r>
      <w:r w:rsidR="00F7383F" w:rsidRPr="00E105B1">
        <w:fldChar w:fldCharType="begin"/>
      </w:r>
      <w:r w:rsidRPr="00E105B1">
        <w:instrText xml:space="preserve"> ADDIN ZOTERO_ITEM {"citationID":"s74it15pe","properties":{"formattedCitation":"(2009, 33)","plainCitation":"(2009, 33)"},"citationItems":[{"id":1337,"uris":["http://zotero.org/groups/4482/items/N3SMF7GR"],"uri":["http://zotero.org/groups/4482/items/N3SMF7GR"],"locator":"33","label":"page","suppress-author":true}]} </w:instrText>
      </w:r>
      <w:r w:rsidR="00F7383F" w:rsidRPr="00E105B1">
        <w:fldChar w:fldCharType="separate"/>
      </w:r>
      <w:r w:rsidRPr="00E105B1">
        <w:t>(2009, 33)</w:t>
      </w:r>
      <w:r w:rsidR="00F7383F" w:rsidRPr="00E105B1">
        <w:fldChar w:fldCharType="end"/>
      </w:r>
      <w:r w:rsidRPr="00E105B1">
        <w:t xml:space="preserve"> estimated that, in a conservative scenario (assuming only technologies that are already commercially available), smart grids in the United States could lead to a four percent reduction in overall electricity consumption in 2030, and an even larger decline in carbon dioxide emissions due to the increased penetration of renewable sources of production.</w:t>
      </w:r>
    </w:p>
    <w:p w:rsidR="007D46DA" w:rsidRPr="005C2421" w:rsidRDefault="007D46DA" w:rsidP="007D46DA"/>
    <w:p w:rsidR="007D46DA" w:rsidRPr="005C2421" w:rsidRDefault="007D46DA" w:rsidP="007D46DA">
      <w:r w:rsidRPr="00E105B1">
        <w:t xml:space="preserve">Based upon their analysis of studies of electricity demand in the European Union </w:t>
      </w:r>
      <w:fldSimple w:instr=" ADDIN ZOTERO_ITEM {&quot;citationID&quot;:&quot;2meejs88b3&quot;,&quot;properties&quot;:{&quot;formattedCitation&quot;:&quot;(Labouze et al. 2008)&quot;,&quot;plainCitation&quot;:&quot;(Labouze et al. 2008)&quot;},&quot;citationItems&quot;:[{&quot;id&quot;:1333,&quot;uris&quot;:[&quot;http://zotero.org/groups/4482/items/GBCHTXXS&quot;],&quot;uri&quot;:[&quot;http://zotero.org/groups/4482/items/GBCHTXXS&quot;]}]} ">
        <w:r w:rsidRPr="00E105B1">
          <w:t>(Labouze et al. 2008)</w:t>
        </w:r>
      </w:fldSimple>
      <w:r w:rsidRPr="00E105B1">
        <w:t xml:space="preserve"> and the United States </w:t>
      </w:r>
      <w:fldSimple w:instr=" ADDIN ZOTERO_ITEM {&quot;citationID&quot;:&quot;726b4ad3k&quot;,&quot;properties&quot;:{&quot;formattedCitation&quot;:&quot;(Chupka et al. 2008)&quot;,&quot;plainCitation&quot;:&quot;(Chupka et al. 2008)&quot;},&quot;citationItems&quot;:[{&quot;id&quot;:1326,&quot;uris&quot;:[&quot;http://zotero.org/groups/4482/items/9K6MV4T2&quot;],&quot;uri&quot;:[&quot;http://zotero.org/groups/4482/items/9K6MV4T2&quot;]}]} ">
        <w:r w:rsidRPr="00E105B1">
          <w:t>(Chupka et al. 2008)</w:t>
        </w:r>
      </w:fldSimple>
      <w:r w:rsidRPr="00E105B1">
        <w:t xml:space="preserve">, Moyer and Hughes estimated that each percentage point increase in broadband penetration (a proxy for general ICT penetration) would result in a 0.08% increase in energy efficiency. Chupka et al. </w:t>
      </w:r>
      <w:fldSimple w:instr=" ADDIN ZOTERO_ITEM {&quot;citationID&quot;:&quot;l77e6rt49&quot;,&quot;properties&quot;:{&quot;formattedCitation&quot;:&quot;(2008)&quot;,&quot;plainCitation&quot;:&quot;(2008)&quot;},&quot;citationItems&quot;:[{&quot;id&quot;:1326,&quot;uris&quot;:[&quot;http://zotero.org/groups/4482/items/9K6MV4T2&quot;],&quot;uri&quot;:[&quot;http://zotero.org/groups/4482/items/9K6MV4T2&quot;],&quot;suppress-author&quot;:true}]} ">
        <w:r w:rsidRPr="00E105B1">
          <w:t>(2008)</w:t>
        </w:r>
      </w:fldSimple>
      <w:r w:rsidRPr="00E105B1">
        <w:t xml:space="preserve"> also indicated that the renewable share in new electricity production in the United States would approach 30 percent in a scenario with high investment in ICT, as opposed to under 20 percent in a scenario with stagnant investment.</w:t>
      </w:r>
    </w:p>
    <w:p w:rsidR="007D46DA" w:rsidRPr="005C2421" w:rsidRDefault="007D46DA" w:rsidP="007D46DA"/>
    <w:p w:rsidR="007D46DA" w:rsidRPr="005C2421" w:rsidRDefault="007D46DA" w:rsidP="007D46DA">
      <w:r w:rsidRPr="00E105B1">
        <w:t xml:space="preserve">ICT tools are becoming increasingly important in the agricultural sector as well. From enabling more efficient irrigation systems that can monitor exact soil conditions to GPS-guided tractors that can optimize land use, ICT tools are helping to increase crop yields and lessen agriculture’s negative impacts on the environment </w:t>
      </w:r>
      <w:r w:rsidR="00F7383F" w:rsidRPr="00E105B1">
        <w:fldChar w:fldCharType="begin"/>
      </w:r>
      <w:r w:rsidRPr="00E105B1">
        <w:instrText xml:space="preserve"> ADDIN ZOTERO_ITEM {"citationID":"4Ok1T1is","properties":{"formattedCitation":"(Fountas, Pedersen, and Blackmore 2005; Vellidis et al. 2008)","plainCitation":"(Fountas, Pedersen, and Blackmore 2005; Vellidis et al. 2008)"},"citationItems":[{"id":1625,"uris":["http://zotero.org/groups/4482/items/RF3EJSSB"],"uri":["http://zotero.org/groups/4482/items/RF3EJSSB"],"label":"page"},{"id":1618,"uris":["http://zotero.org/groups/4482/items/NR3TB5A9"],"uri":["http://zotero.org/groups/4482/items/NR3TB5A9"],"label":"page"}]} </w:instrText>
      </w:r>
      <w:r w:rsidR="00F7383F" w:rsidRPr="00E105B1">
        <w:fldChar w:fldCharType="separate"/>
      </w:r>
      <w:r w:rsidRPr="00E105B1">
        <w:rPr>
          <w:noProof/>
        </w:rPr>
        <w:t>(Fountas, Pedersen, and Blackmore 2005; Vellidis et al. 2008)</w:t>
      </w:r>
      <w:r w:rsidR="00F7383F" w:rsidRPr="00E105B1">
        <w:fldChar w:fldCharType="end"/>
      </w:r>
      <w:r w:rsidRPr="00E105B1">
        <w:t xml:space="preserve">. The spread of ICT to more rural areas is also leading to new ways of providing agricultural extension services to poor people around the world, increasing both profits and sustainable practices </w:t>
      </w:r>
      <w:r w:rsidR="00F7383F" w:rsidRPr="00E105B1">
        <w:fldChar w:fldCharType="begin"/>
      </w:r>
      <w:r w:rsidRPr="00E105B1">
        <w:instrText xml:space="preserve"> ADDIN ZOTERO_ITEM {"citationID":"L7fWvXvr","properties":{"formattedCitation":"(Aker 2010; Rodrigues 2010)","plainCitation":"(Aker 2010; Rodrigues 2010)"},"citationItems":[{"id":1616,"uris":["http://zotero.org/groups/4482/items/3P4AQD7Z"],"uri":["http://zotero.org/groups/4482/items/3P4AQD7Z"],"label":"page"},{"id":1626,"uris":["http://zotero.org/groups/4482/items/HJXAIW5N"],"uri":["http://zotero.org/groups/4482/items/HJXAIW5N"],"label":"page"}]} </w:instrText>
      </w:r>
      <w:r w:rsidR="00F7383F" w:rsidRPr="00E105B1">
        <w:fldChar w:fldCharType="separate"/>
      </w:r>
      <w:r w:rsidRPr="00E105B1">
        <w:rPr>
          <w:noProof/>
        </w:rPr>
        <w:t>(Aker 2010; Rodrigues 2010)</w:t>
      </w:r>
      <w:r w:rsidR="00F7383F" w:rsidRPr="00E105B1">
        <w:fldChar w:fldCharType="end"/>
      </w:r>
      <w:r w:rsidRPr="00E105B1">
        <w:t>.</w:t>
      </w:r>
    </w:p>
    <w:p w:rsidR="007D46DA" w:rsidRPr="005C2421" w:rsidRDefault="007D46DA" w:rsidP="007D46DA"/>
    <w:p w:rsidR="007D46DA" w:rsidRPr="005C2421" w:rsidRDefault="007D46DA" w:rsidP="007D46DA">
      <w:r w:rsidRPr="00E105B1">
        <w:t xml:space="preserve">Beyond the more direct effects of infrastructure on the natural environment discussed so far, to the extent that infrastructure increases overall economic activity it also can have more indirect consequences for  the natural environment. Environmental implications of economic growth can include further land use changes, resource extraction and exhaustion, and pollutant emissions, as well as generation of governmental resources that can help limit such damage.  The complex interplay of these multiple indirect consequences has discouraged detailed studies of their net impact. </w:t>
      </w:r>
    </w:p>
    <w:p w:rsidR="007D46DA" w:rsidRPr="005C2421" w:rsidRDefault="007D46DA" w:rsidP="007D46DA"/>
    <w:p w:rsidR="007D46DA" w:rsidRPr="005C2421" w:rsidRDefault="007D46DA" w:rsidP="007D46DA"/>
    <w:p w:rsidR="007D46DA" w:rsidRPr="005C2421" w:rsidRDefault="00A84F12" w:rsidP="00877E30">
      <w:pPr>
        <w:pStyle w:val="Heading2"/>
        <w:numPr>
          <w:ilvl w:val="1"/>
          <w:numId w:val="31"/>
        </w:numPr>
      </w:pPr>
      <w:bookmarkStart w:id="78" w:name="_Toc199583382"/>
      <w:r>
        <w:t xml:space="preserve"> </w:t>
      </w:r>
      <w:bookmarkStart w:id="79" w:name="_Toc200095284"/>
      <w:r w:rsidR="007D46DA" w:rsidRPr="00E105B1">
        <w:t>Human Development and the Environment as Drivers of Infrastructure</w:t>
      </w:r>
      <w:bookmarkEnd w:id="78"/>
      <w:bookmarkEnd w:id="79"/>
    </w:p>
    <w:p w:rsidR="007D46DA" w:rsidRPr="005C2421" w:rsidRDefault="007D46DA" w:rsidP="007D46DA">
      <w:r w:rsidRPr="00E105B1">
        <w:t xml:space="preserve">The desire for the positive benefits accruing from infrastructure services, explored in the previous section, underpins the demand for infrastructure development. To a certain extent, these desires, and therefore, these demands are inherent in all human societies. However, the need for, and ability to satisfy such demands varies significantly from country to country. In estimating the future demand for infrastructure, most studies point to three primary aspects of societies to explain these differences—their economic makeup, their demographic makeup, and the nature of the physical environment in which they live </w:t>
      </w:r>
      <w:r w:rsidR="00F7383F" w:rsidRPr="00E105B1">
        <w:fldChar w:fldCharType="begin"/>
      </w:r>
      <w:r w:rsidRPr="00E105B1">
        <w:instrText xml:space="preserve"> ADDIN ZOTERO_ITEM {"citationID":"12vv53o4ah","properties":{"formattedCitation":"(Fay 2001; Fay and Yepes 2003; Lawson and Dragusanu 2008; Organisation for Economic Cooperation and Development (OECD) 2006)","plainCitation":"(Fay 2001; Fay and Yepes 2003; Lawson and Dragusanu 2008; Organisation for Economic Cooperation and Development (OECD) 2006)"},"citationItems":[{"id":480,"uris":["http://zotero.org/groups/4482/items/KQS277CN"],"uri":["http://zotero.org/groups/4482/items/KQS277CN"],"label":"page"},{"id":1138,"uris":["http://zotero.org/groups/4482/items/4BPWRAEZ"],"uri":["http://zotero.org/groups/4482/items/4BPWRAEZ"],"label":"page"},{"id":1489,"uris":["http://zotero.org/groups/4482/items/Z92RJGHT"],"uri":["http://zotero.org/groups/4482/items/Z92RJGHT"],"label":"page"},{"id":1462,"uris":["http://zotero.org/groups/4482/items/5MCXH4FW"],"uri":["http://zotero.org/groups/4482/items/5MCXH4FW"],"label":"page"}]} </w:instrText>
      </w:r>
      <w:r w:rsidR="00F7383F" w:rsidRPr="00E105B1">
        <w:fldChar w:fldCharType="separate"/>
      </w:r>
      <w:r w:rsidRPr="00E105B1">
        <w:t>(Fay 2001; Fay and Yepes 2003; Lawson and Dragusanu 2008; Organisation for Economic Cooperation and Development (OECD) 2006)</w:t>
      </w:r>
      <w:r w:rsidR="00F7383F" w:rsidRPr="00E105B1">
        <w:fldChar w:fldCharType="end"/>
      </w:r>
      <w:r w:rsidRPr="00E105B1">
        <w:t>.</w:t>
      </w:r>
    </w:p>
    <w:p w:rsidR="007D46DA" w:rsidRPr="005C2421" w:rsidRDefault="007D46DA" w:rsidP="007D46DA"/>
    <w:p w:rsidR="007D46DA" w:rsidRPr="005C2421" w:rsidRDefault="007D46DA" w:rsidP="007D46DA">
      <w:r w:rsidRPr="00E105B1">
        <w:t xml:space="preserve">The economic makeup of a country includes the overall size of its economy, its sectoral breakdown, and the level of affluence it affords for its population. Typical measures of these are total Gross Domestic Product (GDP), the share of value added for different sectors, and Gross Domestic Product per Capita (GDP per capita), respectively. All else being equal, a larger economy uses more primary resources and produces more intermediate products and final goods, increasing the demands for all types of infrastructure. Different sectors of the economy have differing demands for infrastructure. For example, the demand for irrigation comes almost exclusively from agriculture. Higher levels of personal income bring with them a greater ability to afford infrastructure and the services it provides. This translates into a greater effective demand for infrastructure. This is captured in part by GDP per capita, which provides an estimate of the average income in a country. However, we cannot ignore the distribution of income. Because there is a natural limit to many infrastructure services, i.e. once a person has access to electricity in their home it does not make sense to demand further access, the share of the population below a certain income threshold may be a clearer determinant of the demand for electricity access. Finally, in a more indirect fashion, Doshi, Schulman, and Gabaldon </w:t>
      </w:r>
      <w:fldSimple w:instr=" ADDIN ZOTERO_ITEM {&quot;citationID&quot;:&quot;1d2vfrnbhj&quot;,&quot;properties&quot;:{&quot;formattedCitation&quot;:&quot;(2007)&quot;,&quot;plainCitation&quot;:&quot;(2007)&quot;},&quot;citationItems&quot;:[{&quot;id&quot;:1494,&quot;uris&quot;:[&quot;http://zotero.org/groups/4482/items/3DWV79QT&quot;],&quot;uri&quot;:[&quot;http://zotero.org/groups/4482/items/3DWV79QT&quot;],&quot;suppress-author&quot;:true}]} ">
        <w:r w:rsidRPr="00E105B1">
          <w:t>(2007)</w:t>
        </w:r>
      </w:fldSimple>
      <w:r w:rsidRPr="00E105B1">
        <w:t xml:space="preserve"> argued that globalization and the growth of multinational corporations are also helping to increase demand in new areas of the world as factories and the like move to countries with cheaper labor.</w:t>
      </w:r>
    </w:p>
    <w:p w:rsidR="007D46DA" w:rsidRPr="005C2421" w:rsidRDefault="007D46DA" w:rsidP="007D46DA"/>
    <w:p w:rsidR="007D46DA" w:rsidRPr="005C2421" w:rsidRDefault="007D46DA" w:rsidP="007D46DA">
      <w:r w:rsidRPr="00E105B1">
        <w:t xml:space="preserve">Similar to the overall size of the economy, it is common sense that a larger population will create a larger demand for infrastructure. This is tempered somewhat by the fact that a larger population, assuming the same overall size of the economy, implies a lower level of average income. There are other aspects of a country’s demographic makeup that can play a role in determining demand for infrastructure. Some infrastructure, for example, household access to improved sources of clean water and sanitation, is more a function of the number of households than the size of population. As the average size of families changes, most often from larger to smaller as incomes increase and multigenerational homes become less common, the growth in the number of households will outpace overall population growth, thereby increasing the demand for these and other services </w:t>
      </w:r>
      <w:r w:rsidR="00F7383F" w:rsidRPr="00E105B1">
        <w:fldChar w:fldCharType="begin"/>
      </w:r>
      <w:r w:rsidRPr="00E105B1">
        <w:instrText xml:space="preserve"> ADDIN ZOTERO_ITEM {"citationID":"25d9a29g2","properties":{"formattedCitation":"(de Jong and van de Riet 2004, 6)","plainCitation":"(de Jong and van de Riet 2004, 6)"},"citationItems":[{"id":197,"uris":["http://zotero.org/groups/4482/items/247TPAFT"],"uri":["http://zotero.org/groups/4482/items/247TPAFT"],"locator":"6","label":"page"}]} </w:instrText>
      </w:r>
      <w:r w:rsidR="00F7383F" w:rsidRPr="00E105B1">
        <w:fldChar w:fldCharType="separate"/>
      </w:r>
      <w:r w:rsidRPr="00E105B1">
        <w:t>(de Jong and van de Riet 2004, 6)</w:t>
      </w:r>
      <w:r w:rsidR="00F7383F" w:rsidRPr="00E105B1">
        <w:fldChar w:fldCharType="end"/>
      </w:r>
      <w:r w:rsidRPr="00E105B1">
        <w:t xml:space="preserve">. This is also affected by the changing age structure of populations. De Jong and van de Riet </w:t>
      </w:r>
      <w:fldSimple w:instr=" ADDIN ZOTERO_ITEM {&quot;citationID&quot;:&quot;20qs3rkflb&quot;,&quot;properties&quot;:{&quot;formattedCitation&quot;:&quot;(2004)&quot;,&quot;plainCitation&quot;:&quot;(2004)&quot;},&quot;citationItems&quot;:[{&quot;id&quot;:197,&quot;uris&quot;:[&quot;http://zotero.org/groups/4482/items/247TPAFT&quot;],&quot;uri&quot;:[&quot;http://zotero.org/groups/4482/items/247TPAFT&quot;],&quot;suppress-author&quot;:true}]} ">
        <w:r w:rsidRPr="00E105B1">
          <w:t>(2004)</w:t>
        </w:r>
      </w:fldSimple>
      <w:r w:rsidRPr="00E105B1">
        <w:t xml:space="preserve"> argued that as populations grow older, there may be increased demand for public transport as the older segments of society shift away from owning their own vehicles, particularly in developed countries. Migration is also a factor in the demand for infrastructure. Bohlin, Forge, and Blackman </w:t>
      </w:r>
      <w:r w:rsidR="00F7383F" w:rsidRPr="00E105B1">
        <w:fldChar w:fldCharType="begin"/>
      </w:r>
      <w:r w:rsidRPr="00E105B1">
        <w:instrText xml:space="preserve"> ADDIN ZOTERO_ITEM {"citationID":"i3c997g9n","properties":{"formattedCitation":"(2006, 72)","plainCitation":"(2006, 72)"},"citationItems":[{"id":1505,"uris":["http://zotero.org/groups/4482/items/PZFTZEIE"],"uri":["http://zotero.org/groups/4482/items/PZFTZEIE"],"locator":"72","label":"page","suppress-author":true}]} </w:instrText>
      </w:r>
      <w:r w:rsidR="00F7383F" w:rsidRPr="00E105B1">
        <w:fldChar w:fldCharType="separate"/>
      </w:r>
      <w:r w:rsidRPr="00E105B1">
        <w:t>(2006, 72)</w:t>
      </w:r>
      <w:r w:rsidR="00F7383F" w:rsidRPr="00E105B1">
        <w:fldChar w:fldCharType="end"/>
      </w:r>
      <w:r w:rsidRPr="00E105B1">
        <w:t xml:space="preserve"> noted the importance of increasing international migration in driving ICT development. This is likely due to the desire of migrants for lines of communication and ways to transfer funds to their families back home</w:t>
      </w:r>
      <w:r w:rsidR="00F7383F" w:rsidRPr="00E105B1">
        <w:fldChar w:fldCharType="begin"/>
      </w:r>
      <w:r w:rsidRPr="00E105B1">
        <w:instrText xml:space="preserve"> ADDIN ZOTERO_ITEM {"citationID":"gntviqnf6","properties":{"formattedCitation":"(Bohlin, Forge, and Blackman 2006)","plainCitation":""},"citationItems":[{"id":1505,"uris":["http://zotero.org/groups/4482/items/PZFTZEIE"],"uri":["http://zotero.org/groups/4482/items/PZFTZEIE"]}]} </w:instrText>
      </w:r>
      <w:r w:rsidR="00F7383F" w:rsidRPr="00E105B1">
        <w:fldChar w:fldCharType="end"/>
      </w:r>
      <w:r w:rsidRPr="00E105B1">
        <w:t>(Bohlin, Forge, and Blackman 2006). Finally, the spatial distribution of the population can influence the demand for infrastructure. Many forms of infrastructure, including public transportation infrastructure and infrastructure related to providing access, are more economical in urban areas due to their greater population density. In some cases, though, such as Canada and Australia, a country can be heavily urbanized but still have relatively low overall population densities due to their size. The long distance between urban areas increases the demand for others forms of infrastructure, pointing to the need to also consider the geography of a country in thinking about the demand for infrastructure.</w:t>
      </w:r>
    </w:p>
    <w:p w:rsidR="007D46DA" w:rsidRPr="005C2421" w:rsidRDefault="007D46DA" w:rsidP="007D46DA"/>
    <w:p w:rsidR="007D46DA" w:rsidRPr="005C2421" w:rsidRDefault="007D46DA" w:rsidP="007D46DA">
      <w:r w:rsidRPr="00E105B1">
        <w:t xml:space="preserve">Geography goes beyond the absolute size of a country. For the purposes of international trade, countries with larger coastlines require greater port infrastructure; this is often coupled with rail and roads to connect the interior to the coast. Coastlines also increase the demand for protective infrastructure from coastal storms. Mountains and rivers pose barriers to roads and other forms of infrastructure, calling for, among other things, tunnels and bridges. The need for, and the ability to supply, irrigation, flood control, hydroelectric power, and other infrastructure services are also influenced by a country’s geography, including its climate. Ndulu </w:t>
      </w:r>
      <w:fldSimple w:instr=" ADDIN ZOTERO_ITEM {&quot;citationID&quot;:&quot;rbivv3rb6&quot;,&quot;properties&quot;:{&quot;formattedCitation&quot;:&quot;(2006)&quot;,&quot;plainCitation&quot;:&quot;(2006)&quot;},&quot;citationItems&quot;:[{&quot;id&quot;:1532,&quot;uris&quot;:[&quot;http://zotero.org/groups/4482/items/7WZKC42G&quot;],&quot;uri&quot;:[&quot;http://zotero.org/groups/4482/items/7WZKC42G&quot;],&quot;suppress-author&quot;:true}]} ">
        <w:r w:rsidRPr="00E105B1">
          <w:t>(2006)</w:t>
        </w:r>
      </w:fldSimple>
      <w:r w:rsidRPr="00E105B1">
        <w:t xml:space="preserve"> pointed to the important role of infrastructure as a measure to offset the geographic disadvantages faced by many African countries.</w:t>
      </w:r>
    </w:p>
    <w:p w:rsidR="007D46DA" w:rsidRPr="005C2421" w:rsidRDefault="007D46DA" w:rsidP="007D46DA"/>
    <w:p w:rsidR="007D46DA" w:rsidRPr="005C2421" w:rsidRDefault="007D46DA" w:rsidP="007D46DA">
      <w:r w:rsidRPr="00E105B1">
        <w:t xml:space="preserve">Finally, we cannot discount the role of government policy in determining the demand for and actual supply of infrastructure. As we discussed in Chapter 2, a significant share of public spending is for infrastructure. Some might point to ‘bridges to nowhere’ and other ‘white elephants’ as indications of corruption, or more politely, political largesse, but most people would agree that public spending on infrastructure is a proper role of governments. In addition to regular spending, public investment in infrastructure is often used as a means to stimulate economies during economic downturns. In a review of the stimulus packages of ten advanced and twelve developing and emerging economies during the early period of the Great Recession, the International Institute for Labour Studies estimated that infrastructure spending made up 15 percent of the fiscal stimulus of the advanced countries and over 45 percent of the fiscal stimulus of the developing and emerging economies </w:t>
      </w:r>
      <w:r w:rsidR="00F7383F" w:rsidRPr="00E105B1">
        <w:fldChar w:fldCharType="begin"/>
      </w:r>
      <w:r w:rsidRPr="00E105B1">
        <w:instrText xml:space="preserve"> ADDIN ZOTERO_ITEM {"citationID":"96ladolm","properties":{"formattedCitation":"(Khatiwada 2009, 19)","plainCitation":"(Khatiwada 2009, 19)"},"citationItems":[{"id":1531,"uris":["http://zotero.org/groups/4482/items/7JWJWPZ6"],"uri":["http://zotero.org/groups/4482/items/7JWJWPZ6"],"locator":"19","label":"page"}]} </w:instrText>
      </w:r>
      <w:r w:rsidR="00F7383F" w:rsidRPr="00E105B1">
        <w:fldChar w:fldCharType="separate"/>
      </w:r>
      <w:r w:rsidRPr="00E105B1">
        <w:t>(Khatiwada 2009, 19)</w:t>
      </w:r>
      <w:r w:rsidR="00F7383F" w:rsidRPr="00E105B1">
        <w:fldChar w:fldCharType="end"/>
      </w:r>
      <w:r w:rsidRPr="00E105B1">
        <w:t xml:space="preserve">. Geopolitical, security, and environmental concerns can also influence policy that has an impact on infrastructure demand. Concerns over energy security the potential effects of climate change have lead many countries to call for the increased use of renewable energy and its supporting infrastructure. Acts of terrorism have altered the way transportation systems are designed and operated </w:t>
      </w:r>
      <w:r w:rsidR="00F7383F" w:rsidRPr="00E105B1">
        <w:fldChar w:fldCharType="begin"/>
      </w:r>
      <w:r w:rsidRPr="00E105B1">
        <w:instrText xml:space="preserve"> ADDIN ZOTERO_ITEM {"citationID":"bdto3p8mn","properties":{"formattedCitation":"(Stevens, Schieb, and Andrieu 2006)","plainCitation":"(Stevens, Schieb, and Andrieu 2006)"},"citationItems":[{"id":1506,"uris":["http://zotero.org/groups/4482/items/T6NKBZ7M"],"uri":["http://zotero.org/groups/4482/items/T6NKBZ7M"]}]} </w:instrText>
      </w:r>
      <w:r w:rsidR="00F7383F" w:rsidRPr="00E105B1">
        <w:fldChar w:fldCharType="separate"/>
      </w:r>
      <w:r w:rsidRPr="00E105B1">
        <w:t>(Stevens, Schieb, and Andrieu 2006)</w:t>
      </w:r>
      <w:r w:rsidR="00F7383F" w:rsidRPr="00E105B1">
        <w:fldChar w:fldCharType="end"/>
      </w:r>
      <w:r w:rsidRPr="00E105B1">
        <w:t xml:space="preserve">. Environmental concerns have curtailed the demand for certain forms of infrastructure, such as hydroelectric dams and nuclear power plants </w:t>
      </w:r>
      <w:r w:rsidR="00F7383F" w:rsidRPr="00E105B1">
        <w:fldChar w:fldCharType="begin"/>
      </w:r>
      <w:r w:rsidRPr="00E105B1">
        <w:instrText xml:space="preserve"> ADDIN ZOTERO_ITEM {"citationID":"1afkueglt6","properties":{"formattedCitation":"(International Atomic Energy Agency (IAEA) 2008, 27)","plainCitation":"(International Atomic Energy Agency (IAEA) 2008, 27)"},"citationItems":[{"id":1535,"uris":["http://zotero.org/groups/4482/items/H73S5UDA"],"uri":["http://zotero.org/groups/4482/items/H73S5UDA"],"locator":"27","label":"page"}]} </w:instrText>
      </w:r>
      <w:r w:rsidR="00F7383F" w:rsidRPr="00E105B1">
        <w:fldChar w:fldCharType="separate"/>
      </w:r>
      <w:r w:rsidRPr="00E105B1">
        <w:t>(International Atomic Energy Agency (IAEA) 2008, 27)</w:t>
      </w:r>
      <w:r w:rsidR="00F7383F" w:rsidRPr="00E105B1">
        <w:fldChar w:fldCharType="end"/>
      </w:r>
      <w:r w:rsidRPr="00E105B1">
        <w:t>.</w:t>
      </w:r>
    </w:p>
    <w:p w:rsidR="007D46DA" w:rsidRPr="005C2421" w:rsidRDefault="007D46DA" w:rsidP="007D46DA"/>
    <w:p w:rsidR="007D46DA" w:rsidRPr="005C2421" w:rsidRDefault="00A84F12" w:rsidP="00877E30">
      <w:pPr>
        <w:pStyle w:val="Heading2"/>
        <w:numPr>
          <w:ilvl w:val="1"/>
          <w:numId w:val="31"/>
        </w:numPr>
      </w:pPr>
      <w:bookmarkStart w:id="80" w:name="_Toc199583383"/>
      <w:r>
        <w:t xml:space="preserve"> </w:t>
      </w:r>
      <w:bookmarkStart w:id="81" w:name="_Toc200095285"/>
      <w:r w:rsidR="007D46DA" w:rsidRPr="00E105B1">
        <w:t>Conclusion</w:t>
      </w:r>
      <w:bookmarkEnd w:id="80"/>
      <w:bookmarkEnd w:id="81"/>
    </w:p>
    <w:p w:rsidR="007D46DA" w:rsidRPr="005C2421" w:rsidRDefault="007D46DA" w:rsidP="007D46DA">
      <w:pPr>
        <w:keepLines/>
      </w:pPr>
      <w:r w:rsidRPr="00E105B1">
        <w:t>Infrastructure, human development, and the natural environment all exist in a state of dynamic interdependence, with each influencing the other. Infrastructure can impact human development directly, through enabling the provision of life enhancing services like clean drinking water, electricity to cook with, and protection from the vagaries of the environment, and indirectly, through enhancing economic growth, granting access to new income earning opportunities for the poor and strengthening governance. As countries develop and populations grow, the demand for more and better infrastructure increases, as does the capability for countries to meet the increased demand. In the best of worlds, these bi-directional positive linkages between infrastructure and human development create a virtuous cycle. Of course, the infrastructure that provides the services people desire is part of the physical world and as such affects and is affected by it. The need for sustainable infrastructure is becoming increasingly important as the world’s stock of hard infrastructure grows.</w:t>
      </w:r>
    </w:p>
    <w:p w:rsidR="007D46DA" w:rsidRPr="005C2421" w:rsidRDefault="007D46DA" w:rsidP="007D46DA"/>
    <w:p w:rsidR="007D46DA" w:rsidRPr="005C2421" w:rsidRDefault="007D46DA" w:rsidP="007D46DA">
      <w:r w:rsidRPr="00E105B1">
        <w:t>The review we have provided in this chapter is naturally incomplete, both in its treatment of the breadth of the relationships among infrastructure, human development, and the environment, as well as their depth. At some level, the sheer extent of interconnections and nonlinearities makes a full accounting of all the relationships impossible. What this review has done is to provide a hopefully strong foundation for modeling the demand for, and impacts of, infrastructure. In the next chapter, we will look at past efforts to quantitatively model infrastructure demand, spending, and forward linkages. We will also introduce our own methodology for modeling infrastructure within the International Futures system.</w:t>
      </w:r>
    </w:p>
    <w:p w:rsidR="007D46DA" w:rsidRPr="005C2421" w:rsidRDefault="007D46DA" w:rsidP="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7D46DA" w:rsidRDefault="007D46DA"/>
    <w:p w:rsidR="006B1499" w:rsidRPr="004F1F9C" w:rsidRDefault="00A84F12" w:rsidP="00A84F12">
      <w:pPr>
        <w:pStyle w:val="HeadingLevelA"/>
        <w:numPr>
          <w:ilvl w:val="0"/>
          <w:numId w:val="0"/>
        </w:numPr>
        <w:ind w:left="360"/>
      </w:pPr>
      <w:bookmarkStart w:id="82" w:name="_Toc283827148"/>
      <w:bookmarkStart w:id="83" w:name="_Toc326061504"/>
      <w:bookmarkStart w:id="84" w:name="_Toc200095286"/>
      <w:r>
        <w:t xml:space="preserve">4. </w:t>
      </w:r>
      <w:r w:rsidR="006B1499">
        <w:t>Methodologies and Tools for Forecasting Infrastructure</w:t>
      </w:r>
      <w:bookmarkEnd w:id="82"/>
      <w:bookmarkEnd w:id="83"/>
      <w:bookmarkEnd w:id="84"/>
    </w:p>
    <w:p w:rsidR="00C94636" w:rsidRDefault="006B1499" w:rsidP="006B1499">
      <w:r w:rsidRPr="004F1F9C">
        <w:t>As a bridge between the largely conceptual discussion of Chapter 3 and the forecasting analyses to come, this chapter turns to the more technical topic of how we best can forecast global infrastructure futures. The choice of the most appropriate tools and methods depends upon a number of factors. What aspects of infrastructure are to be considered—the size of the physical stock, the amount of spending required, sources of funding, or the impacts of infrastructure on other systems? What specific types of infrastructure are to be modeled and at what level of detail—e.g., total electricity generating capacity or capacity by specific type of power plant? What is the time horizon of interest—one year, ten years, fifty years, or one hundred years? What is the geographic scope of interest—a city, a country, a region, or the whole world?</w:t>
      </w:r>
    </w:p>
    <w:p w:rsidR="006B1499" w:rsidRPr="004F1F9C" w:rsidRDefault="006B1499" w:rsidP="006B1499"/>
    <w:p w:rsidR="006B1499" w:rsidRPr="004F1F9C" w:rsidRDefault="006B1499" w:rsidP="00C94636">
      <w:pPr>
        <w:spacing w:after="120"/>
      </w:pPr>
      <w:r w:rsidRPr="004F1F9C">
        <w:t>The key questions we set out to explore in Chapter 1 were:</w:t>
      </w:r>
    </w:p>
    <w:p w:rsidR="006B1499" w:rsidRPr="004F1F9C" w:rsidRDefault="006B1499" w:rsidP="00C94636">
      <w:pPr>
        <w:pStyle w:val="ListParagraph"/>
        <w:numPr>
          <w:ilvl w:val="0"/>
          <w:numId w:val="18"/>
        </w:numPr>
        <w:spacing w:before="120" w:after="200"/>
      </w:pPr>
      <w:r w:rsidRPr="004F1F9C">
        <w:t>What is the expected future of infrastructure, considering patterns of both demand and supply?</w:t>
      </w:r>
    </w:p>
    <w:p w:rsidR="006B1499" w:rsidRPr="004F1F9C" w:rsidRDefault="006B1499" w:rsidP="00C94636">
      <w:pPr>
        <w:pStyle w:val="ListParagraph"/>
        <w:numPr>
          <w:ilvl w:val="0"/>
          <w:numId w:val="18"/>
        </w:numPr>
        <w:spacing w:before="120" w:after="200"/>
      </w:pPr>
      <w:r w:rsidRPr="004F1F9C">
        <w:t>How realistic are the infrastructure targets that have been specified in policy discussions and what are the implications of pursuing these for broader economic, social, and political prospects of countries, regions, and the world?</w:t>
      </w:r>
    </w:p>
    <w:p w:rsidR="00C94636" w:rsidRDefault="006B1499" w:rsidP="00C94636">
      <w:pPr>
        <w:pStyle w:val="ListParagraph"/>
        <w:numPr>
          <w:ilvl w:val="0"/>
          <w:numId w:val="18"/>
        </w:numPr>
        <w:spacing w:after="200"/>
      </w:pPr>
      <w:r w:rsidRPr="004F1F9C">
        <w:t>What might be a set of targets that would be realistic (including taking into account very different starting points for countries), complete and consistent across infrastructure types, and likely to produce positive net benefits if pursued?</w:t>
      </w:r>
    </w:p>
    <w:p w:rsidR="006B1499" w:rsidRPr="004F1F9C" w:rsidRDefault="006B1499" w:rsidP="00C94636">
      <w:pPr>
        <w:pStyle w:val="ListParagraph"/>
      </w:pPr>
    </w:p>
    <w:p w:rsidR="006B1499" w:rsidRPr="004F1F9C" w:rsidRDefault="006B1499" w:rsidP="00C94636">
      <w:pPr>
        <w:spacing w:after="120"/>
      </w:pPr>
      <w:r w:rsidRPr="004F1F9C">
        <w:t>In order to address these questions, we need to be able to forecast:</w:t>
      </w:r>
    </w:p>
    <w:p w:rsidR="006B1499" w:rsidRPr="004F1F9C" w:rsidRDefault="00C94636" w:rsidP="006B1499">
      <w:pPr>
        <w:pStyle w:val="BodyText"/>
        <w:numPr>
          <w:ilvl w:val="0"/>
          <w:numId w:val="7"/>
        </w:numPr>
        <w:spacing w:before="0" w:after="0"/>
        <w:jc w:val="left"/>
      </w:pPr>
      <w:r>
        <w:t>T</w:t>
      </w:r>
      <w:r w:rsidR="006B1499" w:rsidRPr="004F1F9C">
        <w:t>he demand for infrastructure and the ability to meet these demands</w:t>
      </w:r>
    </w:p>
    <w:p w:rsidR="006B1499" w:rsidRPr="004F1F9C" w:rsidRDefault="00C94636" w:rsidP="006B1499">
      <w:pPr>
        <w:pStyle w:val="BodyText"/>
        <w:numPr>
          <w:ilvl w:val="0"/>
          <w:numId w:val="7"/>
        </w:numPr>
        <w:spacing w:before="0" w:after="0"/>
        <w:jc w:val="left"/>
      </w:pPr>
      <w:r>
        <w:t>T</w:t>
      </w:r>
      <w:r w:rsidR="006B1499" w:rsidRPr="004F1F9C">
        <w:t>he broader socio-economic and environmental implications associated with alternative infrastructure forecasts, including the feedbacks to the drivers of infrastructure demand and supply</w:t>
      </w:r>
    </w:p>
    <w:p w:rsidR="006B1499" w:rsidRPr="004F1F9C" w:rsidRDefault="006B1499" w:rsidP="006B1499"/>
    <w:p w:rsidR="006B1499" w:rsidRPr="004F1F9C" w:rsidRDefault="006B1499" w:rsidP="006B1499">
      <w:r w:rsidRPr="004F1F9C">
        <w:t xml:space="preserve">Figure 4.1 (which elaborates the earlier Figure 1.3) illustrates our conceptualization of a dynamic, integrated, infrastructure forecasting system. We can begin with forecasts of the changing demand for a range of infrastructure types. Independently, it is necessary to estimate the funding needs both to maintain existing infrastructure and to construct new infrastructure. These demands must, of course, compete with other demands on public and private resources. Thus supply of infrastructure will frequently fall short of demand. Infrastructure availability then affects various aspects of human development and well-being, which, in turn, feed back to demand for infrastructure and the availability of resources for it. Various elements in this figure, notably the socioeconomic and environmental systems, will evolve over time in response to many factors that are not shown, and our ideal forecasting system should represent those as well. </w:t>
      </w:r>
    </w:p>
    <w:p w:rsidR="006B1499" w:rsidRDefault="006B1499" w:rsidP="006B1499">
      <w:pPr>
        <w:pStyle w:val="Caption"/>
        <w:spacing w:line="240" w:lineRule="auto"/>
        <w:rPr>
          <w:rFonts w:ascii="Times New Roman" w:hAnsi="Times New Roman"/>
          <w:sz w:val="24"/>
          <w:lang w:val="en-US"/>
        </w:rPr>
      </w:pPr>
      <w:bookmarkStart w:id="85" w:name="_Toc286763177"/>
      <w:r w:rsidRPr="00F46EC9">
        <w:rPr>
          <w:rFonts w:ascii="Times New Roman" w:hAnsi="Times New Roman"/>
          <w:noProof/>
          <w:sz w:val="24"/>
          <w:lang w:val="en-US" w:eastAsia="en-US" w:bidi="ar-SA"/>
        </w:rPr>
        <w:drawing>
          <wp:inline distT="0" distB="0" distL="0" distR="0">
            <wp:extent cx="5486400" cy="2465705"/>
            <wp:effectExtent l="0" t="0" r="0" b="0"/>
            <wp:docPr id="66" name="O 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81800" cy="3048000"/>
                      <a:chOff x="0" y="0"/>
                      <a:chExt cx="6781800" cy="3048000"/>
                    </a:xfrm>
                  </a:grpSpPr>
                  <a:sp>
                    <a:nvSpPr>
                      <a:cNvPr id="2" name="Text Box 3"/>
                      <a:cNvSpPr txBox="1">
                        <a:spLocks noChangeArrowheads="1"/>
                      </a:cNvSpPr>
                    </a:nvSpPr>
                    <a:spPr bwMode="auto">
                      <a:xfrm>
                        <a:off x="0" y="0"/>
                        <a:ext cx="1371600" cy="685800"/>
                      </a:xfrm>
                      <a:prstGeom prst="rect">
                        <a:avLst/>
                      </a:prstGeom>
                      <a:noFill/>
                      <a:ln w="9525">
                        <a:noFill/>
                        <a:miter lim="800000"/>
                        <a:headEnd/>
                        <a:tailEnd/>
                      </a:ln>
                    </a:spPr>
                    <a:txSp>
                      <a:txBody>
                        <a:bodyPr vert="horz" wrap="square" lIns="91440" tIns="91440" rIns="91440" bIns="91440" numCol="1" anchor="t" anchorCtr="0" compatLnSpc="1">
                          <a:prstTxWarp prst="textNoShape">
                            <a:avLst/>
                          </a:prstTxWarp>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1200" b="0" i="0" u="none" strike="noStrike" cap="none" normalizeH="0" baseline="0">
                              <a:ln>
                                <a:noFill/>
                              </a:ln>
                              <a:solidFill>
                                <a:schemeClr val="tx1"/>
                              </a:solidFill>
                              <a:effectLst/>
                              <a:latin typeface="Times New Roman"/>
                              <a:ea typeface="Times New Roman" charset="0"/>
                              <a:cs typeface="Times New Roman"/>
                            </a:rPr>
                            <a:t>Determinants of demand for infrastructure</a:t>
                          </a:r>
                        </a:p>
                      </a:txBody>
                      <a:useSpRect/>
                    </a:txSp>
                  </a:sp>
                  <a:sp>
                    <a:nvSpPr>
                      <a:cNvPr id="3" name="Text Box 4"/>
                      <a:cNvSpPr txBox="1">
                        <a:spLocks noChangeArrowheads="1"/>
                      </a:cNvSpPr>
                    </a:nvSpPr>
                    <a:spPr bwMode="auto">
                      <a:xfrm>
                        <a:off x="0" y="1066800"/>
                        <a:ext cx="1371600" cy="685800"/>
                      </a:xfrm>
                      <a:prstGeom prst="rect">
                        <a:avLst/>
                      </a:prstGeom>
                      <a:noFill/>
                      <a:ln w="9525">
                        <a:noFill/>
                        <a:miter lim="800000"/>
                        <a:headEnd/>
                        <a:tailEnd/>
                      </a:ln>
                    </a:spPr>
                    <a:txSp>
                      <a:txBody>
                        <a:bodyPr vert="horz" wrap="square" lIns="91440" tIns="91440" rIns="91440" bIns="91440" numCol="1" anchor="t" anchorCtr="0" compatLnSpc="1">
                          <a:prstTxWarp prst="textNoShape">
                            <a:avLst/>
                          </a:prstTxWarp>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1200" b="0" i="0" u="none" strike="noStrike" cap="none" normalizeH="0" baseline="0">
                              <a:ln>
                                <a:noFill/>
                              </a:ln>
                              <a:solidFill>
                                <a:schemeClr val="tx1"/>
                              </a:solidFill>
                              <a:effectLst/>
                              <a:latin typeface="Times New Roman"/>
                              <a:ea typeface="Times New Roman" charset="0"/>
                              <a:cs typeface="Times New Roman"/>
                            </a:rPr>
                            <a:t>Demand for infrastructure</a:t>
                          </a:r>
                        </a:p>
                      </a:txBody>
                      <a:useSpRect/>
                    </a:txSp>
                  </a:sp>
                  <a:sp>
                    <a:nvSpPr>
                      <a:cNvPr id="4" name="Text Box 5"/>
                      <a:cNvSpPr txBox="1">
                        <a:spLocks noChangeArrowheads="1"/>
                      </a:cNvSpPr>
                    </a:nvSpPr>
                    <a:spPr bwMode="auto">
                      <a:xfrm>
                        <a:off x="1219200" y="914400"/>
                        <a:ext cx="1371600" cy="685800"/>
                      </a:xfrm>
                      <a:prstGeom prst="rect">
                        <a:avLst/>
                      </a:prstGeom>
                      <a:noFill/>
                      <a:ln w="9525">
                        <a:noFill/>
                        <a:miter lim="800000"/>
                        <a:headEnd/>
                        <a:tailEnd/>
                      </a:ln>
                    </a:spPr>
                    <a:txSp>
                      <a:txBody>
                        <a:bodyPr vert="horz" wrap="square" lIns="91440" tIns="91440" rIns="91440" bIns="91440" numCol="1" anchor="t" anchorCtr="0" compatLnSpc="1">
                          <a:prstTxWarp prst="textNoShape">
                            <a:avLst/>
                          </a:prstTxWarp>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1200" b="0" i="0" u="none" strike="noStrike" cap="none" normalizeH="0" baseline="0">
                              <a:ln>
                                <a:noFill/>
                              </a:ln>
                              <a:solidFill>
                                <a:schemeClr val="tx1"/>
                              </a:solidFill>
                              <a:effectLst/>
                              <a:latin typeface="Times New Roman"/>
                              <a:ea typeface="Times New Roman" charset="0"/>
                              <a:cs typeface="Times New Roman"/>
                            </a:rPr>
                            <a:t>Demand for infrastructure funding</a:t>
                          </a:r>
                        </a:p>
                      </a:txBody>
                      <a:useSpRect/>
                    </a:txSp>
                  </a:sp>
                  <a:sp>
                    <a:nvSpPr>
                      <a:cNvPr id="5" name="Text Box 6"/>
                      <a:cNvSpPr txBox="1">
                        <a:spLocks noChangeArrowheads="1"/>
                      </a:cNvSpPr>
                    </a:nvSpPr>
                    <a:spPr bwMode="auto">
                      <a:xfrm>
                        <a:off x="1295400" y="1600200"/>
                        <a:ext cx="1371600" cy="685800"/>
                      </a:xfrm>
                      <a:prstGeom prst="rect">
                        <a:avLst/>
                      </a:prstGeom>
                      <a:noFill/>
                      <a:ln w="9525">
                        <a:noFill/>
                        <a:miter lim="800000"/>
                        <a:headEnd/>
                        <a:tailEnd/>
                      </a:ln>
                    </a:spPr>
                    <a:txSp>
                      <a:txBody>
                        <a:bodyPr vert="horz" wrap="square" lIns="91440" tIns="91440" rIns="91440" bIns="91440" numCol="1" anchor="t" anchorCtr="0" compatLnSpc="1">
                          <a:prstTxWarp prst="textNoShape">
                            <a:avLst/>
                          </a:prstTxWarp>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1200" b="0" i="0" u="none" strike="noStrike" cap="none" normalizeH="0" baseline="0">
                              <a:ln>
                                <a:noFill/>
                              </a:ln>
                              <a:solidFill>
                                <a:schemeClr val="tx1"/>
                              </a:solidFill>
                              <a:effectLst/>
                              <a:latin typeface="Times New Roman"/>
                              <a:ea typeface="Times New Roman" charset="0"/>
                              <a:cs typeface="Times New Roman"/>
                            </a:rPr>
                            <a:t>Funding available for infrastructure</a:t>
                          </a:r>
                        </a:p>
                      </a:txBody>
                      <a:useSpRect/>
                    </a:txSp>
                  </a:sp>
                  <a:sp>
                    <a:nvSpPr>
                      <a:cNvPr id="6" name="Text Box 7"/>
                      <a:cNvSpPr txBox="1">
                        <a:spLocks noChangeArrowheads="1"/>
                      </a:cNvSpPr>
                    </a:nvSpPr>
                    <a:spPr bwMode="auto">
                      <a:xfrm>
                        <a:off x="1295400" y="2362200"/>
                        <a:ext cx="1371600" cy="685800"/>
                      </a:xfrm>
                      <a:prstGeom prst="rect">
                        <a:avLst/>
                      </a:prstGeom>
                      <a:noFill/>
                      <a:ln w="9525">
                        <a:noFill/>
                        <a:miter lim="800000"/>
                        <a:headEnd/>
                        <a:tailEnd/>
                      </a:ln>
                    </a:spPr>
                    <a:txSp>
                      <a:txBody>
                        <a:bodyPr vert="horz" wrap="square" lIns="91440" tIns="91440" rIns="91440" bIns="91440" numCol="1" anchor="t" anchorCtr="0" compatLnSpc="1">
                          <a:prstTxWarp prst="textNoShape">
                            <a:avLst/>
                          </a:prstTxWarp>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1200" b="0" i="0" u="none" strike="noStrike" cap="none" normalizeH="0" baseline="0">
                              <a:ln>
                                <a:noFill/>
                              </a:ln>
                              <a:solidFill>
                                <a:schemeClr val="tx1"/>
                              </a:solidFill>
                              <a:effectLst/>
                              <a:latin typeface="Times New Roman"/>
                              <a:ea typeface="Times New Roman" charset="0"/>
                              <a:cs typeface="Times New Roman"/>
                            </a:rPr>
                            <a:t>Determinants of funding available for infrastructure</a:t>
                          </a:r>
                        </a:p>
                      </a:txBody>
                      <a:useSpRect/>
                    </a:txSp>
                  </a:sp>
                  <a:sp>
                    <a:nvSpPr>
                      <a:cNvPr id="7" name="Text Box 8"/>
                      <a:cNvSpPr txBox="1">
                        <a:spLocks noChangeArrowheads="1"/>
                      </a:cNvSpPr>
                    </a:nvSpPr>
                    <a:spPr bwMode="auto">
                      <a:xfrm>
                        <a:off x="2590800" y="990600"/>
                        <a:ext cx="1371600" cy="685800"/>
                      </a:xfrm>
                      <a:prstGeom prst="rect">
                        <a:avLst/>
                      </a:prstGeom>
                      <a:noFill/>
                      <a:ln w="9525">
                        <a:noFill/>
                        <a:miter lim="800000"/>
                        <a:headEnd/>
                        <a:tailEnd/>
                      </a:ln>
                    </a:spPr>
                    <a:txSp>
                      <a:txBody>
                        <a:bodyPr vert="horz" wrap="square" lIns="91440" tIns="91440" rIns="91440" bIns="91440" numCol="1" anchor="t" anchorCtr="0" compatLnSpc="1">
                          <a:prstTxWarp prst="textNoShape">
                            <a:avLst/>
                          </a:prstTxWarp>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1200" b="0" i="0" u="none" strike="noStrike" cap="none" normalizeH="0" baseline="0">
                              <a:ln>
                                <a:noFill/>
                              </a:ln>
                              <a:solidFill>
                                <a:schemeClr val="tx1"/>
                              </a:solidFill>
                              <a:effectLst/>
                              <a:latin typeface="Times New Roman"/>
                              <a:ea typeface="Times New Roman" charset="0"/>
                              <a:cs typeface="Times New Roman"/>
                            </a:rPr>
                            <a:t>Actual funding for infrastructure</a:t>
                          </a:r>
                        </a:p>
                      </a:txBody>
                      <a:useSpRect/>
                    </a:txSp>
                  </a:sp>
                  <a:sp>
                    <a:nvSpPr>
                      <a:cNvPr id="8" name="Text Box 9"/>
                      <a:cNvSpPr txBox="1">
                        <a:spLocks noChangeArrowheads="1"/>
                      </a:cNvSpPr>
                    </a:nvSpPr>
                    <a:spPr bwMode="auto">
                      <a:xfrm>
                        <a:off x="3886200" y="990600"/>
                        <a:ext cx="1371600" cy="685800"/>
                      </a:xfrm>
                      <a:prstGeom prst="rect">
                        <a:avLst/>
                      </a:prstGeom>
                      <a:noFill/>
                      <a:ln w="9525">
                        <a:noFill/>
                        <a:miter lim="800000"/>
                        <a:headEnd/>
                        <a:tailEnd/>
                      </a:ln>
                    </a:spPr>
                    <a:txSp>
                      <a:txBody>
                        <a:bodyPr vert="horz" wrap="square" lIns="91440" tIns="91440" rIns="91440" bIns="91440" numCol="1" anchor="t" anchorCtr="0" compatLnSpc="1">
                          <a:prstTxWarp prst="textNoShape">
                            <a:avLst/>
                          </a:prstTxWarp>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1200" b="0" i="0" u="none" strike="noStrike" cap="none" normalizeH="0" baseline="0">
                              <a:ln>
                                <a:noFill/>
                              </a:ln>
                              <a:solidFill>
                                <a:schemeClr val="tx1"/>
                              </a:solidFill>
                              <a:effectLst/>
                              <a:latin typeface="Times New Roman"/>
                              <a:ea typeface="Times New Roman" charset="0"/>
                              <a:cs typeface="Times New Roman"/>
                            </a:rPr>
                            <a:t>Actual level of infrastructure</a:t>
                          </a:r>
                        </a:p>
                      </a:txBody>
                      <a:useSpRect/>
                    </a:txSp>
                  </a:sp>
                  <a:sp>
                    <a:nvSpPr>
                      <a:cNvPr id="9" name="Text Box 10"/>
                      <a:cNvSpPr txBox="1">
                        <a:spLocks noChangeArrowheads="1"/>
                      </a:cNvSpPr>
                    </a:nvSpPr>
                    <a:spPr bwMode="auto">
                      <a:xfrm>
                        <a:off x="5410200" y="838200"/>
                        <a:ext cx="1371600" cy="914400"/>
                      </a:xfrm>
                      <a:prstGeom prst="rect">
                        <a:avLst/>
                      </a:prstGeom>
                      <a:noFill/>
                      <a:ln w="9525">
                        <a:noFill/>
                        <a:miter lim="800000"/>
                        <a:headEnd/>
                        <a:tailEnd/>
                      </a:ln>
                    </a:spPr>
                    <a:txSp>
                      <a:txBody>
                        <a:bodyPr vert="horz" wrap="square" lIns="91440" tIns="91440" rIns="91440" bIns="91440" numCol="1" anchor="t" anchorCtr="0" compatLnSpc="1">
                          <a:prstTxWarp prst="textNoShape">
                            <a:avLst/>
                          </a:prstTxWarp>
                        </a:bodyPr>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US" sz="1200" b="0" i="0" u="none" strike="noStrike" cap="none" normalizeH="0" baseline="0">
                              <a:ln>
                                <a:noFill/>
                              </a:ln>
                              <a:solidFill>
                                <a:schemeClr val="tx1"/>
                              </a:solidFill>
                              <a:effectLst/>
                              <a:latin typeface="Times New Roman"/>
                              <a:ea typeface="Times New Roman" charset="0"/>
                              <a:cs typeface="Times New Roman"/>
                            </a:rPr>
                            <a:t>Socioeconomic and environmental effects of infrastructure</a:t>
                          </a:r>
                        </a:p>
                      </a:txBody>
                      <a:useSpRect/>
                    </a:txSp>
                  </a:sp>
                  <a:cxnSp>
                    <a:nvCxnSpPr>
                      <a:cNvPr id="10" name="Shape 23"/>
                      <a:cNvCxnSpPr>
                        <a:stCxn id="9" idx="0"/>
                        <a:endCxn id="2" idx="3"/>
                      </a:cNvCxnSpPr>
                    </a:nvCxnSpPr>
                    <a:spPr>
                      <a:xfrm rot="16200000" flipV="1">
                        <a:off x="3486150" y="-1771650"/>
                        <a:ext cx="495300" cy="4724400"/>
                      </a:xfrm>
                      <a:prstGeom prst="curvedConnector2">
                        <a:avLst/>
                      </a:prstGeom>
                      <a:ln>
                        <a:solidFill>
                          <a:schemeClr val="tx2"/>
                        </a:solidFill>
                        <a:tailEnd type="arrow"/>
                      </a:ln>
                    </a:spPr>
                    <a:style>
                      <a:lnRef idx="2">
                        <a:schemeClr val="accent1"/>
                      </a:lnRef>
                      <a:fillRef idx="0">
                        <a:schemeClr val="accent1"/>
                      </a:fillRef>
                      <a:effectRef idx="1">
                        <a:schemeClr val="accent1"/>
                      </a:effectRef>
                      <a:fontRef idx="minor">
                        <a:schemeClr val="tx1"/>
                      </a:fontRef>
                    </a:style>
                  </a:cxnSp>
                  <a:cxnSp>
                    <a:nvCxnSpPr>
                      <a:cNvPr id="11" name="Curved Connector 25"/>
                      <a:cNvCxnSpPr>
                        <a:stCxn id="8" idx="0"/>
                        <a:endCxn id="2" idx="3"/>
                      </a:cNvCxnSpPr>
                    </a:nvCxnSpPr>
                    <a:spPr>
                      <a:xfrm rot="16200000" flipV="1">
                        <a:off x="2647950" y="-933450"/>
                        <a:ext cx="647700" cy="3200400"/>
                      </a:xfrm>
                      <a:prstGeom prst="curvedConnector2">
                        <a:avLst/>
                      </a:prstGeom>
                      <a:ln>
                        <a:solidFill>
                          <a:schemeClr val="tx2"/>
                        </a:solidFill>
                        <a:tailEnd type="arrow"/>
                      </a:ln>
                    </a:spPr>
                    <a:style>
                      <a:lnRef idx="2">
                        <a:schemeClr val="accent1"/>
                      </a:lnRef>
                      <a:fillRef idx="0">
                        <a:schemeClr val="accent1"/>
                      </a:fillRef>
                      <a:effectRef idx="1">
                        <a:schemeClr val="accent1"/>
                      </a:effectRef>
                      <a:fontRef idx="minor">
                        <a:schemeClr val="tx1"/>
                      </a:fontRef>
                    </a:style>
                  </a:cxnSp>
                  <a:cxnSp>
                    <a:nvCxnSpPr>
                      <a:cNvPr id="12" name="Curved Connector 28"/>
                      <a:cNvCxnSpPr>
                        <a:stCxn id="9" idx="2"/>
                        <a:endCxn id="6" idx="3"/>
                      </a:cNvCxnSpPr>
                    </a:nvCxnSpPr>
                    <a:spPr>
                      <a:xfrm rot="5400000">
                        <a:off x="3905250" y="514350"/>
                        <a:ext cx="952500" cy="3429000"/>
                      </a:xfrm>
                      <a:prstGeom prst="curvedConnector2">
                        <a:avLst/>
                      </a:prstGeom>
                      <a:ln>
                        <a:solidFill>
                          <a:schemeClr val="tx2"/>
                        </a:solidFill>
                        <a:tailEnd type="arrow"/>
                      </a:ln>
                    </a:spPr>
                    <a:style>
                      <a:lnRef idx="2">
                        <a:schemeClr val="accent1"/>
                      </a:lnRef>
                      <a:fillRef idx="0">
                        <a:schemeClr val="accent1"/>
                      </a:fillRef>
                      <a:effectRef idx="1">
                        <a:schemeClr val="accent1"/>
                      </a:effectRef>
                      <a:fontRef idx="minor">
                        <a:schemeClr val="tx1"/>
                      </a:fontRef>
                    </a:style>
                  </a:cxnSp>
                  <a:cxnSp>
                    <a:nvCxnSpPr>
                      <a:cNvPr id="13" name="Straight Arrow Connector 12"/>
                      <a:cNvCxnSpPr/>
                    </a:nvCxnSpPr>
                    <a:spPr>
                      <a:xfrm>
                        <a:off x="2362200" y="1295400"/>
                        <a:ext cx="381000" cy="1588"/>
                      </a:xfrm>
                      <a:prstGeom prst="straightConnector1">
                        <a:avLst/>
                      </a:prstGeom>
                      <a:ln>
                        <a:solidFill>
                          <a:schemeClr val="tx2"/>
                        </a:solidFill>
                        <a:tailEnd type="arrow"/>
                      </a:ln>
                    </a:spPr>
                    <a:style>
                      <a:lnRef idx="2">
                        <a:schemeClr val="accent1"/>
                      </a:lnRef>
                      <a:fillRef idx="0">
                        <a:schemeClr val="accent1"/>
                      </a:fillRef>
                      <a:effectRef idx="1">
                        <a:schemeClr val="accent1"/>
                      </a:effectRef>
                      <a:fontRef idx="minor">
                        <a:schemeClr val="tx1"/>
                      </a:fontRef>
                    </a:style>
                  </a:cxnSp>
                  <a:cxnSp>
                    <a:nvCxnSpPr>
                      <a:cNvPr id="14" name="Straight Arrow Connector 13"/>
                      <a:cNvCxnSpPr/>
                    </a:nvCxnSpPr>
                    <a:spPr>
                      <a:xfrm rot="5400000" flipH="1" flipV="1">
                        <a:off x="2476500" y="1409700"/>
                        <a:ext cx="304800" cy="228600"/>
                      </a:xfrm>
                      <a:prstGeom prst="straightConnector1">
                        <a:avLst/>
                      </a:prstGeom>
                      <a:ln>
                        <a:solidFill>
                          <a:schemeClr val="tx2"/>
                        </a:solidFill>
                        <a:tailEnd type="arrow"/>
                      </a:ln>
                    </a:spPr>
                    <a:style>
                      <a:lnRef idx="2">
                        <a:schemeClr val="accent1"/>
                      </a:lnRef>
                      <a:fillRef idx="0">
                        <a:schemeClr val="accent1"/>
                      </a:fillRef>
                      <a:effectRef idx="1">
                        <a:schemeClr val="accent1"/>
                      </a:effectRef>
                      <a:fontRef idx="minor">
                        <a:schemeClr val="tx1"/>
                      </a:fontRef>
                    </a:style>
                  </a:cxnSp>
                  <a:cxnSp>
                    <a:nvCxnSpPr>
                      <a:cNvPr id="15" name="Straight Arrow Connector 14"/>
                      <a:cNvCxnSpPr/>
                    </a:nvCxnSpPr>
                    <a:spPr>
                      <a:xfrm rot="5400000" flipH="1" flipV="1">
                        <a:off x="1791494" y="2247106"/>
                        <a:ext cx="381000" cy="1588"/>
                      </a:xfrm>
                      <a:prstGeom prst="straightConnector1">
                        <a:avLst/>
                      </a:prstGeom>
                      <a:ln>
                        <a:solidFill>
                          <a:schemeClr val="tx2"/>
                        </a:solidFill>
                        <a:tailEnd type="arrow"/>
                      </a:ln>
                    </a:spPr>
                    <a:style>
                      <a:lnRef idx="2">
                        <a:schemeClr val="accent1"/>
                      </a:lnRef>
                      <a:fillRef idx="0">
                        <a:schemeClr val="accent1"/>
                      </a:fillRef>
                      <a:effectRef idx="1">
                        <a:schemeClr val="accent1"/>
                      </a:effectRef>
                      <a:fontRef idx="minor">
                        <a:schemeClr val="tx1"/>
                      </a:fontRef>
                    </a:style>
                  </a:cxnSp>
                  <a:cxnSp>
                    <a:nvCxnSpPr>
                      <a:cNvPr id="16" name="Straight Arrow Connector 15"/>
                      <a:cNvCxnSpPr>
                        <a:stCxn id="2" idx="2"/>
                      </a:cNvCxnSpPr>
                    </a:nvCxnSpPr>
                    <a:spPr>
                      <a:xfrm rot="5400000">
                        <a:off x="457200" y="914400"/>
                        <a:ext cx="457200" cy="1588"/>
                      </a:xfrm>
                      <a:prstGeom prst="straightConnector1">
                        <a:avLst/>
                      </a:prstGeom>
                      <a:ln>
                        <a:solidFill>
                          <a:schemeClr val="tx2"/>
                        </a:solidFill>
                        <a:tailEnd type="arrow"/>
                      </a:ln>
                    </a:spPr>
                    <a:style>
                      <a:lnRef idx="2">
                        <a:schemeClr val="accent1"/>
                      </a:lnRef>
                      <a:fillRef idx="0">
                        <a:schemeClr val="accent1"/>
                      </a:fillRef>
                      <a:effectRef idx="1">
                        <a:schemeClr val="accent1"/>
                      </a:effectRef>
                      <a:fontRef idx="minor">
                        <a:schemeClr val="tx1"/>
                      </a:fontRef>
                    </a:style>
                  </a:cxnSp>
                  <a:cxnSp>
                    <a:nvCxnSpPr>
                      <a:cNvPr id="17" name="Straight Arrow Connector 16"/>
                      <a:cNvCxnSpPr/>
                    </a:nvCxnSpPr>
                    <a:spPr>
                      <a:xfrm>
                        <a:off x="1143000" y="1295400"/>
                        <a:ext cx="304800" cy="1588"/>
                      </a:xfrm>
                      <a:prstGeom prst="straightConnector1">
                        <a:avLst/>
                      </a:prstGeom>
                      <a:ln>
                        <a:solidFill>
                          <a:schemeClr val="tx2"/>
                        </a:solidFill>
                        <a:tailEnd type="arrow"/>
                      </a:ln>
                    </a:spPr>
                    <a:style>
                      <a:lnRef idx="2">
                        <a:schemeClr val="accent1"/>
                      </a:lnRef>
                      <a:fillRef idx="0">
                        <a:schemeClr val="accent1"/>
                      </a:fillRef>
                      <a:effectRef idx="1">
                        <a:schemeClr val="accent1"/>
                      </a:effectRef>
                      <a:fontRef idx="minor">
                        <a:schemeClr val="tx1"/>
                      </a:fontRef>
                    </a:style>
                  </a:cxnSp>
                  <a:cxnSp>
                    <a:nvCxnSpPr>
                      <a:cNvPr id="18" name="Straight Arrow Connector 17"/>
                      <a:cNvCxnSpPr/>
                    </a:nvCxnSpPr>
                    <a:spPr>
                      <a:xfrm>
                        <a:off x="3810000" y="1295400"/>
                        <a:ext cx="228600" cy="1588"/>
                      </a:xfrm>
                      <a:prstGeom prst="straightConnector1">
                        <a:avLst/>
                      </a:prstGeom>
                      <a:ln>
                        <a:solidFill>
                          <a:schemeClr val="tx2"/>
                        </a:solidFill>
                        <a:tailEnd type="arrow"/>
                      </a:ln>
                    </a:spPr>
                    <a:style>
                      <a:lnRef idx="2">
                        <a:schemeClr val="accent1"/>
                      </a:lnRef>
                      <a:fillRef idx="0">
                        <a:schemeClr val="accent1"/>
                      </a:fillRef>
                      <a:effectRef idx="1">
                        <a:schemeClr val="accent1"/>
                      </a:effectRef>
                      <a:fontRef idx="minor">
                        <a:schemeClr val="tx1"/>
                      </a:fontRef>
                    </a:style>
                  </a:cxnSp>
                  <a:cxnSp>
                    <a:nvCxnSpPr>
                      <a:cNvPr id="19" name="Straight Arrow Connector 18"/>
                      <a:cNvCxnSpPr>
                        <a:endCxn id="9" idx="1"/>
                      </a:cNvCxnSpPr>
                    </a:nvCxnSpPr>
                    <a:spPr>
                      <a:xfrm>
                        <a:off x="5029200" y="1295400"/>
                        <a:ext cx="381000" cy="1588"/>
                      </a:xfrm>
                      <a:prstGeom prst="straightConnector1">
                        <a:avLst/>
                      </a:prstGeom>
                      <a:ln>
                        <a:solidFill>
                          <a:schemeClr val="tx2"/>
                        </a:solidFill>
                        <a:tailEnd type="arrow"/>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6B1499" w:rsidRPr="004F1F9C" w:rsidRDefault="006B1499" w:rsidP="006B1499">
      <w:pPr>
        <w:pStyle w:val="Caption"/>
        <w:spacing w:line="240" w:lineRule="auto"/>
        <w:rPr>
          <w:rFonts w:ascii="Times New Roman" w:hAnsi="Times New Roman"/>
          <w:sz w:val="24"/>
          <w:lang w:val="en-US"/>
        </w:rPr>
      </w:pPr>
      <w:r w:rsidRPr="004F1F9C">
        <w:rPr>
          <w:rFonts w:ascii="Times New Roman" w:hAnsi="Times New Roman"/>
          <w:sz w:val="24"/>
          <w:lang w:val="en-US"/>
        </w:rPr>
        <w:t xml:space="preserve">Figure 4.1 </w:t>
      </w:r>
      <w:bookmarkEnd w:id="85"/>
      <w:r w:rsidRPr="004F1F9C">
        <w:rPr>
          <w:rFonts w:ascii="Times New Roman" w:hAnsi="Times New Roman"/>
          <w:sz w:val="24"/>
          <w:lang w:val="en-US"/>
        </w:rPr>
        <w:t>A dynamic, integrated, infrastructure modeling system</w:t>
      </w:r>
    </w:p>
    <w:p w:rsidR="00A84F12" w:rsidRDefault="006B1499" w:rsidP="006B1499">
      <w:r w:rsidRPr="004F1F9C">
        <w:t>This chapter reviews many of the existing tools and approaches that have been used by other experts to forecast aspects of the full conceptualization shown in Figure 4.1, and then describes how we have adapted and extended those for our work. As with the poverty, education, and health systems described in the previous PPHP volumes, the infrastructure system we have developed is integrated into the complete International Futures (IFs) system. Therefore, we begin with some information about that system.</w:t>
      </w:r>
    </w:p>
    <w:p w:rsidR="006B1499" w:rsidRPr="004F1F9C" w:rsidRDefault="006B1499" w:rsidP="006B1499"/>
    <w:p w:rsidR="006B1499" w:rsidRPr="004F1F9C" w:rsidRDefault="00A84F12" w:rsidP="00A84F12">
      <w:pPr>
        <w:pStyle w:val="Heading2"/>
        <w:numPr>
          <w:ilvl w:val="0"/>
          <w:numId w:val="0"/>
        </w:numPr>
      </w:pPr>
      <w:bookmarkStart w:id="86" w:name="_Toc283827149"/>
      <w:bookmarkStart w:id="87" w:name="_Toc326061505"/>
      <w:bookmarkStart w:id="88" w:name="_Toc200095287"/>
      <w:r>
        <w:t xml:space="preserve">4.1 </w:t>
      </w:r>
      <w:r w:rsidR="006B1499" w:rsidRPr="004F1F9C">
        <w:t>Integrating Infrastructure with Broader Human Development: The Larger IFs System</w:t>
      </w:r>
      <w:bookmarkEnd w:id="86"/>
      <w:bookmarkEnd w:id="87"/>
      <w:bookmarkEnd w:id="88"/>
    </w:p>
    <w:p w:rsidR="00C94636" w:rsidRDefault="006B1499" w:rsidP="006B1499">
      <w:r w:rsidRPr="004F1F9C">
        <w:t>IFs is a large-scale, long-term, integrated global modeling system. It represents demographic, economic, educational, health, energy, agricultural, socio-political, and environmental subsystems for 183 interacting countries.</w:t>
      </w:r>
      <w:r w:rsidRPr="004F1F9C">
        <w:rPr>
          <w:rStyle w:val="FootnoteReference"/>
        </w:rPr>
        <w:footnoteReference w:id="54"/>
      </w:r>
      <w:r w:rsidRPr="004F1F9C">
        <w:t xml:space="preserve"> The central purpose of IFs is to facilitate exploration of global futures through alternative scenarios.</w:t>
      </w:r>
    </w:p>
    <w:p w:rsidR="006B1499" w:rsidRPr="004F1F9C" w:rsidRDefault="006B1499" w:rsidP="006B1499"/>
    <w:p w:rsidR="00C94636" w:rsidRDefault="006B1499" w:rsidP="006B1499">
      <w:r w:rsidRPr="004F1F9C">
        <w:t xml:space="preserve">The goals that motivated the design of IFs fall generally into three categories: human development, social fairness and security, and environmental sustainability. Across these domains, the project draws inspiration from seminal writers such as Sen </w:t>
      </w:r>
      <w:r w:rsidR="00F7383F" w:rsidRPr="004F1F9C">
        <w:fldChar w:fldCharType="begin"/>
      </w:r>
      <w:r>
        <w:instrText xml:space="preserve"> ADDIN ZOTERO_ITEM CSL_CITATION {"citationID":"dpazpIU5","properties":{"formattedCitation":"(Sen 1999)","plainCitation":"(Sen 1999)"},"citationItems":[{"id":283,"uris":["http://zotero.org/groups/4482/items/7Q3EGITQ"],"uri":["http://zotero.org/groups/4482/items/7Q3EGITQ"],"itemData":{"id":283,"type":"book","title":"Development as Freedom","publisher":"Knopf","publisher-place":"New York, NY","edition":"1st. ed","event-place":"New York, NY","ISBN":"0375406190","call-number":"HD75 .S455 1999","author":[{"family":"Sen","given":"Amartya"}],"issued":{"year":1999}}}],"schema":"https://github.com/citation-style-language/schema/raw/master/csl-citation.json"} </w:instrText>
      </w:r>
      <w:r w:rsidR="00F7383F" w:rsidRPr="004F1F9C">
        <w:fldChar w:fldCharType="separate"/>
      </w:r>
      <w:r w:rsidRPr="004F1F9C">
        <w:t>(1999)</w:t>
      </w:r>
      <w:r w:rsidR="00F7383F" w:rsidRPr="004F1F9C">
        <w:fldChar w:fldCharType="end"/>
      </w:r>
      <w:r w:rsidRPr="004F1F9C">
        <w:t xml:space="preserve"> with his emphasis on freedom and individual development, Rawls </w:t>
      </w:r>
      <w:r w:rsidR="00F7383F" w:rsidRPr="004F1F9C">
        <w:fldChar w:fldCharType="begin"/>
      </w:r>
      <w:r>
        <w:instrText xml:space="preserve"> ADDIN ZOTERO_ITEM CSL_CITATION {"citationID":"H1HkAtgp","properties":{"formattedCitation":"(Rawls 1999)","plainCitation":"(Rawls 1999)","dontUpdate":true},"citationItems":[{"id":1622,"uris":["http://zotero.org/groups/4482/items/4RXPUIEM"],"uri":["http://zotero.org/groups/4482/items/4RXPUIEM"],"itemData":{"id":1622,"type":"book","title":"A Theory of Justice","publisher":"Harvard University Press","publisher-place":"Cambridge, MA","event-place":"Cambridge, MA","author":[{"family":"Rawls","given":"John"}],"issued":{"year":1971}}}],"schema":"https://github.com/citation-style-language/schema/raw/master/csl-citation.json"} </w:instrText>
      </w:r>
      <w:r w:rsidR="00F7383F" w:rsidRPr="004F1F9C">
        <w:fldChar w:fldCharType="separate"/>
      </w:r>
      <w:r w:rsidRPr="004F1F9C">
        <w:t>(1999)</w:t>
      </w:r>
      <w:r w:rsidR="00F7383F" w:rsidRPr="004F1F9C">
        <w:fldChar w:fldCharType="end"/>
      </w:r>
      <w:r w:rsidRPr="004F1F9C">
        <w:t xml:space="preserve"> with his emphasis on fairness within society, and Brundtland </w:t>
      </w:r>
      <w:r w:rsidR="00F7383F" w:rsidRPr="004F1F9C">
        <w:fldChar w:fldCharType="begin"/>
      </w:r>
      <w:r>
        <w:instrText xml:space="preserve"> ADDIN ZOTERO_ITEM CSL_CITATION {"citationID":"WSLX45cX","properties":{"formattedCitation":"(World Commission on Environment and Development 1987)","plainCitation":"(World Commission on Environment and Development 1987)"},"citationItems":[{"id":1334,"uris":["http://zotero.org/groups/4482/items/GU5THS6C"],"uri":["http://zotero.org/groups/4482/items/GU5THS6C"],"itemData":{"id":1334,"type":"book","title":"Our Common Future","publisher":"Oxford University Press","publisher-place":"New York, NY","event-place":"New York, NY","ISBN":"019282080X","author":[{"family":"World Commission on Environment and Development","given":""}],"issued":{"year":1987}}}],"schema":"https://github.com/citation-style-language/schema/raw/master/csl-citation.json"} </w:instrText>
      </w:r>
      <w:r w:rsidR="00F7383F" w:rsidRPr="004F1F9C">
        <w:fldChar w:fldCharType="separate"/>
      </w:r>
      <w:r w:rsidRPr="004F1F9C">
        <w:t>(World Commission on Environment and Development 1987)</w:t>
      </w:r>
      <w:r w:rsidR="00F7383F" w:rsidRPr="004F1F9C">
        <w:fldChar w:fldCharType="end"/>
      </w:r>
      <w:r w:rsidRPr="004F1F9C">
        <w:t xml:space="preserve"> with her foundational definition of sustainability. In combination, these emphases provide a philosophical framework for exploration of human beings as individuals, of human beings with each other, and of human beings with the environment.</w:t>
      </w:r>
    </w:p>
    <w:p w:rsidR="006B1499" w:rsidRPr="004F1F9C" w:rsidRDefault="006B1499" w:rsidP="006B1499"/>
    <w:p w:rsidR="006B1499" w:rsidRPr="004F1F9C" w:rsidRDefault="006B1499" w:rsidP="006B1499">
      <w:r w:rsidRPr="004F1F9C">
        <w:t>Fundamentally, IFs is a thinking tool, allowing variable time horizons through 2100 for exploring human leverage in pursuit of key goals in the face of great uncertainty. IFs assists with:</w:t>
      </w:r>
    </w:p>
    <w:p w:rsidR="006B1499" w:rsidRPr="004F1F9C" w:rsidRDefault="006B1499" w:rsidP="006B1499">
      <w:pPr>
        <w:numPr>
          <w:ilvl w:val="0"/>
          <w:numId w:val="20"/>
        </w:numPr>
        <w:spacing w:after="200"/>
        <w:ind w:right="130"/>
      </w:pPr>
      <w:r w:rsidRPr="004F1F9C">
        <w:t>Understanding the state of the world and the future that appears to be unfolding</w:t>
      </w:r>
    </w:p>
    <w:p w:rsidR="006B1499" w:rsidRPr="004F1F9C" w:rsidRDefault="006B1499" w:rsidP="00C94636">
      <w:pPr>
        <w:numPr>
          <w:ilvl w:val="1"/>
          <w:numId w:val="20"/>
        </w:numPr>
        <w:spacing w:before="120" w:after="120"/>
        <w:ind w:right="130"/>
      </w:pPr>
      <w:r w:rsidRPr="004F1F9C">
        <w:t>Identifying tensions and inconsistencies that suggest political, economic, or other risk in the near and middle term (a “watch list” functionality)</w:t>
      </w:r>
    </w:p>
    <w:p w:rsidR="006B1499" w:rsidRPr="004F1F9C" w:rsidRDefault="006B1499" w:rsidP="00C94636">
      <w:pPr>
        <w:numPr>
          <w:ilvl w:val="1"/>
          <w:numId w:val="20"/>
        </w:numPr>
        <w:spacing w:before="120" w:after="120"/>
        <w:ind w:right="130"/>
      </w:pPr>
      <w:r w:rsidRPr="004F1F9C">
        <w:t>Exploring longer-term trends and considering where they might be taking us</w:t>
      </w:r>
    </w:p>
    <w:p w:rsidR="006B1499" w:rsidRPr="004F1F9C" w:rsidRDefault="006B1499" w:rsidP="00C94636">
      <w:pPr>
        <w:numPr>
          <w:ilvl w:val="1"/>
          <w:numId w:val="20"/>
        </w:numPr>
        <w:spacing w:before="120" w:after="120"/>
        <w:ind w:right="130"/>
      </w:pPr>
      <w:r w:rsidRPr="004F1F9C">
        <w:t>Working through the complex dynamics of global systems</w:t>
      </w:r>
    </w:p>
    <w:p w:rsidR="006B1499" w:rsidRPr="004F1F9C" w:rsidRDefault="006B1499" w:rsidP="006B1499">
      <w:pPr>
        <w:numPr>
          <w:ilvl w:val="0"/>
          <w:numId w:val="20"/>
        </w:numPr>
        <w:spacing w:after="200"/>
        <w:ind w:right="130"/>
      </w:pPr>
      <w:r w:rsidRPr="004F1F9C">
        <w:t>Thinking about the future we want to see</w:t>
      </w:r>
    </w:p>
    <w:p w:rsidR="006B1499" w:rsidRPr="004F1F9C" w:rsidRDefault="006B1499" w:rsidP="00C94636">
      <w:pPr>
        <w:numPr>
          <w:ilvl w:val="1"/>
          <w:numId w:val="20"/>
        </w:numPr>
        <w:spacing w:after="120"/>
        <w:ind w:right="130"/>
      </w:pPr>
      <w:r w:rsidRPr="004F1F9C">
        <w:t>Clarifying goals and priorities</w:t>
      </w:r>
    </w:p>
    <w:p w:rsidR="006B1499" w:rsidRPr="004F1F9C" w:rsidRDefault="006B1499" w:rsidP="00C94636">
      <w:pPr>
        <w:numPr>
          <w:ilvl w:val="1"/>
          <w:numId w:val="20"/>
        </w:numPr>
        <w:spacing w:after="120"/>
        <w:ind w:right="130"/>
      </w:pPr>
      <w:r w:rsidRPr="004F1F9C">
        <w:t>Developing alternative scenarios (“if-then statements”) about the future</w:t>
      </w:r>
    </w:p>
    <w:p w:rsidR="006B1499" w:rsidRPr="004F1F9C" w:rsidRDefault="006B1499" w:rsidP="00C94636">
      <w:pPr>
        <w:numPr>
          <w:ilvl w:val="1"/>
          <w:numId w:val="20"/>
        </w:numPr>
        <w:spacing w:after="120"/>
        <w:ind w:right="130"/>
      </w:pPr>
      <w:r w:rsidRPr="004F1F9C">
        <w:t>Investigating the leverage we may have in shaping the future</w:t>
      </w:r>
    </w:p>
    <w:p w:rsidR="00A84F12" w:rsidRDefault="006B1499" w:rsidP="006B1499">
      <w:r w:rsidRPr="004F1F9C">
        <w:t>Human systems fundamentally involve agents (economists often represent them as individuals in households or firms; political scientists add governments) interacting with each other in various structures (economists focus on markets; political scientists look to action-reaction systems and international regimes; sociologists add societies and demographic structures; anthropologists focus on cultures; physical scientists extend the reach to ecosystems). In general, social scientists seek to understand the co-creation and evolution of such agent behaviors and structural characteristics.</w:t>
      </w:r>
    </w:p>
    <w:p w:rsidR="006B1499" w:rsidRPr="004F1F9C" w:rsidRDefault="006B1499" w:rsidP="006B1499"/>
    <w:p w:rsidR="00C94636" w:rsidRDefault="006B1499" w:rsidP="006B1499">
      <w:r w:rsidRPr="004F1F9C">
        <w:t xml:space="preserve">IFs attempts to capture some of the richness of such systems. It is a structure-based (with extensive representation of underlying accounting systems, such as demographic structures and the exchanges of goods, services, and finance), agent-class driven (so as to provide a basis for representing change), dynamic modeling system. That is, IFs represents typical behavior patterns of major agent-classes (households, governments, firms) interacting in a variety of global structures (demographic, economic, social, and environmental). The system draws upon standard approaches to modeling specific issue areas whenever possible, extending those as necessary and integrating them across issue areas. For instance, the demographic model uses the typical “cohort-component” representation, tracking country-specific populations over time by age and sex (extended by education). Within that structural or accounting framework, the model represents the fertility decisions of households (influenced by income and education) as well as mortality and migration patterns. Similarly with respect to health, we have attempted to build on existing approaches to its forecasting—particularly those of the World Health Organization’s Global Burden of Disease project </w:t>
      </w:r>
      <w:r w:rsidR="00F7383F" w:rsidRPr="004F1F9C">
        <w:fldChar w:fldCharType="begin"/>
      </w:r>
      <w:r>
        <w:instrText xml:space="preserve"> ADDIN ZOTERO_ITEM CSL_CITATION {"citationID":"OekTdvMr","properties":{"formattedCitation":"(Mathers and Loncar 2006; Mathers and Loncar n.d.)","plainCitation":"(Mathers and Loncar 2006; Mathers and Loncar n.d.)"},"citationItems":[{"id":1655,"uris":["http://zotero.org/groups/4482/items/K9MSHDV4"],"uri":["http://zotero.org/groups/4482/items/K9MSHDV4"],"itemData":{"id":1655,"type":"article-journal","title":"Projections of Global Mortality and Burden of Disease from 2002 to 2030","container-title":"PLoS Medicine","page":"e442","volume":"3","issue":"11","DOI":"10.1371/journal.pmed.0030442","author":[{"family":"Mathers","given":"Colin D."},{"family":"Loncar","given":"Dejan"}],"issued":{"year":2006},"accessed":{"year":2012,"month":4,"day":19},"page-first":"e442"},"label":"page"},{"id":1657,"uris":["http://zotero.org/groups/4482/items/Z39VSXBX"],"uri":["http://zotero.org/groups/4482/items/Z39VSXBX"],"itemData":{"id":1657,"type":"article-journal","title":"New Projections of Global Mortality and Burden of Disease from 2002 to 2030. Protocol S1. Technical Appendix to Mathers and Loncar 2006.","author":[{"family":"Mathers","given":"Colin D."},{"family":"Loncar","given":"Dejan"}],"accessed":{"year":2012,"month":4,"day":19}},"label":"page"}],"schema":"https://github.com/citation-style-language/schema/raw/master/csl-citation.json"} </w:instrText>
      </w:r>
      <w:r w:rsidR="00F7383F" w:rsidRPr="004F1F9C">
        <w:fldChar w:fldCharType="separate"/>
      </w:r>
      <w:r w:rsidRPr="004F1F9C">
        <w:rPr>
          <w:noProof/>
        </w:rPr>
        <w:t>(Mathers and Loncar 2006; Mathers and Loncar updated n.d.)</w:t>
      </w:r>
      <w:r w:rsidR="00F7383F" w:rsidRPr="004F1F9C">
        <w:fldChar w:fldCharType="end"/>
      </w:r>
      <w:r w:rsidRPr="004F1F9C">
        <w:t xml:space="preserve"> —extending those as possible and integrating them with the larger IFs system.</w:t>
      </w:r>
    </w:p>
    <w:p w:rsidR="006B1499" w:rsidRPr="004F1F9C" w:rsidRDefault="006B1499" w:rsidP="006B1499"/>
    <w:p w:rsidR="00A84F12" w:rsidRDefault="006B1499" w:rsidP="006B1499">
      <w:r w:rsidRPr="004F1F9C">
        <w:t>As well as being rooted in the theory of various disciplines and sub-specializations, IFs is heavily data-driven. Data come from the various member organizations of the United Nations family and many other sources. The database underlying IFs, and integrated with the system for use by others, includes data for 183 countries over as much of the period since 1960 as possible. The model system itself runs in annual time steps from its initial year (currently 2010).</w:t>
      </w:r>
      <w:r w:rsidRPr="004F1F9C">
        <w:rPr>
          <w:rStyle w:val="FootnoteReference"/>
        </w:rPr>
        <w:footnoteReference w:id="55"/>
      </w:r>
      <w:r w:rsidRPr="004F1F9C">
        <w:t xml:space="preserve"> The menu-driven interface of the IFs software system allows display of historical data since 1960 (in most cases) in combination with results from a base case and from alternative scenarios over time-horizons from 2010 through 2100, facilitating user-interventions flexibly across time, issue area, and geography. Displays include tables, standard graphical formats, and a basic Geographic Information System (GIS) or map projection capability. Specialized display formats, such as age-sex and age-sex-education cohort structures and social accounting matrices, are included also.</w:t>
      </w:r>
    </w:p>
    <w:p w:rsidR="006B1499" w:rsidRPr="004F1F9C" w:rsidRDefault="006B1499" w:rsidP="006B1499"/>
    <w:p w:rsidR="006B1499" w:rsidRPr="004F1F9C" w:rsidRDefault="006B1499" w:rsidP="006B1499">
      <w:pPr>
        <w:keepNext/>
        <w:jc w:val="center"/>
      </w:pPr>
      <w:r w:rsidRPr="004F1F9C">
        <w:rPr>
          <w:noProof/>
        </w:rPr>
        <w:drawing>
          <wp:inline distT="0" distB="0" distL="0" distR="0">
            <wp:extent cx="3657600" cy="4143375"/>
            <wp:effectExtent l="19050" t="0" r="0"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a:stretch>
                      <a:fillRect/>
                    </a:stretch>
                  </pic:blipFill>
                  <pic:spPr bwMode="auto">
                    <a:xfrm>
                      <a:off x="0" y="0"/>
                      <a:ext cx="3657600" cy="4143375"/>
                    </a:xfrm>
                    <a:prstGeom prst="rect">
                      <a:avLst/>
                    </a:prstGeom>
                    <a:noFill/>
                    <a:ln w="9525">
                      <a:noFill/>
                      <a:miter lim="800000"/>
                      <a:headEnd/>
                      <a:tailEnd/>
                    </a:ln>
                  </pic:spPr>
                </pic:pic>
              </a:graphicData>
            </a:graphic>
          </wp:inline>
        </w:drawing>
      </w:r>
    </w:p>
    <w:p w:rsidR="006B1499" w:rsidRPr="004F1F9C" w:rsidRDefault="006B1499" w:rsidP="006B1499">
      <w:pPr>
        <w:pStyle w:val="Caption"/>
        <w:spacing w:line="240" w:lineRule="auto"/>
        <w:rPr>
          <w:rFonts w:ascii="Times New Roman" w:hAnsi="Times New Roman"/>
          <w:sz w:val="24"/>
          <w:lang w:val="en-US"/>
        </w:rPr>
      </w:pPr>
      <w:bookmarkStart w:id="89" w:name="_Toc286763178"/>
      <w:r w:rsidRPr="004F1F9C">
        <w:rPr>
          <w:rFonts w:ascii="Times New Roman" w:hAnsi="Times New Roman"/>
          <w:sz w:val="24"/>
          <w:lang w:val="en-US"/>
        </w:rPr>
        <w:t>Figure 4.2 Major models in the IFs modeling system and example connections</w:t>
      </w:r>
      <w:bookmarkEnd w:id="89"/>
    </w:p>
    <w:p w:rsidR="00A84F12" w:rsidRDefault="006B1499" w:rsidP="006B1499">
      <w:r w:rsidRPr="004F1F9C">
        <w:t>Figure 4.2 shows the major conceptual blocks of the IFs system. The elements of the technology block are, in fact, scattered throughout the model, as are many elements of the infrastructure model, and for the same reason: both are fundamental underlying systems. The named linkages between blocks and the linkages themselves are a small illustrative sub-set, not an exhaustive listing.</w:t>
      </w:r>
    </w:p>
    <w:p w:rsidR="006B1499" w:rsidRPr="004F1F9C" w:rsidRDefault="006B1499" w:rsidP="006B1499"/>
    <w:p w:rsidR="006B1499" w:rsidRPr="004F1F9C" w:rsidRDefault="006B1499" w:rsidP="006B1499">
      <w:r w:rsidRPr="004F1F9C">
        <w:t>The two models within the IFs system that form its core are the population and economic models. Some of the key characteristics of the population model are that it:</w:t>
      </w:r>
    </w:p>
    <w:p w:rsidR="006B1499" w:rsidRPr="004F1F9C" w:rsidRDefault="006B1499" w:rsidP="006B1499">
      <w:pPr>
        <w:pStyle w:val="ListParagraph"/>
        <w:numPr>
          <w:ilvl w:val="0"/>
          <w:numId w:val="21"/>
        </w:numPr>
        <w:spacing w:after="200"/>
      </w:pPr>
      <w:r w:rsidRPr="004F1F9C">
        <w:t>Represents 22 age-sex cohorts to age 100+ in a standard cohort-component structure (but computationally spreads the 5-year cohorts initially to 1-year cohorts and calculates change in 1-year time steps)</w:t>
      </w:r>
    </w:p>
    <w:p w:rsidR="006B1499" w:rsidRPr="004F1F9C" w:rsidRDefault="006B1499" w:rsidP="006B1499">
      <w:pPr>
        <w:pStyle w:val="ListParagraph"/>
        <w:numPr>
          <w:ilvl w:val="0"/>
          <w:numId w:val="21"/>
        </w:numPr>
        <w:spacing w:after="200"/>
      </w:pPr>
      <w:r w:rsidRPr="004F1F9C">
        <w:t>Calculates change in cohort-specific fertility of households in response to income, income distribution, infant mortality (from the health model), education levels, and contraception use</w:t>
      </w:r>
    </w:p>
    <w:p w:rsidR="006B1499" w:rsidRPr="004F1F9C" w:rsidRDefault="006B1499" w:rsidP="006B1499">
      <w:pPr>
        <w:pStyle w:val="ListParagraph"/>
        <w:numPr>
          <w:ilvl w:val="0"/>
          <w:numId w:val="21"/>
        </w:numPr>
        <w:spacing w:after="200"/>
      </w:pPr>
      <w:r w:rsidRPr="004F1F9C">
        <w:t xml:space="preserve">Uses mortality calculations from the health model </w:t>
      </w:r>
    </w:p>
    <w:p w:rsidR="006B1499" w:rsidRPr="004F1F9C" w:rsidRDefault="006B1499" w:rsidP="006B1499">
      <w:pPr>
        <w:pStyle w:val="ListParagraph"/>
        <w:numPr>
          <w:ilvl w:val="0"/>
          <w:numId w:val="21"/>
        </w:numPr>
        <w:spacing w:after="200"/>
      </w:pPr>
      <w:r w:rsidRPr="004F1F9C">
        <w:t>Separately represents the evolution of HIV infection rates and deaths from AIDS</w:t>
      </w:r>
    </w:p>
    <w:p w:rsidR="006B1499" w:rsidRPr="004F1F9C" w:rsidRDefault="006B1499" w:rsidP="006B1499">
      <w:pPr>
        <w:pStyle w:val="ListParagraph"/>
        <w:numPr>
          <w:ilvl w:val="0"/>
          <w:numId w:val="21"/>
        </w:numPr>
        <w:spacing w:after="200"/>
      </w:pPr>
      <w:r>
        <w:t>C</w:t>
      </w:r>
      <w:r w:rsidRPr="004F1F9C">
        <w:t>omputes average life expectancy at birth, literacy rate, and overall measures of human development (HDI)</w:t>
      </w:r>
    </w:p>
    <w:p w:rsidR="006B1499" w:rsidRPr="004F1F9C" w:rsidRDefault="006B1499" w:rsidP="006B1499">
      <w:pPr>
        <w:pStyle w:val="ListParagraph"/>
        <w:numPr>
          <w:ilvl w:val="0"/>
          <w:numId w:val="21"/>
        </w:numPr>
        <w:spacing w:after="200"/>
      </w:pPr>
      <w:r w:rsidRPr="004F1F9C">
        <w:t>Represents migration, which ties to flows of remittances.</w:t>
      </w:r>
    </w:p>
    <w:p w:rsidR="006B1499" w:rsidRPr="004F1F9C" w:rsidRDefault="006B1499" w:rsidP="006B1499">
      <w:r w:rsidRPr="004F1F9C">
        <w:t>Some of the most important characteristics of the economic model are that it:</w:t>
      </w:r>
    </w:p>
    <w:p w:rsidR="006B1499" w:rsidRPr="004F1F9C" w:rsidRDefault="006B1499" w:rsidP="006B1499">
      <w:pPr>
        <w:pStyle w:val="ListParagraph"/>
        <w:numPr>
          <w:ilvl w:val="0"/>
          <w:numId w:val="21"/>
        </w:numPr>
        <w:spacing w:after="200"/>
      </w:pPr>
      <w:r w:rsidRPr="004F1F9C">
        <w:t>Represents the economy in six sectors: agriculture, materials, energy, industry, services, and information/communication technology (ICT)</w:t>
      </w:r>
    </w:p>
    <w:p w:rsidR="006B1499" w:rsidRPr="004F1F9C" w:rsidRDefault="006B1499" w:rsidP="006B1499">
      <w:pPr>
        <w:pStyle w:val="ListParagraph"/>
        <w:numPr>
          <w:ilvl w:val="0"/>
          <w:numId w:val="21"/>
        </w:numPr>
        <w:spacing w:after="200"/>
      </w:pPr>
      <w:r w:rsidRPr="004F1F9C">
        <w:t>Computes and uses input-output matrices that change dynamically with development level</w:t>
      </w:r>
    </w:p>
    <w:p w:rsidR="006B1499" w:rsidRPr="004F1F9C" w:rsidRDefault="006B1499" w:rsidP="006B1499">
      <w:pPr>
        <w:pStyle w:val="ListParagraph"/>
        <w:numPr>
          <w:ilvl w:val="0"/>
          <w:numId w:val="21"/>
        </w:numPr>
        <w:spacing w:after="200"/>
      </w:pPr>
      <w:r w:rsidRPr="004F1F9C">
        <w:t>Is a general equilibrium-seeking model that does not assume exact equilibrium will exist in any given year; rather it uses inventories as buffer stocks and to provide price signals so that the model chases equilibrium over time</w:t>
      </w:r>
    </w:p>
    <w:p w:rsidR="006B1499" w:rsidRPr="004F1F9C" w:rsidRDefault="006B1499" w:rsidP="006B1499">
      <w:pPr>
        <w:pStyle w:val="ListParagraph"/>
        <w:numPr>
          <w:ilvl w:val="0"/>
          <w:numId w:val="21"/>
        </w:numPr>
        <w:spacing w:after="200"/>
      </w:pPr>
      <w:r w:rsidRPr="004F1F9C">
        <w:t xml:space="preserve">Contains a Cobb-Douglas production function that (following insights of Solow and Romer; see </w:t>
      </w:r>
      <w:r w:rsidR="00F7383F" w:rsidRPr="004F1F9C">
        <w:fldChar w:fldCharType="begin"/>
      </w:r>
      <w:r>
        <w:instrText xml:space="preserve"> ADDIN ZOTERO_ITEM CSL_CITATION {"citationID":"ZzCqa9fH","properties":{"formattedCitation":"(Paul M. Romer 1990; Paul Romer 1994)","plainCitation":"(Paul M. Romer 1990; Paul Romer 1994)"},"citationItems":[{"id":228,"uris":["http://zotero.org/groups/4482/items/49NT5VN7"],"uri":["http://zotero.org/groups/4482/items/49NT5VN7"],"itemData":{"id":228,"type":"article-journal","title":"Endogenous Technological Change","container-title":"Journal of Political Economy","page":"71-102","volume":"98","issue":"5","abstract":"Growth in this model is driven by technological change that arises from intentional investment decisions made by profit-maximizing agents. The distinguishing feature of the technology as an input is that it is not a conventional good or a public good; it is a nonrival, partially excludable good. Because of the noconvexity introduced by a nonrival good, price-taking competition cannot be supported. Instead, the equilibrium is one with monopolistic competition. The main conclusions are that the stock of human capital determines the rate of growth, that too little human capital is devoted to research in equilibrium, that integration into world markets will increase growth rates, and that a large population is not sufficient to generate growth.","author":[{"family":"Romer","given":"Paul M."}],"issued":{"year":1990},"accessed":{"year":2009,"month":10,"day":28},"page-first":"71"},"label":"page"},{"id":1658,"uris":["http://zotero.org/groups/4482/items/ZTT6X7NE"],"uri":["http://zotero.org/groups/4482/items/ZTT6X7NE"],"itemData":{"id":1658,"type":"article-journal","title":"The Origins of Endogenous Growth","container-title":"Journal of Economic Perspectives","page":"3-22","volume":"8","issue":"1","author":[{"family":"Romer","given":"Paul"}],"issued":{"year":1994},"page-first":"3"},"label":"page"}],"schema":"https://github.com/citation-style-language/schema/raw/master/csl-citation.json"} </w:instrText>
      </w:r>
      <w:r w:rsidR="00F7383F" w:rsidRPr="004F1F9C">
        <w:fldChar w:fldCharType="separate"/>
      </w:r>
      <w:r w:rsidRPr="004F1F9C">
        <w:rPr>
          <w:noProof/>
        </w:rPr>
        <w:t>(Romer 1990; Romer 1994)</w:t>
      </w:r>
      <w:r w:rsidR="00F7383F" w:rsidRPr="004F1F9C">
        <w:fldChar w:fldCharType="end"/>
      </w:r>
      <w:r w:rsidRPr="004F1F9C">
        <w:t xml:space="preserve"> endogenously represents contributions to growth in multifactor productivity from human capital (education and health), social capital and governance, physical and natural capital (infrastructure and energy prices), and knowledge development and diffusion (research and development [R&amp;D] and economic integration with the outside world)</w:t>
      </w:r>
    </w:p>
    <w:p w:rsidR="006B1499" w:rsidRPr="004F1F9C" w:rsidRDefault="006B1499" w:rsidP="006B1499">
      <w:pPr>
        <w:pStyle w:val="ListParagraph"/>
        <w:numPr>
          <w:ilvl w:val="0"/>
          <w:numId w:val="21"/>
        </w:numPr>
        <w:spacing w:after="200"/>
      </w:pPr>
      <w:r w:rsidRPr="004F1F9C">
        <w:t>Uses a Linear Expenditure System to represent changing consumption patterns</w:t>
      </w:r>
    </w:p>
    <w:p w:rsidR="006B1499" w:rsidRPr="004F1F9C" w:rsidRDefault="006B1499" w:rsidP="006B1499">
      <w:pPr>
        <w:pStyle w:val="ListParagraph"/>
        <w:numPr>
          <w:ilvl w:val="0"/>
          <w:numId w:val="21"/>
        </w:numPr>
        <w:spacing w:after="200"/>
      </w:pPr>
      <w:r w:rsidRPr="004F1F9C">
        <w:t xml:space="preserve">Utilizes a "pooled" rather than bilateral trade approach for international trade </w:t>
      </w:r>
    </w:p>
    <w:p w:rsidR="006B1499" w:rsidRPr="004F1F9C" w:rsidRDefault="006B1499" w:rsidP="006B1499">
      <w:pPr>
        <w:pStyle w:val="ListParagraph"/>
        <w:numPr>
          <w:ilvl w:val="0"/>
          <w:numId w:val="21"/>
        </w:numPr>
        <w:spacing w:after="200"/>
      </w:pPr>
      <w:r w:rsidRPr="004F1F9C">
        <w:t>Has been imbedded in a social accounting matrix (SAM) envelope that ties economic production and consumption to representation of intra-actor financial flows.</w:t>
      </w:r>
    </w:p>
    <w:p w:rsidR="006B1499" w:rsidRPr="004F1F9C" w:rsidRDefault="006B1499" w:rsidP="006B1499">
      <w:r w:rsidRPr="004F1F9C">
        <w:t xml:space="preserve">The socio-political model also interacts with the infrastructure model as well as with the economic, demographic, health, and education models. Some of its relevant features are that it: </w:t>
      </w:r>
    </w:p>
    <w:p w:rsidR="006B1499" w:rsidRPr="004F1F9C" w:rsidRDefault="006B1499" w:rsidP="006B1499">
      <w:pPr>
        <w:pStyle w:val="ListParagraph"/>
        <w:numPr>
          <w:ilvl w:val="0"/>
          <w:numId w:val="21"/>
        </w:numPr>
        <w:spacing w:after="200"/>
      </w:pPr>
      <w:r w:rsidRPr="004F1F9C">
        <w:t>Represents fiscal policy through taxing and spending decisions</w:t>
      </w:r>
    </w:p>
    <w:p w:rsidR="006B1499" w:rsidRPr="004F1F9C" w:rsidRDefault="006B1499" w:rsidP="006B1499">
      <w:pPr>
        <w:pStyle w:val="ListParagraph"/>
        <w:numPr>
          <w:ilvl w:val="0"/>
          <w:numId w:val="21"/>
        </w:numPr>
        <w:spacing w:after="200"/>
      </w:pPr>
      <w:r w:rsidRPr="004F1F9C">
        <w:t>Shows seven categories of government spending: military, health, education, R&amp;D, infrastructure (core), infrastructure other, and a residual category</w:t>
      </w:r>
    </w:p>
    <w:p w:rsidR="006B1499" w:rsidRPr="004F1F9C" w:rsidRDefault="006B1499" w:rsidP="006B1499">
      <w:pPr>
        <w:pStyle w:val="ListParagraph"/>
        <w:numPr>
          <w:ilvl w:val="0"/>
          <w:numId w:val="21"/>
        </w:numPr>
        <w:spacing w:after="200"/>
      </w:pPr>
      <w:r w:rsidRPr="004F1F9C">
        <w:t>Represents changes in social conditions of individuals (like fertility rates, literacy levels or poverty), attitudes of individuals (such as the level of materialism/post-materialism of a society from the World Values Survey), and the social organization of people (such as the status of women)</w:t>
      </w:r>
    </w:p>
    <w:p w:rsidR="006B1499" w:rsidRPr="004F1F9C" w:rsidRDefault="006B1499" w:rsidP="006B1499">
      <w:pPr>
        <w:pStyle w:val="ListParagraph"/>
        <w:numPr>
          <w:ilvl w:val="0"/>
          <w:numId w:val="21"/>
        </w:numPr>
        <w:spacing w:after="200"/>
      </w:pPr>
      <w:r w:rsidRPr="004F1F9C">
        <w:t>Represents the evolution of democracy and governance character variables such as effectiveness and corruption level</w:t>
      </w:r>
    </w:p>
    <w:p w:rsidR="006B1499" w:rsidRPr="004F1F9C" w:rsidRDefault="006B1499" w:rsidP="006B1499">
      <w:pPr>
        <w:pStyle w:val="ListParagraph"/>
        <w:numPr>
          <w:ilvl w:val="0"/>
          <w:numId w:val="21"/>
        </w:numPr>
        <w:spacing w:after="200"/>
      </w:pPr>
      <w:r w:rsidRPr="004F1F9C">
        <w:t>Represents the prospects for state instability or failure.</w:t>
      </w:r>
    </w:p>
    <w:p w:rsidR="006B1499" w:rsidRPr="004F1F9C" w:rsidRDefault="006B1499" w:rsidP="006B1499">
      <w:r w:rsidRPr="004F1F9C">
        <w:t>The environmental model of IFs is not as developed as that of many integrated assessment models, but among its capabilities it:</w:t>
      </w:r>
    </w:p>
    <w:p w:rsidR="006B1499" w:rsidRPr="004F1F9C" w:rsidRDefault="006B1499" w:rsidP="006B1499">
      <w:pPr>
        <w:pStyle w:val="ListParagraph"/>
        <w:numPr>
          <w:ilvl w:val="0"/>
          <w:numId w:val="21"/>
        </w:numPr>
        <w:spacing w:after="200"/>
      </w:pPr>
      <w:r w:rsidRPr="004F1F9C">
        <w:t>Forecasts exposure to indoor air pollution from the use of solid fuels for heating and cooking</w:t>
      </w:r>
    </w:p>
    <w:p w:rsidR="006B1499" w:rsidRPr="004F1F9C" w:rsidRDefault="006B1499" w:rsidP="006B1499">
      <w:pPr>
        <w:pStyle w:val="ListParagraph"/>
        <w:numPr>
          <w:ilvl w:val="0"/>
          <w:numId w:val="21"/>
        </w:numPr>
        <w:spacing w:after="200"/>
      </w:pPr>
      <w:r w:rsidRPr="004F1F9C">
        <w:t>Computes outdoor particulate concentrations for urban areas</w:t>
      </w:r>
    </w:p>
    <w:p w:rsidR="006B1499" w:rsidRPr="004F1F9C" w:rsidRDefault="006B1499" w:rsidP="006B1499">
      <w:pPr>
        <w:pStyle w:val="ListParagraph"/>
        <w:numPr>
          <w:ilvl w:val="0"/>
          <w:numId w:val="21"/>
        </w:numPr>
        <w:spacing w:after="200"/>
      </w:pPr>
      <w:r w:rsidRPr="004F1F9C">
        <w:t xml:space="preserve">Forecasts atmospheric accumulations of carbon dioxide from fossil fuel use and deforestation and replicates findings from more extensive general circulation models to compute associated changes in temperature and precipitation, which in turn affect crop yields. </w:t>
      </w:r>
    </w:p>
    <w:p w:rsidR="00A84F12" w:rsidRDefault="006B1499" w:rsidP="006B1499">
      <w:r w:rsidRPr="004F1F9C">
        <w:t xml:space="preserve">Although initially developed as an educational tool, IFs increasingly supports research and policy analysis. It was a core component of a project exploring the New Economy sponsored by the European Commission (EC) in the TERRA project </w:t>
      </w:r>
      <w:r w:rsidR="00F7383F" w:rsidRPr="004F1F9C">
        <w:fldChar w:fldCharType="begin"/>
      </w:r>
      <w:r>
        <w:instrText xml:space="preserve"> ADDIN ZOTERO_ITEM CSL_CITATION {"citationID":"IUhDHgth","properties":{"formattedCitation":"(Barry Hughes and Johnson 2005)","plainCitation":"(Barry Hughes and Johnson 2005)"},"citationItems":[{"id":1659,"uris":["http://zotero.org/groups/4482/items/X4ST5RGH"],"uri":["http://zotero.org/groups/4482/items/X4ST5RGH"],"itemData":{"id":1659,"type":"article-journal","title":"Sustainable Futures: Building Policy Options into a Scenario for Development in a Global Knowledge Society","container-title":"Futures","page":"813-831","volume":"37","author":[{"family":"Hughes","given":"Barry"},{"family":"Johnson","given":"Peter"}],"issued":{"year":2005},"page-first":"813"}}],"schema":"https://github.com/citation-style-language/schema/raw/master/csl-citation.json"} </w:instrText>
      </w:r>
      <w:r w:rsidR="00F7383F" w:rsidRPr="004F1F9C">
        <w:fldChar w:fldCharType="separate"/>
      </w:r>
      <w:r w:rsidRPr="004F1F9C">
        <w:rPr>
          <w:noProof/>
        </w:rPr>
        <w:t>(Hughes and Johnson 2005)</w:t>
      </w:r>
      <w:r w:rsidR="00F7383F" w:rsidRPr="004F1F9C">
        <w:fldChar w:fldCharType="end"/>
      </w:r>
      <w:r w:rsidRPr="004F1F9C">
        <w:t xml:space="preserve"> and a subsequent EC project on information and communication technology and sustainability. Forecasts from IFs supported Project 2020 (</w:t>
      </w:r>
      <w:r w:rsidRPr="004F1F9C">
        <w:rPr>
          <w:i/>
        </w:rPr>
        <w:t>Mapping the Global Future</w:t>
      </w:r>
      <w:r w:rsidRPr="004F1F9C">
        <w:t xml:space="preserve">) of the National Intelligence Council </w:t>
      </w:r>
      <w:r w:rsidR="00F7383F" w:rsidRPr="004F1F9C">
        <w:fldChar w:fldCharType="begin"/>
      </w:r>
      <w:r>
        <w:instrText xml:space="preserve"> ADDIN ZOTERO_ITEM CSL_CITATION {"citationID":"bromkyP1","properties":{"formattedCitation":"(National Intelligence Council (USNIC) 2004)","plainCitation":"(National Intelligence Council (USNIC) 2004)"},"citationItems":[{"id":1630,"uris":["http://zotero.org/groups/4482/items/ZI42P75H"],"uri":["http://zotero.org/groups/4482/items/ZI42P75H"],"itemData":{"id":1630,"type":"book","title":"Mapping the Global Future: Report of the National Intelligence Council's 2020 Project, Based on Consultations with Nongovernmental Experts Around the World","publisher":"National Intelligence Council, Supt. of Docs., USGPO, distributor","publisher-place":"Washington, DC","event-place":"Washington, DC","shortTitle":"Mapping the global future","author":[{"family":"National Intelligence Council (USNIC)","given":""}],"issued":{"year":2004}}}],"schema":"https://github.com/citation-style-language/schema/raw/master/csl-citation.json"} </w:instrText>
      </w:r>
      <w:r w:rsidR="00F7383F" w:rsidRPr="004F1F9C">
        <w:fldChar w:fldCharType="separate"/>
      </w:r>
      <w:r w:rsidRPr="004F1F9C">
        <w:rPr>
          <w:noProof/>
        </w:rPr>
        <w:t>(USNIC 2004)</w:t>
      </w:r>
      <w:r w:rsidR="00F7383F" w:rsidRPr="004F1F9C">
        <w:fldChar w:fldCharType="end"/>
      </w:r>
      <w:r w:rsidRPr="004F1F9C">
        <w:t xml:space="preserve"> and </w:t>
      </w:r>
      <w:r w:rsidRPr="004F1F9C">
        <w:rPr>
          <w:i/>
        </w:rPr>
        <w:t>Global Trends 2025</w:t>
      </w:r>
      <w:r w:rsidRPr="004F1F9C">
        <w:t xml:space="preserve"> </w:t>
      </w:r>
      <w:r w:rsidR="00F7383F" w:rsidRPr="004F1F9C">
        <w:fldChar w:fldCharType="begin"/>
      </w:r>
      <w:r>
        <w:instrText xml:space="preserve"> ADDIN ZOTERO_ITEM CSL_CITATION {"citationID":"vcDohNhP","properties":{"formattedCitation":"(National Intelligence Council (USNIC) 2008)","plainCitation":"(National Intelligence Council (USNIC) 2008)"},"citationItems":[{"id":1629,"uris":["http://zotero.org/groups/4482/items/H2HZPAUM"],"uri":["http://zotero.org/groups/4482/items/H2HZPAUM"],"itemData":{"id":1629,"type":"report","title":"Global Trands 2025: A Transformed World","publisher":"National Intelligence Council (USNIC)","publisher-place":"Washington, DC","page":"87","event-place":"Washington, DC","shortTitle":"2025: A Transformed World","author":[{"family":"National Intelligence Council (USNIC)","given":""}],"issued":{"year":2008},"page-first":"87"}}],"schema":"https://github.com/citation-style-language/schema/raw/master/csl-citation.json"} </w:instrText>
      </w:r>
      <w:r w:rsidR="00F7383F" w:rsidRPr="004F1F9C">
        <w:fldChar w:fldCharType="separate"/>
      </w:r>
      <w:r w:rsidRPr="004F1F9C">
        <w:rPr>
          <w:noProof/>
        </w:rPr>
        <w:t>(USNIC 2008)</w:t>
      </w:r>
      <w:r w:rsidR="00F7383F" w:rsidRPr="004F1F9C">
        <w:fldChar w:fldCharType="end"/>
      </w:r>
      <w:r w:rsidRPr="004F1F9C">
        <w:t xml:space="preserve">, and is now supporting the NIC's 2030 global trends project. IFs also provided driver forecasts and some integrating analysis for the </w:t>
      </w:r>
      <w:r w:rsidRPr="004F1F9C">
        <w:rPr>
          <w:i/>
        </w:rPr>
        <w:t>Global Environment Outlook-4</w:t>
      </w:r>
      <w:r w:rsidRPr="004F1F9C">
        <w:t xml:space="preserve"> of the United Nations Environment Programme </w:t>
      </w:r>
      <w:r w:rsidR="00F7383F" w:rsidRPr="004F1F9C">
        <w:fldChar w:fldCharType="begin"/>
      </w:r>
      <w:r>
        <w:instrText xml:space="preserve"> ADDIN ZOTERO_ITEM CSL_CITATION {"citationID":"NeozCO89","properties":{"formattedCitation":"(United Nations Environment Programme. 2007)","plainCitation":"(United Nations Environment Programme. 2007)","dontUpdate":true},"citationItems":[{"id":1631,"uris":["http://zotero.org/groups/4482/items/EV6523V8"],"uri":["http://zotero.org/groups/4482/items/EV6523V8"],"itemData":{"id":1631,"type":"book","title":"Global Environment Outlook 4: Environment for Development.","publisher":"United Nations Environment Programme (UNEP)","publisher-place":"Nairobi, Kenya","event-place":"Nairobi, Kenya","ISBN":"9789280728361","shortTitle":"Global Environment Outlook 4","author":[{"family":"United Nations Environment Programme (UNEP)","given":""}],"issued":{"year":2007}}}],"schema":"https://github.com/citation-style-language/schema/raw/master/csl-citation.json"} </w:instrText>
      </w:r>
      <w:r w:rsidR="00F7383F" w:rsidRPr="004F1F9C">
        <w:fldChar w:fldCharType="separate"/>
      </w:r>
      <w:r w:rsidRPr="004F1F9C">
        <w:rPr>
          <w:noProof/>
        </w:rPr>
        <w:t>(UNEP 2007)</w:t>
      </w:r>
      <w:r w:rsidR="00F7383F" w:rsidRPr="004F1F9C">
        <w:fldChar w:fldCharType="end"/>
      </w:r>
      <w:r w:rsidRPr="004F1F9C">
        <w:t xml:space="preserve">, as well as providing scenarios on environmental challenges to human development for the 2011 Human Development Report </w:t>
      </w:r>
      <w:r w:rsidR="00F7383F" w:rsidRPr="004F1F9C">
        <w:fldChar w:fldCharType="begin"/>
      </w:r>
      <w:r>
        <w:instrText xml:space="preserve"> ADDIN ZOTERO_ITEM CSL_CITATION {"citationID":"5QurG744","properties":{"formattedCitation":"(Barry B. Hughes, Irfan, et al. 2011)","plainCitation":"(Barry B. Hughes, Irfan, et al. 2011)"},"citationItems":[{"id":1660,"uris":["http://zotero.org/groups/4482/items/KTHA3GMF"],"uri":["http://zotero.org/groups/4482/items/KTHA3GMF"],"itemData":{"id":1660,"type":"report","title":"Forecasting the Impacts of Environmental Constraints on Human Development","collection-title":"United Nations Human Development Research Paper","publisher":"United Nations Development Programme","genre":"Research Paper","URL":"http://hdr.undp.org/en/reports/global/hdr2011/papers/HDRP_2011_08.pdf.","number":"2011","author":[{"family":"Hughes","given":"Barry B."},{"family":"Irfan","given":"Mohammod T."},{"family":"Moyer","given":"Jonathan D."},{"family":"Rothman","given":"Dale S."},{"family":"Solorzano","given":"Jose R."}],"issued":{"year":2011}}}],"schema":"https://github.com/citation-style-language/schema/raw/master/csl-citation.json"} </w:instrText>
      </w:r>
      <w:r w:rsidR="00F7383F" w:rsidRPr="004F1F9C">
        <w:fldChar w:fldCharType="separate"/>
      </w:r>
      <w:r w:rsidRPr="004F1F9C">
        <w:rPr>
          <w:noProof/>
        </w:rPr>
        <w:t>(Hughes, Irfan, et al. 2011)</w:t>
      </w:r>
      <w:r w:rsidR="00F7383F" w:rsidRPr="004F1F9C">
        <w:fldChar w:fldCharType="end"/>
      </w:r>
      <w:r w:rsidRPr="004F1F9C">
        <w:t xml:space="preserve"> And it serves as the primary tool for the African Futures 2050 project funded by the British High Commission and based at the Institute for Security Studies in South Africa </w:t>
      </w:r>
      <w:r w:rsidR="00F7383F" w:rsidRPr="004F1F9C">
        <w:fldChar w:fldCharType="begin"/>
      </w:r>
      <w:r>
        <w:instrText xml:space="preserve"> ADDIN ZOTERO_ITEM CSL_CITATION {"citationID":"R33cmSH0","properties":{"formattedCitation":"(Cilliers, Barry B. Hughes, and Moyer 2011)","plainCitation":"(Cilliers, Barry B. Hughes, and Moyer 2011)"},"citationItems":[{"id":1661,"uris":["http://zotero.org/groups/4482/items/MXGTVTTA"],"uri":["http://zotero.org/groups/4482/items/MXGTVTTA"],"itemData":{"id":1661,"type":"book","title":"African Futures 2050","publisher":"Institute for Security Studies and Frederick S. Pardee Center for International Futures","publisher-place":"Pretoria, South Africa and Denver, Colorado","event-place":"Pretoria, South Africa and Denver, Colorado","author":[{"family":"Cilliers","given":"Jakkie"},{"family":"Hughes","given":"Barry B."},{"family":"Moyer","given":"Jonathan D."}],"issued":{"year":2011}}}],"schema":"https://github.com/citation-style-language/schema/raw/master/csl-citation.json"} </w:instrText>
      </w:r>
      <w:r w:rsidR="00F7383F" w:rsidRPr="004F1F9C">
        <w:fldChar w:fldCharType="separate"/>
      </w:r>
      <w:r w:rsidRPr="004F1F9C">
        <w:rPr>
          <w:noProof/>
        </w:rPr>
        <w:t>(Cilliers, Hughes, and Moyer 2011)</w:t>
      </w:r>
      <w:r w:rsidR="00F7383F" w:rsidRPr="004F1F9C">
        <w:fldChar w:fldCharType="end"/>
      </w:r>
      <w:r w:rsidRPr="004F1F9C">
        <w:t>.</w:t>
      </w:r>
    </w:p>
    <w:p w:rsidR="006B1499" w:rsidRPr="004F1F9C" w:rsidRDefault="006B1499" w:rsidP="006B1499"/>
    <w:p w:rsidR="006B1499" w:rsidRPr="004F1F9C" w:rsidRDefault="006B1499" w:rsidP="006B1499">
      <w:r w:rsidRPr="004F1F9C">
        <w:t xml:space="preserve">The system facilitates scenario development and policy analysis via a “scenario-tree” that simplifies changes in framing assumptions and agent-class interventions. Users can save scenarios for development and refinement over time. Standard framing scenarios (such as those from the United Nations Environmental Programme’s </w:t>
      </w:r>
      <w:r w:rsidRPr="004F1F9C">
        <w:rPr>
          <w:i/>
        </w:rPr>
        <w:t>Global Environmental Outlook-4)</w:t>
      </w:r>
      <w:r w:rsidRPr="004F1F9C">
        <w:t>, are available with the model for users to explore and potentially develop further.</w:t>
      </w:r>
    </w:p>
    <w:p w:rsidR="006B1499" w:rsidRPr="004F1F9C" w:rsidRDefault="006B1499" w:rsidP="006B1499">
      <w:r w:rsidRPr="004F1F9C">
        <w:t xml:space="preserve">IFs is freely available to all users on-line at </w:t>
      </w:r>
      <w:hyperlink r:id="rId63" w:history="1">
        <w:r w:rsidRPr="004F1F9C">
          <w:rPr>
            <w:rStyle w:val="Hyperlink"/>
          </w:rPr>
          <w:t>www.ifs.du.edu</w:t>
        </w:r>
      </w:hyperlink>
      <w:r w:rsidRPr="004F1F9C">
        <w:t xml:space="preserve"> and in a somewhat richer downloadable version at the same address. The application's Help system contains primary documentation and the web site provides access to extended reports and publications. </w:t>
      </w:r>
    </w:p>
    <w:p w:rsidR="006B1499" w:rsidRPr="004F1F9C" w:rsidRDefault="006B1499" w:rsidP="006B1499"/>
    <w:p w:rsidR="006B1499" w:rsidRPr="004F1F9C" w:rsidRDefault="00A84F12" w:rsidP="00A84F12">
      <w:pPr>
        <w:pStyle w:val="Heading2"/>
        <w:numPr>
          <w:ilvl w:val="1"/>
          <w:numId w:val="32"/>
        </w:numPr>
      </w:pPr>
      <w:bookmarkStart w:id="90" w:name="_Toc326061506"/>
      <w:r>
        <w:t xml:space="preserve"> </w:t>
      </w:r>
      <w:bookmarkStart w:id="91" w:name="_Toc200095288"/>
      <w:r w:rsidR="006B1499" w:rsidRPr="004F1F9C">
        <w:t>Existing Efforts to Forecast Infrastructure</w:t>
      </w:r>
      <w:bookmarkEnd w:id="90"/>
      <w:bookmarkEnd w:id="91"/>
    </w:p>
    <w:p w:rsidR="006B1499" w:rsidRPr="004F1F9C" w:rsidRDefault="006B1499" w:rsidP="006B1499">
      <w:r w:rsidRPr="004F1F9C">
        <w:t>We have not been able to find any one study that uses the type of dynamic, integrated, infrastructure model depicted in Figure 4.1. There are, however, a number of approaches that address parts of this whole. The two portions of that diagram that have received the most attention are (1) the linkage from demand for physical infrastructure to funding requirements, and (2) the somewhat longer chain linking the determinants of demand to the actual level of infrastructure (although without any attention to budget along the way). To a lesser extent, there have been some attempts to model the socioeconomic and environmental effects of infrastructure as a function of the actual levels of infrastructure. We have not found studies that attempt to forecast the funding available for infrastructure or the actual levels of funding for infrastructure</w:t>
      </w:r>
    </w:p>
    <w:p w:rsidR="006B1499" w:rsidRPr="00A84F12" w:rsidRDefault="006B1499" w:rsidP="00A84F12">
      <w:pPr>
        <w:pStyle w:val="Heading3"/>
        <w:numPr>
          <w:ilvl w:val="2"/>
          <w:numId w:val="32"/>
        </w:numPr>
      </w:pPr>
      <w:bookmarkStart w:id="92" w:name="_Toc326061507"/>
      <w:bookmarkStart w:id="93" w:name="_Toc200095289"/>
      <w:r w:rsidRPr="004F1F9C">
        <w:t>Forecasting demand for infrastructure</w:t>
      </w:r>
      <w:bookmarkEnd w:id="92"/>
      <w:bookmarkEnd w:id="93"/>
    </w:p>
    <w:p w:rsidR="006B1499" w:rsidRPr="004F1F9C" w:rsidRDefault="006B1499" w:rsidP="006B1499">
      <w:r w:rsidRPr="004F1F9C">
        <w:t xml:space="preserve">Existing models for forecasting the demand for infrastructure can be divided into two main categories. Those in the first category use equations for each type of infrastructure based on econometric estimations of the relationship between economic, structural, and demographic drivers on the one hand and physical infrastructure stocks (e.g., paved roads, electricity generating capacity, and telephone lines) or levels of access (e.g., percentage of population with access to safe water) on the other. Fay </w:t>
      </w:r>
      <w:r w:rsidR="00F7383F" w:rsidRPr="00F7383F">
        <w:fldChar w:fldCharType="begin"/>
      </w:r>
      <w:r>
        <w:instrText xml:space="preserve"> ADDIN ZOTERO_ITEM CSL_CITATION {"citationID":"vtT8XrE2","properties":{"formattedCitation":"(2001)","plainCitation":"(2001)"},"citationItems":[{"id":480,"uris":["http://zotero.org/groups/4482/items/KQS277CN"],"uri":["http://zotero.org/groups/4482/items/KQS277CN"],"itemData":{"id":480,"type":"manuscript","title":"Financing the Future: Infrastructure Needs in Latin America, 2000-05","publisher-place":"Washington, DC","genre":"Policy Research Working Paper no. 2545","event-place":"Washington, DC","URL":"http://elibrary.worldbank.org/docserver/download/2545.pdf?expires=1311613909&amp;id=id&amp;accname=guest&amp;checksum=ACB78371906738C5C8D3387D4EEAA8ED","note":"World Bank","shortTitle":"Financing the Future","author":[{"family":"Fay","given":"Marianne"}],"issued":{"year":2001}},"suppress-author":true}],"schema":"https://github.com/citation-style-language/schema/raw/master/csl-citation.json"} </w:instrText>
      </w:r>
      <w:r w:rsidR="00F7383F" w:rsidRPr="00F7383F">
        <w:fldChar w:fldCharType="separate"/>
      </w:r>
      <w:r w:rsidRPr="004F1F9C">
        <w:rPr>
          <w:rFonts w:cs="Calibri"/>
        </w:rPr>
        <w:t>(2001)</w:t>
      </w:r>
      <w:r w:rsidR="00F7383F" w:rsidRPr="004F1F9C">
        <w:rPr>
          <w:rFonts w:cs="Calibri"/>
        </w:rPr>
        <w:fldChar w:fldCharType="end"/>
      </w:r>
      <w:r w:rsidRPr="004F1F9C">
        <w:t xml:space="preserve"> and Fay and Yepes </w:t>
      </w:r>
      <w:r w:rsidR="00F7383F" w:rsidRPr="00F7383F">
        <w:fldChar w:fldCharType="begin"/>
      </w:r>
      <w:r>
        <w:instrText xml:space="preserve"> ADDIN ZOTERO_ITEM CSL_CITATION {"citationID":"S92rBdbq","properties":{"formattedCitation":"(2003)","plainCitation":"(2003)"},"citationItems":[{"id":1138,"uris":["http://zotero.org/groups/4482/items/4BPWRAEZ"],"uri":["http://zotero.org/groups/4482/items/4BPWRAEZ"],"itemData":{"id":1138,"type":"manuscript","title":"Investing in Infrastructure: What Is Needed from 2000 to 2010?","publisher-place":"Washington, DC","genre":"Policy Research Working Paper no. 3102","archive":"RePEc","event-place":"Washington, DC","URL":"http://ideas.repec.org/p/wbk/wbrwps/3102.html","call-number":"0154","note":"World Bank","shortTitle":"Investing in Infrastructure","author":[{"family":"Fay","given":"Marianne"},{"family":"Yepes","given":"Tito"}],"issued":{"year":2003},"accessed":{"year":2009,"month":11,"day":23}},"suppress-author":true}],"schema":"https://github.com/citation-style-language/schema/raw/master/csl-citation.json"} </w:instrText>
      </w:r>
      <w:r w:rsidR="00F7383F" w:rsidRPr="00F7383F">
        <w:fldChar w:fldCharType="separate"/>
      </w:r>
      <w:r w:rsidRPr="004F1F9C">
        <w:rPr>
          <w:rFonts w:cs="Calibri"/>
        </w:rPr>
        <w:t>(2003)</w:t>
      </w:r>
      <w:r w:rsidR="00F7383F" w:rsidRPr="004F1F9C">
        <w:rPr>
          <w:rFonts w:cs="Calibri"/>
        </w:rPr>
        <w:fldChar w:fldCharType="end"/>
      </w:r>
      <w:r w:rsidRPr="004F1F9C">
        <w:t xml:space="preserve"> pioneered this approach. More recent studies using the same basic methodology include Yepes </w:t>
      </w:r>
      <w:r w:rsidR="00F7383F" w:rsidRPr="004F1F9C">
        <w:fldChar w:fldCharType="begin"/>
      </w:r>
      <w:r>
        <w:instrText xml:space="preserve"> ADDIN ZOTERO_ITEM CSL_CITATION {"citationID":"QUJMq56S","properties":{"formattedCitation":"(Yepes 2005; Yepes 2008)","plainCitation":"(Yepes 2005; Yepes 2008)"},"citationItems":[{"id":904,"uris":["http://zotero.org/groups/4482/items/TXS9JSZB"],"uri":["http://zotero.org/groups/4482/items/TXS9JSZB"],"itemData":{"id":904,"type":"report","title":"Expenditure on Infrastructure in East Asia Region, 2006–2010","collection-title":"East Asia Pacific Infrastructure Flagship Study","publisher":"Asian Development Bank (ADB), Japan Bank for International Cooperation (JBIC), World Bank","publisher-place":"Manila","event-place":"Manila","author":[{"family":"Yepes","given":"Tito"}],"issued":{"year":2005}},"label":"page"},{"id":716,"uris":["http://zotero.org/groups/4482/items/6FIFS46X"],"uri":["http://zotero.org/groups/4482/items/6FIFS46X"],"itemData":{"id":716,"type":"manuscript","title":"Investment Needs for Infrastructure in Developing Countries 2008-15","publisher-place":"Washington, DC","genre":"Draft","event-place":"Washington, DC","note":"World Bank","author":[{"family":"Yepes","given":"Tito"}],"issued":{"year":2008}},"label":"page"}],"schema":"https://github.com/citation-style-language/schema/raw/master/csl-citation.json"} </w:instrText>
      </w:r>
      <w:r w:rsidR="00F7383F" w:rsidRPr="004F1F9C">
        <w:fldChar w:fldCharType="separate"/>
      </w:r>
      <w:r w:rsidRPr="004F1F9C">
        <w:rPr>
          <w:noProof/>
        </w:rPr>
        <w:t>(2005; 2008)</w:t>
      </w:r>
      <w:r w:rsidR="00F7383F" w:rsidRPr="004F1F9C">
        <w:fldChar w:fldCharType="end"/>
      </w:r>
      <w:r w:rsidRPr="004F1F9C">
        <w:t xml:space="preserve">, Chatterton and Puerto </w:t>
      </w:r>
      <w:r w:rsidR="00F7383F" w:rsidRPr="004F1F9C">
        <w:fldChar w:fldCharType="begin"/>
      </w:r>
      <w:r>
        <w:instrText xml:space="preserve"> ADDIN ZOTERO_ITEM CSL_CITATION {"citationID":"WAWg5lDi","properties":{"formattedCitation":"(Chatterton and Puerto 2006)","plainCitation":"(Chatterton and Puerto 2006)"},"citationItems":[{"id":903,"uris":["http://zotero.org/groups/4482/items/8BCTKHKI"],"uri":["http://zotero.org/groups/4482/items/8BCTKHKI"],"itemData":{"id":903,"type":"report","title":"Estimation of Infrastructure Investment Needs in the South Asia Region: Executive Summary","publisher":"World Bank","publisher-place":"Washington, DC","event-place":"Washington, DC","URL":"http://0-siteresources.worldbank.org.bianca.penlib.du.edu/INTSARREGTOPTRANSPORT/Resources/Inf_Investment_Needs_IC_version4.pdf","shortTitle":"Estimation of Infrastructure Investment Needs in the South Asia Region","author":[{"family":"Chatterton","given":"Isabe"},{"family":"Puerto","given":"Olga S."}],"issued":{"year":2006}}}],"schema":"https://github.com/citation-style-language/schema/raw/master/csl-citation.json"} </w:instrText>
      </w:r>
      <w:r w:rsidR="00F7383F" w:rsidRPr="004F1F9C">
        <w:fldChar w:fldCharType="separate"/>
      </w:r>
      <w:r w:rsidRPr="004F1F9C">
        <w:rPr>
          <w:noProof/>
        </w:rPr>
        <w:t>(2006)</w:t>
      </w:r>
      <w:r w:rsidR="00F7383F" w:rsidRPr="004F1F9C">
        <w:fldChar w:fldCharType="end"/>
      </w:r>
      <w:r w:rsidRPr="004F1F9C">
        <w:t xml:space="preserve">, Lawson and Dragunsanu </w:t>
      </w:r>
      <w:r w:rsidR="00F7383F" w:rsidRPr="00F7383F">
        <w:fldChar w:fldCharType="begin"/>
      </w:r>
      <w:r>
        <w:instrText xml:space="preserve"> ADDIN ZOTERO_ITEM CSL_CITATION {"citationID":"uigrn70qk","properties":{"formattedCitation":"(2008)","plainCitation":"(2008)"},"citationItems":[{"id":1489,"uris":["http://zotero.org/groups/4482/items/Z92RJGHT"],"uri":["http://zotero.org/groups/4482/items/Z92RJGHT"],"itemData":{"id":1489,"type":"manuscript","title":"Building the World: Mapping Infrastructure Demand","publisher-place":"New York, NY","genre":"Global Economics Paper no. 166","event-place":"New York, NY","URL":"http://www2.goldmansachs.com/our-thinking/brics/brics-reports-pdfs/infrastructure-building-the-world.pdf","call-number":"0003","note":"Goldman Sachs","author":[{"family":"Lawson","given":"Sandra"},{"family":"Dragusanu","given":"Raluca"}],"issued":{"year":2008}},"suppress-author":true}],"schema":"https://github.com/citation-style-language/schema/raw/master/csl-citation.json"} </w:instrText>
      </w:r>
      <w:r w:rsidR="00F7383F" w:rsidRPr="00F7383F">
        <w:fldChar w:fldCharType="separate"/>
      </w:r>
      <w:r w:rsidRPr="004F1F9C">
        <w:rPr>
          <w:rFonts w:cs="Calibri"/>
        </w:rPr>
        <w:t>(2008)</w:t>
      </w:r>
      <w:r w:rsidR="00F7383F" w:rsidRPr="004F1F9C">
        <w:rPr>
          <w:rFonts w:cs="Calibri"/>
        </w:rPr>
        <w:fldChar w:fldCharType="end"/>
      </w:r>
      <w:r w:rsidRPr="004F1F9C">
        <w:t xml:space="preserve">, Hughes, Chinowsky, and Strzepek </w:t>
      </w:r>
      <w:r w:rsidR="00F7383F" w:rsidRPr="00F7383F">
        <w:fldChar w:fldCharType="begin"/>
      </w:r>
      <w:r>
        <w:instrText xml:space="preserve"> ADDIN ZOTERO_ITEM CSL_CITATION {"citationID":"2ke88s1o3a","properties":{"formattedCitation":"(2009)","plainCitation":"(2009)"},"citationItems":[{"id":975,"uris":["http://zotero.org/groups/4482/items/ZNDAXGEG"],"uri":["http://zotero.org/groups/4482/items/ZNDAXGEG"],"itemData":{"id":975,"type":"manuscript","title":"The Costs of Adapting to Climate Change for Infrastructure","publisher-place":"Washington, DC","genre":"Economics of Adaptation to Climate Change Discussion Paper no. 2","event-place":"Washington, DC","note":"World Bank","author":[{"family":"Hughes","given":"Gordon"},{"family":"Chinowsky","given":"Paul"},{"family":"Strzepek","given":"Ken"}],"issued":{"year":2009}},"suppress-author":true}],"schema":"https://github.com/citation-style-language/schema/raw/master/csl-citation.json"} </w:instrText>
      </w:r>
      <w:r w:rsidR="00F7383F" w:rsidRPr="00F7383F">
        <w:fldChar w:fldCharType="separate"/>
      </w:r>
      <w:r w:rsidRPr="004F1F9C">
        <w:rPr>
          <w:rFonts w:cs="Calibri"/>
        </w:rPr>
        <w:t>(2009)</w:t>
      </w:r>
      <w:r w:rsidR="00F7383F" w:rsidRPr="004F1F9C">
        <w:rPr>
          <w:rFonts w:cs="Calibri"/>
        </w:rPr>
        <w:fldChar w:fldCharType="end"/>
      </w:r>
      <w:r w:rsidRPr="004F1F9C">
        <w:t xml:space="preserve">, Poddar </w:t>
      </w:r>
      <w:r w:rsidR="00F7383F" w:rsidRPr="00F7383F">
        <w:fldChar w:fldCharType="begin"/>
      </w:r>
      <w:r>
        <w:instrText xml:space="preserve"> ADDIN ZOTERO_ITEM CSL_CITATION {"citationID":"1h7k5bhvpj","properties":{"formattedCitation":"(2009)","plainCitation":"(2009)"},"citationItems":[{"id":510,"uris":["http://zotero.org/groups/4482/items/T4D4P9WZ"],"uri":["http://zotero.org/groups/4482/items/T4D4P9WZ"],"itemData":{"id":510,"type":"manuscript","title":"India CAN Afford Its Massive Infrastructure Needs","publisher-place":"New York, NY","genre":"Global Economics Paper no. 187","event-place":"New York, NY","URL":"http://www2.goldmansachs.com/our-thinking/brics/brics-reports-pdfs/infrastructure-building-the-world.pdf","call-number":"0000","note":"Goldman Sachs","author":[{"family":"Poddar","given":"Tushar"}],"issued":{"year":2009}},"suppress-author":true}],"schema":"https://github.com/citation-style-language/schema/raw/master/csl-citation.json"} </w:instrText>
      </w:r>
      <w:r w:rsidR="00F7383F" w:rsidRPr="00F7383F">
        <w:fldChar w:fldCharType="separate"/>
      </w:r>
      <w:r w:rsidRPr="004F1F9C">
        <w:rPr>
          <w:rFonts w:cs="Calibri"/>
        </w:rPr>
        <w:t>(2009)</w:t>
      </w:r>
      <w:r w:rsidR="00F7383F" w:rsidRPr="004F1F9C">
        <w:rPr>
          <w:rFonts w:cs="Calibri"/>
        </w:rPr>
        <w:fldChar w:fldCharType="end"/>
      </w:r>
      <w:r w:rsidRPr="004F1F9C">
        <w:t xml:space="preserve">, Bhattacharyay </w:t>
      </w:r>
      <w:r w:rsidR="00F7383F" w:rsidRPr="00F7383F">
        <w:fldChar w:fldCharType="begin"/>
      </w:r>
      <w:r>
        <w:instrText xml:space="preserve"> ADDIN ZOTERO_ITEM CSL_CITATION {"citationID":"2nl6jll8vl","properties":{"formattedCitation":"(2010)","plainCitation":"(2010)"},"citationItems":[{"id":1156,"uris":["http://zotero.org/groups/4482/items/MQ3EDFBR"],"uri":["http://zotero.org/groups/4482/items/MQ3EDFBR"],"itemData":{"id":1156,"type":"manuscript","title":"Estimating Demand for Infrastructure in Energy, Transport, Telecommunications, Water and Sanitation in Asia and the Pacific: 2010-2020","publisher-place":"Tokyo","genre":"Working Paper no. 248","event-place":"Tokyo","URL":"http://www.adbi.org/working-paper/2010/09/09/4062.infrastructure.demand.asia.pacific/","call-number":"0001","note":"Asian Development Bank Institute","author":[{"family":"Bhattacharyay","given":"Biswa Nath"}],"issued":{"year":2010}},"suppress-author":true}],"schema":"https://github.com/citation-style-language/schema/raw/master/csl-citation.json"} </w:instrText>
      </w:r>
      <w:r w:rsidR="00F7383F" w:rsidRPr="00F7383F">
        <w:fldChar w:fldCharType="separate"/>
      </w:r>
      <w:r w:rsidRPr="004F1F9C">
        <w:rPr>
          <w:rFonts w:cs="Calibri"/>
        </w:rPr>
        <w:t>(2010)</w:t>
      </w:r>
      <w:r w:rsidR="00F7383F" w:rsidRPr="004F1F9C">
        <w:rPr>
          <w:rFonts w:cs="Calibri"/>
        </w:rPr>
        <w:fldChar w:fldCharType="end"/>
      </w:r>
      <w:r w:rsidRPr="004F1F9C">
        <w:rPr>
          <w:rStyle w:val="FootnoteReference"/>
        </w:rPr>
        <w:t xml:space="preserve"> </w:t>
      </w:r>
      <w:r w:rsidRPr="004F1F9C">
        <w:rPr>
          <w:rStyle w:val="FootnoteReference"/>
        </w:rPr>
        <w:footnoteReference w:id="56"/>
      </w:r>
      <w:r w:rsidRPr="004F1F9C">
        <w:t xml:space="preserve">, and Kohli and Basil </w:t>
      </w:r>
      <w:r w:rsidR="00F7383F" w:rsidRPr="00F7383F">
        <w:fldChar w:fldCharType="begin"/>
      </w:r>
      <w:r>
        <w:instrText xml:space="preserve"> ADDIN ZOTERO_ITEM CSL_CITATION {"citationID":"2lkmd6b1q6","properties":{"formattedCitation":"(2011)","plainCitation":"(2011)"},"citationItems":[{"id":1157,"uris":["http://zotero.org/groups/4482/items/PNQFGAHH"],"uri":["http://zotero.org/groups/4482/items/PNQFGAHH"],"itemData":{"id":1157,"type":"article-journal","title":"Requirements for Infrastructure Investment in Latin America Under Alternate Growth Scenarios","container-title":"Global Journal of Emerging Market Economies","page":"59 -110","volume":"3","issue":"1","abstract":"This study estimates requirements for infrastructure investment in 21 Latin American countries for the period 2011–2040 using a structural equation model. Needs total about 4 percent of GDP. Projections are provided for both a high-growth convergence scenario and a low-growth business-as-usual scenario. These costs represent minimum investments necessary to support expected economic growth. Costs are presented separately and in total for new-capacity investment and maintenance for 10 sectors: airports, electricity, fixed broadband, landlines, mobile telephony, ports, rail, paved roads, sanitation, and water. Country coverage comprises Argentina, Belize, Bolivia, Brazil, Chile, Colombia, Costa Rica, Dominican Republic, Ecuador, El Salvador, Guatemala, Guyana, Honduras, Mexico, Nicaragua, Panama, Paraguay, Peru, Suriname, Uruguay, and Venezuela. The model differs from past studies of regionwide long-term infrastructure investment needs in five features: (1) It considers alternate GDP growth scenarios; (2) It employs a structural equation model using instrumental variables to provide unbiased, consistent projections for both GDP growth scenarios (Instrumented variables are urbanization and the shares in GDP of agriculture, manufacturing, and services); (3) Mobile phone investment costs are not constant but instead vary with population density; (4) Two additional, wealthier countries are included in modeling to prevent forecasting outside the range of the independent variables’ values used to construct the model, and; (5) Timing of new-capacity investments is distributed over multiple years and varies by sector.","DOI":"10.1177/097491011000300103","call-number":"0002","author":[{"family":"Kohli","given":"Harpaul Alberto"},{"family":"Basil","given":"Phillip"}],"issued":{"year":2011},"accessed":{"year":2011,"month":7,"day":29},"page-first":"59"},"suppress-author":true}],"schema":"https://github.com/citation-style-language/schema/raw/master/csl-citation.json"} </w:instrText>
      </w:r>
      <w:r w:rsidR="00F7383F" w:rsidRPr="00F7383F">
        <w:fldChar w:fldCharType="separate"/>
      </w:r>
      <w:r w:rsidRPr="004F1F9C">
        <w:rPr>
          <w:rFonts w:cs="Calibri"/>
        </w:rPr>
        <w:t>(2011)</w:t>
      </w:r>
      <w:r w:rsidR="00F7383F" w:rsidRPr="004F1F9C">
        <w:rPr>
          <w:rFonts w:cs="Calibri"/>
        </w:rPr>
        <w:fldChar w:fldCharType="end"/>
      </w:r>
      <w:r w:rsidRPr="004F1F9C">
        <w:t>.</w:t>
      </w:r>
    </w:p>
    <w:p w:rsidR="00053A06" w:rsidRDefault="006B1499" w:rsidP="006B1499">
      <w:r w:rsidRPr="004F1F9C">
        <w:t xml:space="preserve">The typical set of economic, structural, and demographic drivers used to forecast the demand for infrastructure in these models includes population, population density, urbanization, Gross Domestic Product, and shares of GDP in different sectors. Only Hughes, Chinowsky, and Strzepek </w:t>
      </w:r>
      <w:r w:rsidR="00F7383F" w:rsidRPr="00F7383F">
        <w:fldChar w:fldCharType="begin"/>
      </w:r>
      <w:r>
        <w:instrText xml:space="preserve"> ADDIN ZOTERO_ITEM CSL_CITATION {"citationID":"2kea1bfhgh","properties":{"formattedCitation":"(2009)","plainCitation":"(2009)"},"citationItems":[{"id":975,"uris":["http://zotero.org/groups/4482/items/ZNDAXGEG"],"uri":["http://zotero.org/groups/4482/items/ZNDAXGEG"],"itemData":{"id":975,"type":"manuscript","title":"The Costs of Adapting to Climate Change for Infrastructure","publisher-place":"Washington, DC","genre":"Economics of Adaptation to Climate Change Discussion Paper no. 2","event-place":"Washington, DC","note":"World Bank","author":[{"family":"Hughes","given":"Gordon"},{"family":"Chinowsky","given":"Paul"},{"family":"Strzepek","given":"Ken"}],"issued":{"year":2009}},"suppress-author":true}],"schema":"https://github.com/citation-style-language/schema/raw/master/csl-citation.json"} </w:instrText>
      </w:r>
      <w:r w:rsidR="00F7383F" w:rsidRPr="00F7383F">
        <w:fldChar w:fldCharType="separate"/>
      </w:r>
      <w:r w:rsidRPr="004F1F9C">
        <w:rPr>
          <w:rFonts w:cs="Calibri"/>
        </w:rPr>
        <w:t>(2009)</w:t>
      </w:r>
      <w:r w:rsidR="00F7383F" w:rsidRPr="004F1F9C">
        <w:rPr>
          <w:rFonts w:cs="Calibri"/>
        </w:rPr>
        <w:fldChar w:fldCharType="end"/>
      </w:r>
      <w:r w:rsidRPr="004F1F9C">
        <w:t xml:space="preserve"> included costs as an explicit driver. In addition, because their study was focused on the impact of climate change on infrastructure, Hughes, Chinowsky, and Strzepek also included a number of climatic and other geographic variables, such as land type, as drivers.</w:t>
      </w:r>
    </w:p>
    <w:p w:rsidR="006B1499" w:rsidRPr="004F1F9C" w:rsidRDefault="006B1499" w:rsidP="006B1499"/>
    <w:p w:rsidR="00053A06" w:rsidRDefault="006B1499" w:rsidP="006B1499">
      <w:r w:rsidRPr="004F1F9C">
        <w:t xml:space="preserve">In most of the studies noted above the forecasts of the drivers were exogenous—therefore, they were not affected by forward linkages from the infrastructure forecasts themselves over time. The Maquette for MDG Simulation (MAMS) model </w:t>
      </w:r>
      <w:r w:rsidR="00F7383F" w:rsidRPr="00F7383F">
        <w:fldChar w:fldCharType="begin"/>
      </w:r>
      <w:r>
        <w:instrText xml:space="preserve"> ADDIN ZOTERO_ITEM CSL_CITATION {"citationID":"i2umq9j2c","properties":{"formattedCitation":"(Lofgren and Diaz-Bonilla 2010)","plainCitation":"(Lofgren and Diaz-Bonilla 2010)"},"citationItems":[{"id":1471,"uris":["http://zotero.org/groups/4482/items/MSTGJTAQ"],"uri":["http://zotero.org/groups/4482/items/MSTGJTAQ"],"itemData":{"id":1471,"type":"chapter","title":"MAMS: An Economy-Wide Model for Analysis of MDG Country Strategies–an Application to Latin America and the Caribbean","container-title":"Public Policies for Human Development: Achieving the Millennium Development Goals in Latin America","publisher":"Palgrave Macmillan","publisher-place":"Basingstoke, UK","page":"71-126","event-place":"Basingstoke, UK","ISBN":"978-0230247765","call-number":"0000","author":[{"family":"Lofgren","given":"Hans"},{"family":"Diaz-Bonilla","given":"Carolina"}],"editor":[{"family":"Sánchez","given":"Marco"},{"family":"Vos","given":"Rob"},{"family":"Ganuza","given":"Enrique"},{"family":"Lofgren","given":"Hans"},{"family":"Díaz-Bonilla","given":"Carolina"}],"issued":{"year":2010},"page-first":"71"}}],"schema":"https://github.com/citation-style-language/schema/raw/master/csl-citation.json"} </w:instrText>
      </w:r>
      <w:r w:rsidR="00F7383F" w:rsidRPr="00F7383F">
        <w:fldChar w:fldCharType="separate"/>
      </w:r>
      <w:r w:rsidRPr="004F1F9C">
        <w:rPr>
          <w:rFonts w:cs="Calibri"/>
        </w:rPr>
        <w:t>(Lofgren and Diaz-Bonilla 2010)</w:t>
      </w:r>
      <w:r w:rsidR="00F7383F" w:rsidRPr="004F1F9C">
        <w:rPr>
          <w:rFonts w:cs="Calibri"/>
        </w:rPr>
        <w:fldChar w:fldCharType="end"/>
      </w:r>
      <w:r w:rsidRPr="004F1F9C">
        <w:t xml:space="preserve"> and the model described in Kohli and Basil </w:t>
      </w:r>
      <w:r w:rsidR="00F7383F" w:rsidRPr="004F1F9C">
        <w:fldChar w:fldCharType="begin"/>
      </w:r>
      <w:r>
        <w:instrText xml:space="preserve"> ADDIN ZOTERO_ITEM CSL_CITATION {"citationID":"TeTrnfM8","properties":{"formattedCitation":"(2011)","plainCitation":"(2011)"},"citationItems":[{"id":1157,"uris":["http://zotero.org/groups/4482/items/PNQFGAHH"],"uri":["http://zotero.org/groups/4482/items/PNQFGAHH"],"itemData":{"id":1157,"type":"article-journal","title":"Requirements for Infrastructure Investment in Latin America Under Alternate Growth Scenarios","container-title":"Global Journal of Emerging Market Economies","page":"59 -110","volume":"3","issue":"1","abstract":"This study estimates requirements for infrastructure investment in 21 Latin American countries for the period 2011–2040 using a structural equation model. Needs total about 4 percent of GDP. Projections are provided for both a high-growth convergence scenario and a low-growth business-as-usual scenario. These costs represent minimum investments necessary to support expected economic growth. Costs are presented separately and in total for new-capacity investment and maintenance for 10 sectors: airports, electricity, fixed broadband, landlines, mobile telephony, ports, rail, paved roads, sanitation, and water. Country coverage comprises Argentina, Belize, Bolivia, Brazil, Chile, Colombia, Costa Rica, Dominican Republic, Ecuador, El Salvador, Guatemala, Guyana, Honduras, Mexico, Nicaragua, Panama, Paraguay, Peru, Suriname, Uruguay, and Venezuela. The model differs from past studies of regionwide long-term infrastructure investment needs in five features: (1) It considers alternate GDP growth scenarios; (2) It employs a structural equation model using instrumental variables to provide unbiased, consistent projections for both GDP growth scenarios (Instrumented variables are urbanization and the shares in GDP of agriculture, manufacturing, and services); (3) Mobile phone investment costs are not constant but instead vary with population density; (4) Two additional, wealthier countries are included in modeling to prevent forecasting outside the range of the independent variables’ values used to construct the model, and; (5) Timing of new-capacity investments is distributed over multiple years and varies by sector.","DOI":"10.1177/097491011000300103","call-number":"0002","author":[{"family":"Kohli","given":"Harpaul Alberto"},{"family":"Basil","given":"Phillip"}],"issued":{"year":2011},"accessed":{"year":2011,"month":7,"day":29},"page-first":"59"},"suppress-author":true}],"schema":"https://github.com/citation-style-language/schema/raw/master/csl-citation.json"} </w:instrText>
      </w:r>
      <w:r w:rsidR="00F7383F" w:rsidRPr="004F1F9C">
        <w:fldChar w:fldCharType="separate"/>
      </w:r>
      <w:r w:rsidRPr="004F1F9C">
        <w:rPr>
          <w:rFonts w:cs="Calibri"/>
        </w:rPr>
        <w:t>(2011)</w:t>
      </w:r>
      <w:r w:rsidR="00F7383F" w:rsidRPr="004F1F9C">
        <w:fldChar w:fldCharType="end"/>
      </w:r>
      <w:r w:rsidRPr="004F1F9C">
        <w:t xml:space="preserve"> are exceptions. The former coupled the estimation of access to safe water and sanitation to a computable general equilibrium model, in the process establishing a link between the forecasts of these two aspects of infrastructure along with a more generic accounting of public infrastructure stocks. The latter used a structural equation model, which introduced a formal link between the forecasts of the different forms of infrastructure considered. In the other studies, there are no explicit links between the demands for the different types of infrastructure other than the use of common drivers.</w:t>
      </w:r>
    </w:p>
    <w:p w:rsidR="006B1499" w:rsidRPr="004F1F9C" w:rsidRDefault="006B1499" w:rsidP="006B1499"/>
    <w:p w:rsidR="00053A06" w:rsidRDefault="006B1499" w:rsidP="006B1499">
      <w:r w:rsidRPr="004F1F9C">
        <w:t xml:space="preserve">The econometric estimates used to forecast demand in these models are based on observations of past behavior. As such, Fay </w:t>
      </w:r>
      <w:r w:rsidR="00F7383F" w:rsidRPr="00F7383F">
        <w:fldChar w:fldCharType="begin"/>
      </w:r>
      <w:r>
        <w:instrText xml:space="preserve"> ADDIN ZOTERO_ITEM CSL_CITATION {"citationID":"2p7gtkughu","properties":{"formattedCitation":"(2001, 2)","plainCitation":"(2001, 2)"},"citationItems":[{"id":480,"uris":["http://zotero.org/groups/4482/items/KQS277CN"],"uri":["http://zotero.org/groups/4482/items/KQS277CN"],"itemData":{"id":480,"type":"manuscript","title":"Financing the Future: Infrastructure Needs in Latin America, 2000-05","publisher-place":"Washington, DC","genre":"Policy Research Working Paper no. 2545","event-place":"Washington, DC","URL":"http://elibrary.worldbank.org/docserver/download/2545.pdf?expires=1311613909&amp;id=id&amp;accname=guest&amp;checksum=ACB78371906738C5C8D3387D4EEAA8ED","note":"World Bank","shortTitle":"Financing the Future","author":[{"family":"Fay","given":"Marianne"}],"issued":{"year":2001}},"locator":"2","label":"page","suppress-author":true}],"schema":"https://github.com/citation-style-language/schema/raw/master/csl-citation.json"} </w:instrText>
      </w:r>
      <w:r w:rsidR="00F7383F" w:rsidRPr="00F7383F">
        <w:fldChar w:fldCharType="separate"/>
      </w:r>
      <w:r w:rsidRPr="004F1F9C">
        <w:rPr>
          <w:rFonts w:cs="Calibri"/>
        </w:rPr>
        <w:t>(2001, 2)</w:t>
      </w:r>
      <w:r w:rsidR="00F7383F" w:rsidRPr="004F1F9C">
        <w:rPr>
          <w:rFonts w:cs="Calibri"/>
        </w:rPr>
        <w:fldChar w:fldCharType="end"/>
      </w:r>
      <w:r w:rsidRPr="004F1F9C">
        <w:t xml:space="preserve"> was careful to note that these demands are estimates of “what consumers and producers would be asking for given their income and level of economic activity.” They do not reflect “some socially optimal measure of need for infrastructure service or infrastructure investment </w:t>
      </w:r>
      <w:r w:rsidR="00F7383F" w:rsidRPr="00F7383F">
        <w:fldChar w:fldCharType="begin"/>
      </w:r>
      <w:r>
        <w:instrText xml:space="preserve"> ADDIN ZOTERO_ITEM CSL_CITATION {"citationID":"la56a1vmc","properties":{"formattedCitation":"(Fay 2001, 2)","plainCitation":"(Fay 2001, 2)"},"citationItems":[{"id":480,"uris":["http://zotero.org/groups/4482/items/KQS277CN"],"uri":["http://zotero.org/groups/4482/items/KQS277CN"],"itemData":{"id":480,"type":"manuscript","title":"Financing the Future: Infrastructure Needs in Latin America, 2000-05","publisher-place":"Washington, DC","genre":"Policy Research Working Paper no. 2545","event-place":"Washington, DC","URL":"http://elibrary.worldbank.org/docserver/download/2545.pdf?expires=1311613909&amp;id=id&amp;accname=guest&amp;checksum=ACB78371906738C5C8D3387D4EEAA8ED","note":"World Bank","shortTitle":"Financing the Future","author":[{"family":"Fay","given":"Marianne"}],"issued":{"year":2001}},"locator":"2","label":"page"}],"schema":"https://github.com/citation-style-language/schema/raw/master/csl-citation.json"} </w:instrText>
      </w:r>
      <w:r w:rsidR="00F7383F" w:rsidRPr="00F7383F">
        <w:fldChar w:fldCharType="separate"/>
      </w:r>
      <w:r w:rsidRPr="004F1F9C">
        <w:rPr>
          <w:rFonts w:cs="Calibri"/>
        </w:rPr>
        <w:t>(Fay 2001, 2)</w:t>
      </w:r>
      <w:r w:rsidR="00F7383F" w:rsidRPr="004F1F9C">
        <w:rPr>
          <w:rFonts w:cs="Calibri"/>
        </w:rPr>
        <w:fldChar w:fldCharType="end"/>
      </w:r>
      <w:r w:rsidRPr="004F1F9C">
        <w:t xml:space="preserve">.” </w:t>
      </w:r>
      <w:r w:rsidRPr="004F1F9C">
        <w:rPr>
          <w:rFonts w:cs="Calibri"/>
        </w:rPr>
        <w:t xml:space="preserve">Chatterton and Puerto </w:t>
      </w:r>
      <w:r w:rsidR="00F7383F" w:rsidRPr="00F7383F">
        <w:fldChar w:fldCharType="begin"/>
      </w:r>
      <w:r>
        <w:instrText xml:space="preserve"> ADDIN ZOTERO_ITEM CSL_CITATION {"citationID":"G5xDRLIU","properties":{"formattedCitation":"(2006, 1)","plainCitation":"(2006, 1)"},"citationItems":[{"id":903,"uris":["http://zotero.org/groups/4482/items/8BCTKHKI"],"uri":["http://zotero.org/groups/4482/items/8BCTKHKI"],"itemData":{"id":903,"type":"report","title":"Estimation of Infrastructure Investment Needs in the South Asia Region: Executive Summary","publisher":"World Bank","publisher-place":"Washington, DC","event-place":"Washington, DC","URL":"http://0-siteresources.worldbank.org.bianca.penlib.du.edu/INTSARREGTOPTRANSPORT/Resources/Inf_Investment_Needs_IC_version4.pdf","shortTitle":"Estimation of Infrastructure Investment Needs in the South Asia Region","author":[{"family":"Chatterton","given":"Isabe"},{"family":"Puerto","given":"Olga S."}],"issued":{"year":2006}},"locator":"1","label":"page","suppress-author":true}],"schema":"https://github.com/citation-style-language/schema/raw/master/csl-citation.json"} </w:instrText>
      </w:r>
      <w:r w:rsidR="00F7383F" w:rsidRPr="00F7383F">
        <w:fldChar w:fldCharType="separate"/>
      </w:r>
      <w:r w:rsidRPr="004F1F9C">
        <w:rPr>
          <w:rFonts w:cs="Calibri"/>
        </w:rPr>
        <w:t>(2006, 1)</w:t>
      </w:r>
      <w:r w:rsidR="00F7383F" w:rsidRPr="004F1F9C">
        <w:rPr>
          <w:rFonts w:cs="Calibri"/>
        </w:rPr>
        <w:fldChar w:fldCharType="end"/>
      </w:r>
      <w:r w:rsidRPr="004F1F9C">
        <w:rPr>
          <w:rFonts w:cs="Calibri"/>
        </w:rPr>
        <w:t xml:space="preserve"> stated that</w:t>
      </w:r>
      <w:r w:rsidRPr="004F1F9C">
        <w:t xml:space="preserve"> “the results of the regressions do not reflect drivers or inhibitors of investment.” Estache and Fay </w:t>
      </w:r>
      <w:r w:rsidR="00F7383F" w:rsidRPr="00F7383F">
        <w:fldChar w:fldCharType="begin"/>
      </w:r>
      <w:r>
        <w:instrText xml:space="preserve"> ADDIN ZOTERO_ITEM CSL_CITATION {"citationID":"22hom9nuss","properties":{"formattedCitation":"(2010, 163)","plainCitation":"(2010, 163)"},"citationItems":[{"id":1119,"uris":["http://zotero.org/groups/4482/items/VG54KBK3"],"uri":["http://zotero.org/groups/4482/items/VG54KBK3"],"itemData":{"id":1119,"type":"chapter","title":"Current Debates on Infrastructure Policy","container-title":"Globalization and Growth Implications for a Post-Crisis World","publisher":"World Bank","publisher-place":"Washington, DC","page":"151-193","event-place":"Washington, DC","ISBN":"978-0-8213-8220-2","author":[{"family":"Estache","given":"Antonio"},{"family":"Fay","given":"Marianne"}],"editor":[{"family":"Spence","given":"Michael"},{"family":"Leipziger","given":"Danny"}],"issued":{"year":2010},"page-first":"151"},"locator":"163","label":"page","suppress-author":true}],"schema":"https://github.com/citation-style-language/schema/raw/master/csl-citation.json"} </w:instrText>
      </w:r>
      <w:r w:rsidR="00F7383F" w:rsidRPr="00F7383F">
        <w:fldChar w:fldCharType="separate"/>
      </w:r>
      <w:r w:rsidRPr="004F1F9C">
        <w:rPr>
          <w:rFonts w:cs="Calibri"/>
        </w:rPr>
        <w:t>(2010, 163)</w:t>
      </w:r>
      <w:r w:rsidR="00F7383F" w:rsidRPr="004F1F9C">
        <w:rPr>
          <w:rFonts w:cs="Calibri"/>
        </w:rPr>
        <w:fldChar w:fldCharType="end"/>
      </w:r>
      <w:r w:rsidRPr="004F1F9C">
        <w:t xml:space="preserve">, citing Lall and Wang </w:t>
      </w:r>
      <w:r w:rsidR="00F7383F" w:rsidRPr="004F1F9C">
        <w:fldChar w:fldCharType="begin"/>
      </w:r>
      <w:r>
        <w:instrText xml:space="preserve"> ADDIN ZOTERO_ITEM CSL_CITATION {"citationID":"66bfl15sj","properties":{"formattedCitation":"(2006)","plainCitation":"(2006)"},"citationItems":[{"id":1485,"uris":["http://zotero.org/groups/4482/items/EMZZ99A9"],"uri":["http://zotero.org/groups/4482/items/EMZZ99A9"],"itemData":{"id":1485,"type":"manuscript","title":"Improving the Development Impact of Infrastructure, Proposal for a Research Program Grant on Infrastructure","publisher-place":"Washington, DC","genre":"Internal Document","event-place":"Washington, DC","call-number":"0000","note":"World Bank","author":[{"family":"Lall","given":"Somik"},{"family":"Wang","given":"H. C."}],"issued":{"year":2006}},"suppress-author":true}],"schema":"https://github.com/citation-style-language/schema/raw/master/csl-citation.json"} </w:instrText>
      </w:r>
      <w:r w:rsidR="00F7383F" w:rsidRPr="004F1F9C">
        <w:fldChar w:fldCharType="separate"/>
      </w:r>
      <w:r w:rsidRPr="004F1F9C">
        <w:rPr>
          <w:rFonts w:cs="Calibri"/>
        </w:rPr>
        <w:t>(2006)</w:t>
      </w:r>
      <w:r w:rsidR="00F7383F" w:rsidRPr="004F1F9C">
        <w:fldChar w:fldCharType="end"/>
      </w:r>
      <w:r w:rsidRPr="004F1F9C">
        <w:t xml:space="preserve">, pointed out, however, that “if past demand was rationed, it may not be a good predictor of unrationed demand,” implying that these types of regressions may indeed reflect shortages of investment. All of this points to the need “for an approach that incorporates fiscal constraints and supply-side bottlenecks and models the gap between current and optimal level of provisions” </w:t>
      </w:r>
      <w:r w:rsidR="00F7383F" w:rsidRPr="004F1F9C">
        <w:fldChar w:fldCharType="begin"/>
      </w:r>
      <w:r>
        <w:instrText xml:space="preserve"> ADDIN ZOTERO_ITEM CSL_CITATION {"citationID":"FTlpwgam","properties":{"formattedCitation":"(Estache and Fay 2010, 163)","plainCitation":"(Estache and Fay 2010, 163)"},"citationItems":[{"id":1119,"uris":["http://zotero.org/groups/4482/items/VG54KBK3"],"uri":["http://zotero.org/groups/4482/items/VG54KBK3"],"itemData":{"id":1119,"type":"chapter","title":"Current Debates on Infrastructure Policy","container-title":"Globalization and Growth Implications for a Post-Crisis World","publisher":"World Bank","publisher-place":"Washington, DC","page":"151-193","event-place":"Washington, DC","ISBN":"978-0-8213-8220-2","author":[{"family":"Estache","given":"Antonio"},{"family":"Fay","given":"Marianne"}],"editor":[{"family":"Spence","given":"Michael"},{"family":"Leipziger","given":"Danny"}],"issued":{"year":2010},"page-first":"151"},"locator":"163","label":"page"}],"schema":"https://github.com/citation-style-language/schema/raw/master/csl-citation.json"} </w:instrText>
      </w:r>
      <w:r w:rsidR="00F7383F" w:rsidRPr="004F1F9C">
        <w:fldChar w:fldCharType="separate"/>
      </w:r>
      <w:r w:rsidRPr="004F1F9C">
        <w:rPr>
          <w:rFonts w:cs="Calibri"/>
        </w:rPr>
        <w:t>(Estache and Fay 2010, 163)</w:t>
      </w:r>
      <w:r w:rsidR="00F7383F" w:rsidRPr="004F1F9C">
        <w:fldChar w:fldCharType="end"/>
      </w:r>
      <w:r w:rsidRPr="004F1F9C">
        <w:t>. This is an issue we will return to in describing the IFs forecast methodology later in this chapter.</w:t>
      </w:r>
    </w:p>
    <w:p w:rsidR="006B1499" w:rsidRPr="004F1F9C" w:rsidRDefault="006B1499" w:rsidP="006B1499"/>
    <w:p w:rsidR="00053A06" w:rsidRDefault="006B1499" w:rsidP="006B1499">
      <w:r w:rsidRPr="004F1F9C">
        <w:t xml:space="preserve">In the second category of existing approaches to infrastructure forecasting, elaborate </w:t>
      </w:r>
      <w:r>
        <w:t xml:space="preserve">mathematical </w:t>
      </w:r>
      <w:r w:rsidRPr="004F1F9C">
        <w:t>models</w:t>
      </w:r>
      <w:r>
        <w:t xml:space="preserve">, with more explicit demand and supply sides and somewhat more endogeneity in the dynamics of the demand drivers, </w:t>
      </w:r>
      <w:r w:rsidRPr="004F1F9C">
        <w:t xml:space="preserve">are used to calculate the demands for various components of a certain type of infrastructure. One example is the World Energy Model, developed and maintained by the International Energy Agency </w:t>
      </w:r>
      <w:r w:rsidR="00F7383F" w:rsidRPr="00F7383F">
        <w:fldChar w:fldCharType="begin"/>
      </w:r>
      <w:r>
        <w:instrText xml:space="preserve"> ADDIN ZOTERO_ITEM CSL_CITATION {"citationID":"2mb281eoh4","properties":{"formattedCitation":"(2010)","plainCitation":"(2010)"},"citationItems":[{"id":253,"uris":["http://zotero.org/groups/4482/items/6CNSWTEK"],"uri":["http://zotero.org/groups/4482/items/6CNSWTEK"],"itemData":{"id":253,"type":"report","title":"World Energy Model - Methodology and Assumptions","publisher":"Organisation for Economic Cooperation and Development (OECD) and International Energy Agency (IEA)","publisher-place":"Paris","event-place":"Paris","URL":"http://www.iea.org/weo/docs/weo2010/World_Energy_Model.pdf","author":[{"family":"International Energy Agency (IEA)","given":""}],"issued":{"year":2010}},"suppress-author":true}],"schema":"https://github.com/citation-style-language/schema/raw/master/csl-citation.json"} </w:instrText>
      </w:r>
      <w:r w:rsidR="00F7383F" w:rsidRPr="00F7383F">
        <w:fldChar w:fldCharType="separate"/>
      </w:r>
      <w:r w:rsidRPr="004F1F9C">
        <w:rPr>
          <w:rFonts w:cs="Calibri"/>
        </w:rPr>
        <w:t>(2010)</w:t>
      </w:r>
      <w:r w:rsidR="00F7383F" w:rsidRPr="004F1F9C">
        <w:rPr>
          <w:rFonts w:cs="Calibri"/>
        </w:rPr>
        <w:fldChar w:fldCharType="end"/>
      </w:r>
      <w:r w:rsidRPr="004F1F9C">
        <w:t xml:space="preserve">, and used to provide the electricity generating capacity forecasts in the OECD’s Infrastructure to 2030 study </w:t>
      </w:r>
      <w:r w:rsidR="00F7383F" w:rsidRPr="00F7383F">
        <w:fldChar w:fldCharType="begin"/>
      </w:r>
      <w:r>
        <w:instrText xml:space="preserve"> ADDIN ZOTERO_ITEM CSL_CITATION {"citationID":"n6550psfg","properties":{"formattedCitation":"(Morgan 2006)","plainCitation":"(Morgan 2006)"},"citationItems":[{"id":724,"uris":["http://zotero.org/groups/4482/items/43ZXUMHJ"],"uri":["http://zotero.org/groups/4482/items/43ZXUMHJ"],"itemData":{"id":724,"type":"chapter","title":"Outlook for Global Investment in Electricity Infrastructure","container-title":"Infrastructure to 2030 Volume 1: Telecom, Land Transport, Water and Electricity","collection-title":"Infrastructure to 2030","publisher":"Organisation for Economic Cooperation and Development (OECD)","publisher-place":"Paris","page":"149-184","event-place":"Paris","ISBN":"9264023984","call-number":"0000","editor":[{"family":"Organisation for Economic Co-operation and DevelopmentOrganisation for Economic Cooperation and Development (OECD)","given":""}],"author":[{"family":"Morgan","given":"Trevor"}],"issued":{"year":2006},"page-first":"149"}}],"schema":"https://github.com/citation-style-language/schema/raw/master/csl-citation.json"} </w:instrText>
      </w:r>
      <w:r w:rsidR="00F7383F" w:rsidRPr="00F7383F">
        <w:fldChar w:fldCharType="separate"/>
      </w:r>
      <w:r w:rsidRPr="004F1F9C">
        <w:rPr>
          <w:rFonts w:cs="Calibri"/>
        </w:rPr>
        <w:t>(Morgan 2006)</w:t>
      </w:r>
      <w:r w:rsidR="00F7383F" w:rsidRPr="004F1F9C">
        <w:rPr>
          <w:rFonts w:cs="Calibri"/>
        </w:rPr>
        <w:fldChar w:fldCharType="end"/>
      </w:r>
      <w:r w:rsidRPr="004F1F9C">
        <w:t>.</w:t>
      </w:r>
      <w:r w:rsidRPr="004F1F9C">
        <w:rPr>
          <w:rStyle w:val="FootnoteReference"/>
        </w:rPr>
        <w:footnoteReference w:id="57"/>
      </w:r>
      <w:r w:rsidRPr="004F1F9C">
        <w:t xml:space="preserve"> As part of the broader energy system, the IEA model disaggregates electricity demand by end-use sector (residential, industrial, and heating) and generation by electricity plant type (fifteen in total, including those using fossil, nuclear, and renewable fuel sources). The sectoral demands are driven by factors “including electricity price, household income, and the possibility to switch to others energy sources to provide the same service” </w:t>
      </w:r>
      <w:r w:rsidR="00F7383F" w:rsidRPr="004F1F9C">
        <w:fldChar w:fldCharType="begin"/>
      </w:r>
      <w:r>
        <w:instrText xml:space="preserve"> ADDIN ZOTERO_ITEM CSL_CITATION {"citationID":"29atg1mj2s","properties":{"formattedCitation":"(International Energy Agency (IEA) 2010, 14)","plainCitation":"(International Energy Agency (IEA) 2010, 14)"},"citationItems":[{"id":253,"uris":["http://zotero.org/groups/4482/items/6CNSWTEK"],"uri":["http://zotero.org/groups/4482/items/6CNSWTEK"],"itemData":{"id":253,"type":"report","title":"World Energy Model - Methodology and Assumptions","publisher":"Organisation for Economic Cooperation and Development (OECD) and International Energy Agency (IEA)","publisher-place":"Paris","event-place":"Paris","URL":"http://www.iea.org/weo/docs/weo2010/World_Energy_Model.pdf","author":[{"family":"International Energy Agency (IEA)","given":""}],"issued":{"year":2010}},"locator":"14","label":"page"}],"schema":"https://github.com/citation-style-language/schema/raw/master/csl-citation.json"} </w:instrText>
      </w:r>
      <w:r w:rsidR="00F7383F" w:rsidRPr="004F1F9C">
        <w:fldChar w:fldCharType="separate"/>
      </w:r>
      <w:r w:rsidRPr="004F1F9C">
        <w:rPr>
          <w:rFonts w:cs="Calibri"/>
        </w:rPr>
        <w:t>(International Energy Agency (IEA) 2010, 14)</w:t>
      </w:r>
      <w:r w:rsidR="00F7383F" w:rsidRPr="004F1F9C">
        <w:fldChar w:fldCharType="end"/>
      </w:r>
      <w:r w:rsidRPr="004F1F9C">
        <w:t xml:space="preserve">.” The total capacity needed is driven by these factors, and also by the electricity used by the plants themselves as well as transmission and distribution losses, the load distribution, plant capacity factors, and the additional generating capacity required to ensure adequate security of supply </w:t>
      </w:r>
      <w:r w:rsidR="00F7383F" w:rsidRPr="004F1F9C">
        <w:fldChar w:fldCharType="begin"/>
      </w:r>
      <w:r>
        <w:instrText xml:space="preserve"> ADDIN ZOTERO_ITEM CSL_CITATION {"citationID":"Boipd1Ox","properties":{"formattedCitation":"(International Energy Agency (IEA) 2010, 14)","plainCitation":"(International Energy Agency (IEA) 2010, 14)"},"citationItems":[{"id":253,"uris":["http://zotero.org/groups/4482/items/6CNSWTEK"],"uri":["http://zotero.org/groups/4482/items/6CNSWTEK"],"itemData":{"id":253,"type":"report","title":"World Energy Model - Methodology and Assumptions","publisher":"Organisation for Economic Cooperation and Development (OECD) and International Energy Agency (IEA)","publisher-place":"Paris","event-place":"Paris","URL":"http://www.iea.org/weo/docs/weo2010/World_Energy_Model.pdf","author":[{"family":"International Energy Agency (IEA)","given":""}],"issued":{"year":2010}},"locator":"14","label":"page"}],"schema":"https://github.com/citation-style-language/schema/raw/master/csl-citation.json"} </w:instrText>
      </w:r>
      <w:r w:rsidR="00F7383F" w:rsidRPr="004F1F9C">
        <w:fldChar w:fldCharType="separate"/>
      </w:r>
      <w:r w:rsidRPr="004F1F9C">
        <w:rPr>
          <w:rFonts w:cs="Calibri"/>
        </w:rPr>
        <w:t>(International Energy Agency (IEA) 2010, 14)</w:t>
      </w:r>
      <w:r w:rsidR="00F7383F" w:rsidRPr="004F1F9C">
        <w:fldChar w:fldCharType="end"/>
      </w:r>
      <w:r w:rsidRPr="004F1F9C">
        <w:t>.</w:t>
      </w:r>
      <w:r w:rsidRPr="004F1F9C">
        <w:rPr>
          <w:rStyle w:val="FootnoteReference"/>
        </w:rPr>
        <w:footnoteReference w:id="58"/>
      </w:r>
      <w:r w:rsidRPr="004F1F9C">
        <w:t xml:space="preserve"> Not surprisingly, the IEA model and other models of this type need large amounts of initial data and information about the energy sector. Therefore, they are usually used for individual countries or regional groupings of countries.</w:t>
      </w:r>
    </w:p>
    <w:p w:rsidR="006B1499" w:rsidRPr="004F1F9C" w:rsidRDefault="006B1499" w:rsidP="006B1499"/>
    <w:p w:rsidR="006B1499" w:rsidRPr="004F1F9C" w:rsidRDefault="006B1499" w:rsidP="006B1499">
      <w:r w:rsidRPr="004F1F9C">
        <w:t xml:space="preserve">Finally, some studies do not actually estimate demand directly. For example, Bhattacharyay </w:t>
      </w:r>
      <w:r w:rsidR="00F7383F" w:rsidRPr="00F7383F">
        <w:fldChar w:fldCharType="begin"/>
      </w:r>
      <w:r>
        <w:instrText xml:space="preserve"> ADDIN ZOTERO_ITEM CSL_CITATION {"citationID":"o0sgh9ktu","properties":{"formattedCitation":"(2010, 10)","plainCitation":"(2010, 10)"},"citationItems":[{"id":1156,"uris":["http://zotero.org/groups/4482/items/MQ3EDFBR"],"uri":["http://zotero.org/groups/4482/items/MQ3EDFBR"],"itemData":{"id":1156,"type":"manuscript","title":"Estimating Demand for Infrastructure in Energy, Transport, Telecommunications, Water and Sanitation in Asia and the Pacific: 2010-2020","publisher-place":"Tokyo","genre":"Working Paper no. 248","event-place":"Tokyo","URL":"http://www.adbi.org/working-paper/2010/09/09/4062.infrastructure.demand.asia.pacific/","call-number":"0001","note":"Asian Development Bank Institute","author":[{"family":"Bhattacharyay","given":"Biswa Nath"}],"issued":{"year":2010}},"locator":"10","label":"page","suppress-author":true}],"schema":"https://github.com/citation-style-language/schema/raw/master/csl-citation.json"} </w:instrText>
      </w:r>
      <w:r w:rsidR="00F7383F" w:rsidRPr="00F7383F">
        <w:fldChar w:fldCharType="separate"/>
      </w:r>
      <w:r w:rsidRPr="004F1F9C">
        <w:rPr>
          <w:rFonts w:cs="Calibri"/>
        </w:rPr>
        <w:t>(2010, 10)</w:t>
      </w:r>
      <w:r w:rsidR="00F7383F" w:rsidRPr="004F1F9C">
        <w:rPr>
          <w:rFonts w:cs="Calibri"/>
        </w:rPr>
        <w:fldChar w:fldCharType="end"/>
      </w:r>
      <w:r w:rsidRPr="004F1F9C">
        <w:t xml:space="preserve">, for his bottom-up estimates, simply included “economically viable projects . . . that have already been entered into the planning stages.” Others, such as Foster and Briceño-Garmendia </w:t>
      </w:r>
      <w:r w:rsidR="00F7383F" w:rsidRPr="004F1F9C">
        <w:fldChar w:fldCharType="begin"/>
      </w:r>
      <w:r>
        <w:instrText xml:space="preserve"> ADDIN ZOTERO_ITEM CSL_CITATION {"citationID":"7ln0alo99","properties":{"formattedCitation":"(2010)","plainCitation":"(2010)"},"citationItems":[{"id":301,"uris":["http://zotero.org/groups/4482/items/8R277WSI"],"uri":["http://zotero.org/groups/4482/items/8R277WSI"],"itemData":{"id":301,"type":"book","title":"Africa's Infrastructure: A Time for Transformation","publisher":"Agence Française de Développement and the World Bank","publisher-place":"Washington, DC","event-place":"Washington, DC","ISBN":"9780821380413","author":[{"family":"Foster","given":"Vivien"},{"family":"Briceño-Garmendia","given":"Cecilia"}],"issued":{"year":2010}},"suppress-author":true}],"schema":"https://github.com/citation-style-language/schema/raw/master/csl-citation.json"} </w:instrText>
      </w:r>
      <w:r w:rsidR="00F7383F" w:rsidRPr="004F1F9C">
        <w:fldChar w:fldCharType="separate"/>
      </w:r>
      <w:r w:rsidRPr="004F1F9C">
        <w:rPr>
          <w:rFonts w:cs="Calibri"/>
          <w:szCs w:val="24"/>
        </w:rPr>
        <w:t>(2010)</w:t>
      </w:r>
      <w:r w:rsidR="00F7383F" w:rsidRPr="004F1F9C">
        <w:fldChar w:fldCharType="end"/>
      </w:r>
      <w:r w:rsidRPr="004F1F9C">
        <w:t>, identify demand as that needed to meet the Millennium Development Goals or other targets.</w:t>
      </w:r>
    </w:p>
    <w:p w:rsidR="006B1499" w:rsidRPr="004F1F9C" w:rsidRDefault="006B1499" w:rsidP="00877E30">
      <w:pPr>
        <w:pStyle w:val="Heading3"/>
        <w:numPr>
          <w:ilvl w:val="2"/>
          <w:numId w:val="32"/>
        </w:numPr>
      </w:pPr>
      <w:bookmarkStart w:id="94" w:name="_Toc326061508"/>
      <w:bookmarkStart w:id="95" w:name="_Toc200095290"/>
      <w:r w:rsidRPr="004F1F9C">
        <w:t>Forecasting demand for infrastructure funds</w:t>
      </w:r>
      <w:bookmarkEnd w:id="94"/>
      <w:bookmarkEnd w:id="95"/>
    </w:p>
    <w:p w:rsidR="00053A06" w:rsidRDefault="006B1499" w:rsidP="006B1499">
      <w:r w:rsidRPr="004F1F9C">
        <w:t xml:space="preserve">As they did for infrastructure demand, Fay </w:t>
      </w:r>
      <w:r w:rsidR="00F7383F" w:rsidRPr="004F1F9C">
        <w:fldChar w:fldCharType="begin"/>
      </w:r>
      <w:r>
        <w:instrText xml:space="preserve"> ADDIN ZOTERO_ITEM CSL_CITATION {"citationID":"Cxva2eQM","properties":{"formattedCitation":"(2001)","plainCitation":"(2001)"},"citationItems":[{"id":480,"uris":["http://zotero.org/groups/4482/items/KQS277CN"],"uri":["http://zotero.org/groups/4482/items/KQS277CN"],"itemData":{"id":480,"type":"manuscript","title":"Financing the Future: Infrastructure Needs in Latin America, 2000-05","publisher-place":"Washington, DC","genre":"Policy Research Working Paper no. 2545","event-place":"Washington, DC","URL":"http://elibrary.worldbank.org/docserver/download/2545.pdf?expires=1311613909&amp;id=id&amp;accname=guest&amp;checksum=ACB78371906738C5C8D3387D4EEAA8ED","note":"World Bank","shortTitle":"Financing the Future","author":[{"family":"Fay","given":"Marianne"}],"issued":{"year":2001}},"suppress-author":true}],"schema":"https://github.com/citation-style-language/schema/raw/master/csl-citation.json"} </w:instrText>
      </w:r>
      <w:r w:rsidR="00F7383F" w:rsidRPr="004F1F9C">
        <w:fldChar w:fldCharType="separate"/>
      </w:r>
      <w:r w:rsidRPr="004F1F9C">
        <w:rPr>
          <w:rFonts w:cs="Calibri"/>
        </w:rPr>
        <w:t>(2001)</w:t>
      </w:r>
      <w:r w:rsidR="00F7383F" w:rsidRPr="004F1F9C">
        <w:fldChar w:fldCharType="end"/>
      </w:r>
      <w:r w:rsidRPr="004F1F9C">
        <w:t xml:space="preserve"> and Fay and Yepes </w:t>
      </w:r>
      <w:r w:rsidR="00F7383F" w:rsidRPr="004F1F9C">
        <w:fldChar w:fldCharType="begin"/>
      </w:r>
      <w:r>
        <w:instrText xml:space="preserve"> ADDIN ZOTERO_ITEM CSL_CITATION {"citationID":"oR7wX7KN","properties":{"formattedCitation":"(2003)","plainCitation":"(2003)"},"citationItems":[{"id":1138,"uris":["http://zotero.org/groups/4482/items/4BPWRAEZ"],"uri":["http://zotero.org/groups/4482/items/4BPWRAEZ"],"itemData":{"id":1138,"type":"manuscript","title":"Investing in Infrastructure: What Is Needed from 2000 to 2010?","publisher-place":"Washington, DC","genre":"Policy Research Working Paper no. 3102","archive":"RePEc","event-place":"Washington, DC","URL":"http://ideas.repec.org/p/wbk/wbrwps/3102.html","call-number":"0154","note":"World Bank","shortTitle":"Investing in Infrastructure","author":[{"family":"Fay","given":"Marianne"},{"family":"Yepes","given":"Tito"}],"issued":{"year":2003},"accessed":{"year":2009,"month":11,"day":23}},"suppress-author":true}],"schema":"https://github.com/citation-style-language/schema/raw/master/csl-citation.json"} </w:instrText>
      </w:r>
      <w:r w:rsidR="00F7383F" w:rsidRPr="004F1F9C">
        <w:fldChar w:fldCharType="separate"/>
      </w:r>
      <w:r w:rsidRPr="004F1F9C">
        <w:rPr>
          <w:rFonts w:cs="Calibri"/>
        </w:rPr>
        <w:t>(2003)</w:t>
      </w:r>
      <w:r w:rsidR="00F7383F" w:rsidRPr="004F1F9C">
        <w:fldChar w:fldCharType="end"/>
      </w:r>
      <w:r w:rsidRPr="004F1F9C">
        <w:t xml:space="preserve"> also laid out the most common approach for estimating the demand for infrastructure funding across countries. In this approach, once the demands for physical infrastructure are forecasted, those demands are combined with the cost per unit of infrastructure to estimate the demand for funding for new construction and for maintenance, as follows:</w:t>
      </w:r>
    </w:p>
    <w:p w:rsidR="006B1499" w:rsidRPr="004F1F9C" w:rsidRDefault="006B1499" w:rsidP="006B1499"/>
    <w:p w:rsidR="00053A06" w:rsidRDefault="006B1499" w:rsidP="006B1499">
      <w:pPr>
        <w:pStyle w:val="ListParagraph"/>
        <w:numPr>
          <w:ilvl w:val="0"/>
          <w:numId w:val="22"/>
        </w:numPr>
        <w:spacing w:after="200"/>
      </w:pPr>
      <w:r w:rsidRPr="004F1F9C">
        <w:t xml:space="preserve">Funding for new construction: For each type of infrastructure, the existing level of physical infrastructure is subtracted from the forecasted level and the difference is multiplied by the unit cost. The results are then summed across the different types of infrastructure to calculate the total demand for funding for new construction. In a slight variation, rather than calculate the growth of the physical stock, Stambrook </w:t>
      </w:r>
      <w:r w:rsidR="00F7383F" w:rsidRPr="00F7383F">
        <w:fldChar w:fldCharType="begin"/>
      </w:r>
      <w:r>
        <w:instrText xml:space="preserve"> ADDIN ZOTERO_ITEM CSL_CITATION {"citationID":"11ajif9t5g","properties":{"formattedCitation":"(2006)","plainCitation":"(2006)"},"citationItems":[{"id":724,"uris":["http://zotero.org/groups/4482/items/43ZXUMHJ"],"uri":["http://zotero.org/groups/4482/items/43ZXUMHJ"],"itemData":{"id":724,"type":"chapter","title":"Outlook for Global Investment in Electricity Infrastructure","container-title":"Infrastructure to 2030 Volume 1: Telecom, Land Transport, Water and Electricity","collection-title":"Infrastructure to 2030","publisher":"Organisation for Economic Cooperation and Development (OECD)","publisher-place":"Paris","page":"149-184","event-place":"Paris","ISBN":"9264023984","call-number":"0000","editor":[{"family":"Organisation for Economic Co-operation and DevelopmentOrganisation for Economic Cooperation and Development (OECD)","given":""}],"author":[{"family":"Morgan","given":"Trevor"}],"issued":{"year":2006},"page-first":"149"},"suppress-author":true}],"schema":"https://github.com/citation-style-language/schema/raw/master/csl-citation.json"} </w:instrText>
      </w:r>
      <w:r w:rsidR="00F7383F" w:rsidRPr="00F7383F">
        <w:fldChar w:fldCharType="separate"/>
      </w:r>
      <w:r w:rsidRPr="004F1F9C">
        <w:rPr>
          <w:rFonts w:cs="Calibri"/>
        </w:rPr>
        <w:t>(2006)</w:t>
      </w:r>
      <w:r w:rsidR="00F7383F" w:rsidRPr="004F1F9C">
        <w:rPr>
          <w:rFonts w:cs="Calibri"/>
        </w:rPr>
        <w:fldChar w:fldCharType="end"/>
      </w:r>
      <w:r w:rsidRPr="004F1F9C">
        <w:t xml:space="preserve"> first calculated the ‘asset value’ of the existing road stock by multiplying the level of the physical stock by a unit cost. He then directly forecasted the growth of this asset value, which was assumed to be equal to the investment requirements.</w:t>
      </w:r>
    </w:p>
    <w:p w:rsidR="006B1499" w:rsidRPr="004F1F9C" w:rsidRDefault="006B1499" w:rsidP="00053A06">
      <w:pPr>
        <w:pStyle w:val="ListParagraph"/>
        <w:spacing w:after="200"/>
      </w:pPr>
    </w:p>
    <w:p w:rsidR="006B1499" w:rsidRPr="004F1F9C" w:rsidRDefault="006B1499" w:rsidP="006B1499">
      <w:pPr>
        <w:pStyle w:val="ListParagraph"/>
        <w:numPr>
          <w:ilvl w:val="0"/>
          <w:numId w:val="22"/>
        </w:numPr>
        <w:spacing w:after="200"/>
      </w:pPr>
      <w:r w:rsidRPr="004F1F9C">
        <w:t xml:space="preserve">Funding for maintenance: For each type of infrastructure, the existing level of infrastructure is multiplied by its unit cost and a share factor less than one. Fay and Yepes </w:t>
      </w:r>
      <w:r w:rsidR="00F7383F" w:rsidRPr="00F7383F">
        <w:fldChar w:fldCharType="begin"/>
      </w:r>
      <w:r>
        <w:instrText xml:space="preserve"> ADDIN ZOTERO_ITEM CSL_CITATION {"citationID":"wfeEqaPg","properties":{"formattedCitation":"(2003, 10)","plainCitation":"(2003, 10)"},"citationItems":[{"id":1138,"uris":["http://zotero.org/groups/4482/items/4BPWRAEZ"],"uri":["http://zotero.org/groups/4482/items/4BPWRAEZ"],"itemData":{"id":1138,"type":"manuscript","title":"Investing in Infrastructure: What Is Needed from 2000 to 2010?","publisher-place":"Washington, DC","genre":"Policy Research Working Paper no. 3102","archive":"RePEc","event-place":"Washington, DC","URL":"http://ideas.repec.org/p/wbk/wbrwps/3102.html","call-number":"0154","note":"World Bank","shortTitle":"Investing in Infrastructure","author":[{"family":"Fay","given":"Marianne"},{"family":"Yepes","given":"Tito"}],"issued":{"year":2003},"accessed":{"year":2009,"month":11,"day":23}},"locator":"10","label":"page","suppress-author":true}],"schema":"https://github.com/citation-style-language/schema/raw/master/csl-citation.json"} </w:instrText>
      </w:r>
      <w:r w:rsidR="00F7383F" w:rsidRPr="00F7383F">
        <w:fldChar w:fldCharType="separate"/>
      </w:r>
      <w:r w:rsidRPr="004F1F9C">
        <w:rPr>
          <w:rFonts w:cs="Calibri"/>
        </w:rPr>
        <w:t>(2003, 10)</w:t>
      </w:r>
      <w:r w:rsidR="00F7383F" w:rsidRPr="004F1F9C">
        <w:rPr>
          <w:rFonts w:cs="Calibri"/>
        </w:rPr>
        <w:fldChar w:fldCharType="end"/>
      </w:r>
      <w:r w:rsidRPr="004F1F9C">
        <w:t xml:space="preserve"> referred to this as “the minimum annual average expenditure on maintenance, below which the network’s functionality will be threatened.” Later authors have more specifically related the share factor to the depreciation rate or average expected lifetime of each type of infrastructure </w:t>
      </w:r>
      <w:r w:rsidR="00F7383F" w:rsidRPr="004F1F9C">
        <w:fldChar w:fldCharType="begin"/>
      </w:r>
      <w:r>
        <w:instrText xml:space="preserve"> ADDIN ZOTERO_ITEM CSL_CITATION {"citationID":"nnknvajuj","properties":{"formattedCitation":"(Yepes 2008; Yepes 2005; Chatterton and Puerto 2006)","plainCitation":"(Yepes 2008; Yepes 2005; Chatterton and Puerto 2006)"},"citationItems":[{"id":716,"uris":["http://zotero.org/groups/4482/items/6FIFS46X"],"uri":["http://zotero.org/groups/4482/items/6FIFS46X"],"itemData":{"id":716,"type":"manuscript","title":"Investment Needs for Infrastructure in Developing Countries 2008-15","publisher-place":"Washington, DC","genre":"Draft","event-place":"Washington, DC","note":"World Bank","author":[{"family":"Yepes","given":"Tito"}],"issued":{"year":2008}},"label":"page"},{"id":904,"uris":["http://zotero.org/groups/4482/items/TXS9JSZB"],"uri":["http://zotero.org/groups/4482/items/TXS9JSZB"],"itemData":{"id":904,"type":"report","title":"Expenditure on Infrastructure in East Asia Region, 2006–2010","collection-title":"East Asia Pacific Infrastructure Flagship Study","publisher":"Asian Development Bank (ADB), Japan Bank for International Cooperation (JBIC), World Bank","publisher-place":"Manila","event-place":"Manila","author":[{"family":"Yepes","given":"Tito"}],"issued":{"year":2005}},"label":"page"},{"id":903,"uris":["http://zotero.org/groups/4482/items/8BCTKHKI"],"uri":["http://zotero.org/groups/4482/items/8BCTKHKI"],"itemData":{"id":903,"type":"report","title":"Estimation of Infrastructure Investment Needs in the South Asia Region: Executive Summary","publisher":"World Bank","publisher-place":"Washington, DC","event-place":"Washington, DC","URL":"http://0-siteresources.worldbank.org.bianca.penlib.du.edu/INTSARREGTOPTRANSPORT/Resources/Inf_Investment_Needs_IC_version4.pdf","shortTitle":"Estimation of Infrastructure Investment Needs in the South Asia Region","author":[{"family":"Chatterton","given":"Isabe"},{"family":"Puerto","given":"Olga S."}],"issued":{"year":2006}},"label":"page"}],"schema":"https://github.com/citation-style-language/schema/raw/master/csl-citation.json"} </w:instrText>
      </w:r>
      <w:r w:rsidR="00F7383F" w:rsidRPr="004F1F9C">
        <w:fldChar w:fldCharType="separate"/>
      </w:r>
      <w:r w:rsidRPr="004F1F9C">
        <w:rPr>
          <w:rFonts w:cs="Calibri"/>
        </w:rPr>
        <w:t>(Yepes 2008; Yepes 2005; Chatterton and Puerto 2006)</w:t>
      </w:r>
      <w:r w:rsidR="00F7383F" w:rsidRPr="004F1F9C">
        <w:fldChar w:fldCharType="end"/>
      </w:r>
    </w:p>
    <w:p w:rsidR="00053A06" w:rsidRDefault="006B1499" w:rsidP="006B1499">
      <w:r w:rsidRPr="004F1F9C">
        <w:t xml:space="preserve">A fundamental question is the basis for calculating or estimating the unit costs for each type of infrastructure. Do they differ by country? Do they change depending upon the level of existing infrastructure? Do they change over time with changes in income or price level? Fay </w:t>
      </w:r>
      <w:r w:rsidR="00F7383F" w:rsidRPr="00F7383F">
        <w:fldChar w:fldCharType="begin"/>
      </w:r>
      <w:r>
        <w:instrText xml:space="preserve"> ADDIN ZOTERO_ITEM CSL_CITATION {"citationID":"iS3FVMy7","properties":{"formattedCitation":"(2001, 11)","plainCitation":"(2001, 11)"},"citationItems":[{"id":480,"uris":["http://zotero.org/groups/4482/items/KQS277CN"],"uri":["http://zotero.org/groups/4482/items/KQS277CN"],"itemData":{"id":480,"type":"manuscript","title":"Financing the Future: Infrastructure Needs in Latin America, 2000-05","publisher-place":"Washington, DC","genre":"Policy Research Working Paper no. 2545","event-place":"Washington, DC","URL":"http://elibrary.worldbank.org/docserver/download/2545.pdf?expires=1311613909&amp;id=id&amp;accname=guest&amp;checksum=ACB78371906738C5C8D3387D4EEAA8ED","note":"World Bank","shortTitle":"Financing the Future","author":[{"family":"Fay","given":"Marianne"}],"issued":{"year":2001}},"locator":"11","label":"page","suppress-author":true}],"schema":"https://github.com/citation-style-language/schema/raw/master/csl-citation.json"} </w:instrText>
      </w:r>
      <w:r w:rsidR="00F7383F" w:rsidRPr="00F7383F">
        <w:fldChar w:fldCharType="separate"/>
      </w:r>
      <w:r w:rsidRPr="004F1F9C">
        <w:rPr>
          <w:rFonts w:cs="Calibri"/>
        </w:rPr>
        <w:t>(2001, 11)</w:t>
      </w:r>
      <w:r w:rsidR="00F7383F" w:rsidRPr="004F1F9C">
        <w:rPr>
          <w:rFonts w:cs="Calibri"/>
        </w:rPr>
        <w:fldChar w:fldCharType="end"/>
      </w:r>
      <w:r w:rsidRPr="004F1F9C">
        <w:t xml:space="preserve"> and Fay and Yepes </w:t>
      </w:r>
      <w:r w:rsidR="00F7383F" w:rsidRPr="00F7383F">
        <w:fldChar w:fldCharType="begin"/>
      </w:r>
      <w:r>
        <w:instrText xml:space="preserve"> ADDIN ZOTERO_ITEM CSL_CITATION {"citationID":"4nxrgxnJ","properties":{"formattedCitation":"(2003, 10)","plainCitation":"(2003, 10)"},"citationItems":[{"id":1138,"uris":["http://zotero.org/groups/4482/items/4BPWRAEZ"],"uri":["http://zotero.org/groups/4482/items/4BPWRAEZ"],"itemData":{"id":1138,"type":"manuscript","title":"Investing in Infrastructure: What Is Needed from 2000 to 2010?","publisher-place":"Washington, DC","genre":"Policy Research Working Paper no. 3102","archive":"RePEc","event-place":"Washington, DC","URL":"http://ideas.repec.org/p/wbk/wbrwps/3102.html","call-number":"0154","note":"World Bank","shortTitle":"Investing in Infrastructure","author":[{"family":"Fay","given":"Marianne"},{"family":"Yepes","given":"Tito"}],"issued":{"year":2003},"accessed":{"year":2009,"month":11,"day":23}},"locator":"10","label":"page","suppress-author":true}],"schema":"https://github.com/citation-style-language/schema/raw/master/csl-citation.json"} </w:instrText>
      </w:r>
      <w:r w:rsidR="00F7383F" w:rsidRPr="00F7383F">
        <w:fldChar w:fldCharType="separate"/>
      </w:r>
      <w:r w:rsidRPr="004F1F9C">
        <w:rPr>
          <w:rFonts w:cs="Calibri"/>
        </w:rPr>
        <w:t>(2003, 10)</w:t>
      </w:r>
      <w:r w:rsidR="00F7383F" w:rsidRPr="004F1F9C">
        <w:rPr>
          <w:rFonts w:cs="Calibri"/>
        </w:rPr>
        <w:fldChar w:fldCharType="end"/>
      </w:r>
      <w:r w:rsidRPr="004F1F9C">
        <w:t xml:space="preserve"> developed an approach based on what they referred to as “best practice prices taking into account associated network costs.” With the exception of Hughes, Chinowsky, and Strzepek </w:t>
      </w:r>
      <w:r w:rsidR="00F7383F" w:rsidRPr="004F1F9C">
        <w:fldChar w:fldCharType="begin"/>
      </w:r>
      <w:r>
        <w:instrText xml:space="preserve"> ADDIN ZOTERO_ITEM CSL_CITATION {"citationID":"UmVwKe4U","properties":{"formattedCitation":"(2009)","plainCitation":"(2009)"},"citationItems":[{"id":975,"uris":["http://zotero.org/groups/4482/items/ZNDAXGEG"],"uri":["http://zotero.org/groups/4482/items/ZNDAXGEG"],"itemData":{"id":975,"type":"manuscript","title":"The Costs of Adapting to Climate Change for Infrastructure","publisher-place":"Washington, DC","genre":"Economics of Adaptation to Climate Change Discussion Paper no. 2","event-place":"Washington, DC","note":"World Bank","author":[{"family":"Hughes","given":"Gordon"},{"family":"Chinowsky","given":"Paul"},{"family":"Strzepek","given":"Ken"}],"issued":{"year":2009}},"suppress-author":true}],"schema":"https://github.com/citation-style-language/schema/raw/master/csl-citation.json"} </w:instrText>
      </w:r>
      <w:r w:rsidR="00F7383F" w:rsidRPr="004F1F9C">
        <w:fldChar w:fldCharType="separate"/>
      </w:r>
      <w:r w:rsidRPr="004F1F9C">
        <w:rPr>
          <w:rFonts w:cs="Calibri"/>
        </w:rPr>
        <w:t>(2009)</w:t>
      </w:r>
      <w:r w:rsidR="00F7383F" w:rsidRPr="004F1F9C">
        <w:fldChar w:fldCharType="end"/>
      </w:r>
      <w:r w:rsidRPr="004F1F9C">
        <w:t>, who used average costs for the United States, all later studies appear to have used some measure of international best practice cost. These basic unit costs have been revised over time by individual studies in order to account for new information and regional differences.</w:t>
      </w:r>
      <w:r w:rsidRPr="004F1F9C">
        <w:rPr>
          <w:rStyle w:val="FootnoteReference"/>
        </w:rPr>
        <w:footnoteReference w:id="59"/>
      </w:r>
      <w:r w:rsidRPr="004F1F9C">
        <w:t xml:space="preserve"> In only a few cases, however (e.g. Hughes, Chinowsky, and Strzepek </w:t>
      </w:r>
      <w:r w:rsidR="00F7383F" w:rsidRPr="00F7383F">
        <w:fldChar w:fldCharType="begin"/>
      </w:r>
      <w:r>
        <w:instrText xml:space="preserve"> ADDIN ZOTERO_ITEM CSL_CITATION {"citationID":"qwJPssnW","properties":{"formattedCitation":"(2009)","plainCitation":"(2009)"},"citationItems":[{"id":975,"uris":["http://zotero.org/groups/4482/items/ZNDAXGEG"],"uri":["http://zotero.org/groups/4482/items/ZNDAXGEG"],"itemData":{"id":975,"type":"manuscript","title":"The Costs of Adapting to Climate Change for Infrastructure","publisher-place":"Washington, DC","genre":"Economics of Adaptation to Climate Change Discussion Paper no. 2","event-place":"Washington, DC","note":"World Bank","author":[{"family":"Hughes","given":"Gordon"},{"family":"Chinowsky","given":"Paul"},{"family":"Strzepek","given":"Ken"}],"issued":{"year":2009}},"suppress-author":true}],"schema":"https://github.com/citation-style-language/schema/raw/master/csl-citation.json"} </w:instrText>
      </w:r>
      <w:r w:rsidR="00F7383F" w:rsidRPr="00F7383F">
        <w:fldChar w:fldCharType="separate"/>
      </w:r>
      <w:r w:rsidRPr="004F1F9C">
        <w:rPr>
          <w:rFonts w:cs="Calibri"/>
        </w:rPr>
        <w:t>(2009)</w:t>
      </w:r>
      <w:r w:rsidR="00F7383F" w:rsidRPr="004F1F9C">
        <w:rPr>
          <w:rFonts w:cs="Calibri"/>
        </w:rPr>
        <w:fldChar w:fldCharType="end"/>
      </w:r>
      <w:r w:rsidRPr="004F1F9C">
        <w:t xml:space="preserve"> and Yepes (</w:t>
      </w:r>
      <w:r w:rsidR="00F7383F" w:rsidRPr="00F7383F">
        <w:fldChar w:fldCharType="begin"/>
      </w:r>
      <w:r>
        <w:instrText xml:space="preserve"> ADDIN ZOTERO_ITEM CSL_CITATION {"citationID":"1sesu6i631","properties":{"formattedCitation":"(2005; 2008)","plainCitation":"(2005; 2008)"},"citationItems":[{"id":904,"uris":["http://zotero.org/groups/4482/items/TXS9JSZB"],"uri":["http://zotero.org/groups/4482/items/TXS9JSZB"],"itemData":{"id":904,"type":"report","title":"Expenditure on Infrastructure in East Asia Region, 2006–2010","collection-title":"East Asia Pacific Infrastructure Flagship Study","publisher":"Asian Development Bank (ADB), Japan Bank for International Cooperation (JBIC), World Bank","publisher-place":"Manila","event-place":"Manila","author":[{"family":"Yepes","given":"Tito"}],"issued":{"year":2005}},"label":"page","suppress-author":true},{"id":716,"uris":["http://zotero.org/groups/4482/items/6FIFS46X"],"uri":["http://zotero.org/groups/4482/items/6FIFS46X"],"itemData":{"id":716,"type":"manuscript","title":"Investment Needs for Infrastructure in Developing Countries 2008-15","publisher-place":"Washington, DC","genre":"Draft","event-place":"Washington, DC","note":"World Bank","author":[{"family":"Yepes","given":"Tito"}],"issued":{"year":2008}},"label":"page","suppress-author":true}],"schema":"https://github.com/citation-style-language/schema/raw/master/csl-citation.json"} </w:instrText>
      </w:r>
      <w:r w:rsidR="00F7383F" w:rsidRPr="00F7383F">
        <w:fldChar w:fldCharType="separate"/>
      </w:r>
      <w:r w:rsidRPr="004F1F9C">
        <w:rPr>
          <w:rFonts w:cs="Calibri"/>
        </w:rPr>
        <w:t>(2005; 2008)</w:t>
      </w:r>
      <w:r w:rsidR="00F7383F" w:rsidRPr="004F1F9C">
        <w:rPr>
          <w:rFonts w:cs="Calibri"/>
        </w:rPr>
        <w:fldChar w:fldCharType="end"/>
      </w:r>
      <w:r w:rsidRPr="004F1F9C">
        <w:rPr>
          <w:rFonts w:cs="Calibri"/>
        </w:rPr>
        <w:t>)</w:t>
      </w:r>
      <w:r w:rsidRPr="004F1F9C">
        <w:t xml:space="preserve">, are different unit costs used for different countries within the same study. Kohli and Basil </w:t>
      </w:r>
      <w:r w:rsidR="00F7383F" w:rsidRPr="00F7383F">
        <w:fldChar w:fldCharType="begin"/>
      </w:r>
      <w:r>
        <w:instrText xml:space="preserve"> ADDIN ZOTERO_ITEM CSL_CITATION {"citationID":"e1niol5pa","properties":{"formattedCitation":"(2011)","plainCitation":"(2011)"},"citationItems":[{"id":1157,"uris":["http://zotero.org/groups/4482/items/PNQFGAHH"],"uri":["http://zotero.org/groups/4482/items/PNQFGAHH"],"itemData":{"id":1157,"type":"article-journal","title":"Requirements for Infrastructure Investment in Latin America Under Alternate Growth Scenarios","container-title":"Global Journal of Emerging Market Economies","page":"59 -110","volume":"3","issue":"1","abstract":"This study estimates requirements for infrastructure investment in 21 Latin American countries for the period 2011–2040 using a structural equation model. Needs total about 4 percent of GDP. Projections are provided for both a high-growth convergence scenario and a low-growth business-as-usual scenario. These costs represent minimum investments necessary to support expected economic growth. Costs are presented separately and in total for new-capacity investment and maintenance for 10 sectors: airports, electricity, fixed broadband, landlines, mobile telephony, ports, rail, paved roads, sanitation, and water. Country coverage comprises Argentina, Belize, Bolivia, Brazil, Chile, Colombia, Costa Rica, Dominican Republic, Ecuador, El Salvador, Guatemala, Guyana, Honduras, Mexico, Nicaragua, Panama, Paraguay, Peru, Suriname, Uruguay, and Venezuela. The model differs from past studies of regionwide long-term infrastructure investment needs in five features: (1) It considers alternate GDP growth scenarios; (2) It employs a structural equation model using instrumental variables to provide unbiased, consistent projections for both GDP growth scenarios (Instrumented variables are urbanization and the shares in GDP of agriculture, manufacturing, and services); (3) Mobile phone investment costs are not constant but instead vary with population density; (4) Two additional, wealthier countries are included in modeling to prevent forecasting outside the range of the independent variables’ values used to construct the model, and; (5) Timing of new-capacity investments is distributed over multiple years and varies by sector.","DOI":"10.1177/097491011000300103","call-number":"0002","author":[{"family":"Kohli","given":"Harpaul Alberto"},{"family":"Basil","given":"Phillip"}],"issued":{"year":2011},"accessed":{"year":2011,"month":7,"day":29},"page-first":"59"},"suppress-author":true}],"schema":"https://github.com/citation-style-language/schema/raw/master/csl-citation.json"} </w:instrText>
      </w:r>
      <w:r w:rsidR="00F7383F" w:rsidRPr="00F7383F">
        <w:fldChar w:fldCharType="separate"/>
      </w:r>
      <w:r w:rsidRPr="004F1F9C">
        <w:rPr>
          <w:rFonts w:cs="Calibri"/>
        </w:rPr>
        <w:t>(2011)</w:t>
      </w:r>
      <w:r w:rsidR="00F7383F" w:rsidRPr="004F1F9C">
        <w:rPr>
          <w:rFonts w:cs="Calibri"/>
        </w:rPr>
        <w:fldChar w:fldCharType="end"/>
      </w:r>
      <w:r w:rsidRPr="004F1F9C">
        <w:t xml:space="preserve"> did assume a declining unit cost for mobile phones as penetration rates increase above 30 percent, but this is the only case in which costs were assumed to change as a function of scale. Yepes </w:t>
      </w:r>
      <w:r w:rsidR="00F7383F" w:rsidRPr="00F7383F">
        <w:fldChar w:fldCharType="begin"/>
      </w:r>
      <w:r>
        <w:instrText xml:space="preserve"> ADDIN ZOTERO_ITEM CSL_CITATION {"citationID":"2q8j0mk3ad","properties":{"formattedCitation":"(2005)","plainCitation":"(2005)"},"citationItems":[{"id":904,"uris":["http://zotero.org/groups/4482/items/TXS9JSZB"],"uri":["http://zotero.org/groups/4482/items/TXS9JSZB"],"itemData":{"id":904,"type":"report","title":"Expenditure on Infrastructure in East Asia Region, 2006–2010","collection-title":"East Asia Pacific Infrastructure Flagship Study","publisher":"Asian Development Bank (ADB), Japan Bank for International Cooperation (JBIC), World Bank","publisher-place":"Manila","event-place":"Manila","author":[{"family":"Yepes","given":"Tito"}],"issued":{"year":2005}},"suppress-author":true}],"schema":"https://github.com/citation-style-language/schema/raw/master/csl-citation.json"} </w:instrText>
      </w:r>
      <w:r w:rsidR="00F7383F" w:rsidRPr="00F7383F">
        <w:fldChar w:fldCharType="separate"/>
      </w:r>
      <w:r w:rsidRPr="004F1F9C">
        <w:rPr>
          <w:rFonts w:cs="Calibri"/>
        </w:rPr>
        <w:t>(2005)</w:t>
      </w:r>
      <w:r w:rsidR="00F7383F" w:rsidRPr="004F1F9C">
        <w:rPr>
          <w:rFonts w:cs="Calibri"/>
        </w:rPr>
        <w:fldChar w:fldCharType="end"/>
      </w:r>
      <w:r w:rsidRPr="004F1F9C">
        <w:t xml:space="preserve"> and Chatterton and Puerto </w:t>
      </w:r>
      <w:r w:rsidR="00F7383F" w:rsidRPr="00F7383F">
        <w:fldChar w:fldCharType="begin"/>
      </w:r>
      <w:r>
        <w:instrText xml:space="preserve"> ADDIN ZOTERO_ITEM CSL_CITATION {"citationID":"1cb3tpjs88","properties":{"formattedCitation":"(2006)","plainCitation":"(2006)"},"citationItems":[{"id":903,"uris":["http://zotero.org/groups/4482/items/8BCTKHKI"],"uri":["http://zotero.org/groups/4482/items/8BCTKHKI"],"itemData":{"id":903,"type":"report","title":"Estimation of Infrastructure Investment Needs in the South Asia Region: Executive Summary","publisher":"World Bank","publisher-place":"Washington, DC","event-place":"Washington, DC","URL":"http://0-siteresources.worldbank.org.bianca.penlib.du.edu/INTSARREGTOPTRANSPORT/Resources/Inf_Investment_Needs_IC_version4.pdf","shortTitle":"Estimation of Infrastructure Investment Needs in the South Asia Region","author":[{"family":"Chatterton","given":"Isabe"},{"family":"Puerto","given":"Olga S."}],"issued":{"year":2006}},"suppress-author":true}],"schema":"https://github.com/citation-style-language/schema/raw/master/csl-citation.json"} </w:instrText>
      </w:r>
      <w:r w:rsidR="00F7383F" w:rsidRPr="00F7383F">
        <w:fldChar w:fldCharType="separate"/>
      </w:r>
      <w:r w:rsidRPr="004F1F9C">
        <w:rPr>
          <w:rFonts w:cs="Calibri"/>
        </w:rPr>
        <w:t>(2006)</w:t>
      </w:r>
      <w:r w:rsidR="00F7383F" w:rsidRPr="004F1F9C">
        <w:rPr>
          <w:rFonts w:cs="Calibri"/>
        </w:rPr>
        <w:fldChar w:fldCharType="end"/>
      </w:r>
      <w:r w:rsidRPr="004F1F9C">
        <w:t xml:space="preserve"> allowed the unit costs to change simply as a function of time over the horizon of the study, but only for mobile and mainline phones. Finally, Hughes, Chinowsky, and Strzepek </w:t>
      </w:r>
      <w:r w:rsidR="00F7383F" w:rsidRPr="004F1F9C">
        <w:fldChar w:fldCharType="begin"/>
      </w:r>
      <w:r>
        <w:instrText xml:space="preserve"> ADDIN ZOTERO_ITEM CSL_CITATION {"citationID":"6trnL7H3","properties":{"formattedCitation":"(2009)","plainCitation":"(2009)"},"citationItems":[{"id":975,"uris":["http://zotero.org/groups/4482/items/ZNDAXGEG"],"uri":["http://zotero.org/groups/4482/items/ZNDAXGEG"],"itemData":{"id":975,"type":"manuscript","title":"The Costs of Adapting to Climate Change for Infrastructure","publisher-place":"Washington, DC","genre":"Economics of Adaptation to Climate Change Discussion Paper no. 2","event-place":"Washington, DC","note":"World Bank","author":[{"family":"Hughes","given":"Gordon"},{"family":"Chinowsky","given":"Paul"},{"family":"Strzepek","given":"Ken"}],"issued":{"year":2009}},"suppress-author":true}],"schema":"https://github.com/citation-style-language/schema/raw/master/csl-citation.json"} </w:instrText>
      </w:r>
      <w:r w:rsidR="00F7383F" w:rsidRPr="004F1F9C">
        <w:fldChar w:fldCharType="separate"/>
      </w:r>
      <w:r w:rsidRPr="004F1F9C">
        <w:rPr>
          <w:rFonts w:cs="Calibri"/>
        </w:rPr>
        <w:t>(2009)</w:t>
      </w:r>
      <w:r w:rsidR="00F7383F" w:rsidRPr="004F1F9C">
        <w:fldChar w:fldCharType="end"/>
      </w:r>
      <w:r w:rsidRPr="004F1F9C">
        <w:t xml:space="preserve"> made allowances for changes in unit costs as a result of changing climate parameters—precipitation, temperature, and wind—for certain types of infrastructure.</w:t>
      </w:r>
    </w:p>
    <w:p w:rsidR="006B1499" w:rsidRPr="004F1F9C" w:rsidRDefault="006B1499" w:rsidP="006B1499"/>
    <w:p w:rsidR="00A84F12" w:rsidRDefault="006B1499" w:rsidP="006B1499">
      <w:r w:rsidRPr="004F1F9C">
        <w:t xml:space="preserve">Tables 4.1-4.11 present the unit costs and depreciation rates used in a number of the studies mentioned above. While there is some variation across studies, particularly for fixed and mobile telephones, there is also a fair amount of consistency across the studies, to the point that some estimates have not even been updated to reflect the changes in the base year of the currency. This reflects the use of common sources and the influence of the original Fay </w:t>
      </w:r>
      <w:r w:rsidR="00F7383F" w:rsidRPr="004F1F9C">
        <w:fldChar w:fldCharType="begin"/>
      </w:r>
      <w:r>
        <w:instrText xml:space="preserve"> ADDIN ZOTERO_ITEM CSL_CITATION {"citationID":"g5MhT0M0","properties":{"formattedCitation":"(2001)","plainCitation":"(2001)"},"citationItems":[{"id":480,"uris":["http://zotero.org/groups/4482/items/KQS277CN"],"uri":["http://zotero.org/groups/4482/items/KQS277CN"],"itemData":{"id":480,"type":"manuscript","title":"Financing the Future: Infrastructure Needs in Latin America, 2000-05","publisher-place":"Washington, DC","genre":"Policy Research Working Paper no. 2545","event-place":"Washington, DC","URL":"http://elibrary.worldbank.org/docserver/download/2545.pdf?expires=1311613909&amp;id=id&amp;accname=guest&amp;checksum=ACB78371906738C5C8D3387D4EEAA8ED","note":"World Bank","shortTitle":"Financing the Future","author":[{"family":"Fay","given":"Marianne"}],"issued":{"year":2001}},"suppress-author":true}],"schema":"https://github.com/citation-style-language/schema/raw/master/csl-citation.json"} </w:instrText>
      </w:r>
      <w:r w:rsidR="00F7383F" w:rsidRPr="004F1F9C">
        <w:fldChar w:fldCharType="separate"/>
      </w:r>
      <w:r w:rsidRPr="004F1F9C">
        <w:rPr>
          <w:rFonts w:cs="Calibri"/>
        </w:rPr>
        <w:t>(2001)</w:t>
      </w:r>
      <w:r w:rsidR="00F7383F" w:rsidRPr="004F1F9C">
        <w:fldChar w:fldCharType="end"/>
      </w:r>
      <w:r w:rsidRPr="004F1F9C">
        <w:t xml:space="preserve"> and Fay and Yepes </w:t>
      </w:r>
      <w:r w:rsidR="00F7383F" w:rsidRPr="004F1F9C">
        <w:fldChar w:fldCharType="begin"/>
      </w:r>
      <w:r>
        <w:instrText xml:space="preserve"> ADDIN ZOTERO_ITEM CSL_CITATION {"citationID":"Hl64mzwm","properties":{"formattedCitation":"(2003)","plainCitation":"(2003)"},"citationItems":[{"id":1138,"uris":["http://zotero.org/groups/4482/items/4BPWRAEZ"],"uri":["http://zotero.org/groups/4482/items/4BPWRAEZ"],"itemData":{"id":1138,"type":"manuscript","title":"Investing in Infrastructure: What Is Needed from 2000 to 2010?","publisher-place":"Washington, DC","genre":"Policy Research Working Paper no. 3102","archive":"RePEc","event-place":"Washington, DC","URL":"http://ideas.repec.org/p/wbk/wbrwps/3102.html","call-number":"0154","note":"World Bank","shortTitle":"Investing in Infrastructure","author":[{"family":"Fay","given":"Marianne"},{"family":"Yepes","given":"Tito"}],"issued":{"year":2003},"accessed":{"year":2009,"month":11,"day":23}},"suppress-author":true}],"schema":"https://github.com/citation-style-language/schema/raw/master/csl-citation.json"} </w:instrText>
      </w:r>
      <w:r w:rsidR="00F7383F" w:rsidRPr="004F1F9C">
        <w:fldChar w:fldCharType="separate"/>
      </w:r>
      <w:r w:rsidRPr="004F1F9C">
        <w:rPr>
          <w:rFonts w:cs="Calibri"/>
        </w:rPr>
        <w:t>(2003)</w:t>
      </w:r>
      <w:r w:rsidR="00F7383F" w:rsidRPr="004F1F9C">
        <w:fldChar w:fldCharType="end"/>
      </w:r>
      <w:r w:rsidRPr="004F1F9C">
        <w:t xml:space="preserve"> studies. We have also included annual recurrent costs (primarily maintenance) and infrastructure lifespan where given, though many studies did not include these.</w:t>
      </w:r>
    </w:p>
    <w:p w:rsidR="006B1499" w:rsidRPr="004F1F9C" w:rsidRDefault="006B1499" w:rsidP="006B1499"/>
    <w:p w:rsidR="006B1499" w:rsidRPr="004F1F9C" w:rsidRDefault="006B1499" w:rsidP="006B1499">
      <w:pPr>
        <w:pStyle w:val="Heading4"/>
      </w:pPr>
      <w:bookmarkStart w:id="96" w:name="_Toc197147850"/>
      <w:bookmarkStart w:id="97" w:name="_Toc200095291"/>
      <w:bookmarkStart w:id="98" w:name="_Toc326061509"/>
      <w:r w:rsidRPr="004F1F9C">
        <w:t>4.3.2.1 Summary of unit cost data for transportation</w:t>
      </w:r>
      <w:bookmarkEnd w:id="96"/>
      <w:bookmarkEnd w:id="97"/>
      <w:r w:rsidRPr="004F1F9C">
        <w:t xml:space="preserve"> </w:t>
      </w:r>
    </w:p>
    <w:p w:rsidR="006B1499" w:rsidRPr="004F1F9C" w:rsidRDefault="006B1499" w:rsidP="006B1499">
      <w:r w:rsidRPr="004F1F9C">
        <w:t>The unit costs for roads, both paved and unpaved, in general stem from the World Bank’s Road Costs Knowledge System (ROCKS) and represent the cost of building 1 km of two-lane road. Most studies assume a single best practice cost regardless of country or region. Maintenance costs for roads only reflect general upkeep and do not include costs associated with rehabilitation.</w:t>
      </w:r>
    </w:p>
    <w:tbl>
      <w:tblPr>
        <w:tblStyle w:val="TableGrid"/>
        <w:tblW w:w="0" w:type="auto"/>
        <w:tblLook w:val="04A0"/>
      </w:tblPr>
      <w:tblGrid>
        <w:gridCol w:w="1915"/>
        <w:gridCol w:w="1915"/>
        <w:gridCol w:w="1915"/>
        <w:gridCol w:w="1915"/>
        <w:gridCol w:w="1916"/>
      </w:tblGrid>
      <w:tr w:rsidR="006B1499" w:rsidRPr="004F1F9C">
        <w:tc>
          <w:tcPr>
            <w:tcW w:w="9576" w:type="dxa"/>
            <w:gridSpan w:val="5"/>
          </w:tcPr>
          <w:p w:rsidR="006B1499" w:rsidRPr="004F1F9C" w:rsidRDefault="006B1499" w:rsidP="006B1499">
            <w:pPr>
              <w:keepNext/>
              <w:keepLines/>
              <w:jc w:val="center"/>
              <w:rPr>
                <w:b/>
              </w:rPr>
            </w:pPr>
            <w:r>
              <w:rPr>
                <w:b/>
              </w:rPr>
              <w:t>Table 4.1 Unit costs and lifetimes for paved r</w:t>
            </w:r>
            <w:r w:rsidRPr="004F1F9C">
              <w:rPr>
                <w:b/>
              </w:rPr>
              <w:t>oads fro</w:t>
            </w:r>
            <w:r>
              <w:rPr>
                <w:b/>
              </w:rPr>
              <w:t>m other s</w:t>
            </w:r>
            <w:r w:rsidRPr="004F1F9C">
              <w:rPr>
                <w:b/>
              </w:rPr>
              <w:t>tudies</w:t>
            </w:r>
          </w:p>
        </w:tc>
      </w:tr>
      <w:tr w:rsidR="006B1499" w:rsidRPr="004F1F9C">
        <w:tc>
          <w:tcPr>
            <w:tcW w:w="1915" w:type="dxa"/>
            <w:vAlign w:val="bottom"/>
          </w:tcPr>
          <w:p w:rsidR="006B1499" w:rsidRPr="004F1F9C" w:rsidRDefault="006B1499" w:rsidP="006B1499">
            <w:pPr>
              <w:keepNext/>
              <w:keepLines/>
              <w:jc w:val="center"/>
            </w:pPr>
            <w:r w:rsidRPr="004F1F9C">
              <w:t>Study</w:t>
            </w:r>
          </w:p>
        </w:tc>
        <w:tc>
          <w:tcPr>
            <w:tcW w:w="1915" w:type="dxa"/>
            <w:vAlign w:val="center"/>
          </w:tcPr>
          <w:p w:rsidR="006B1499" w:rsidRPr="004F1F9C" w:rsidRDefault="006B1499" w:rsidP="006B1499">
            <w:pPr>
              <w:keepNext/>
              <w:keepLines/>
              <w:jc w:val="center"/>
            </w:pPr>
            <w:r w:rsidRPr="004F1F9C">
              <w:t>Units</w:t>
            </w:r>
          </w:p>
        </w:tc>
        <w:tc>
          <w:tcPr>
            <w:tcW w:w="1915" w:type="dxa"/>
            <w:vAlign w:val="center"/>
          </w:tcPr>
          <w:p w:rsidR="006B1499" w:rsidRPr="004F1F9C" w:rsidRDefault="006B1499" w:rsidP="006B1499">
            <w:pPr>
              <w:keepNext/>
              <w:keepLines/>
              <w:jc w:val="center"/>
            </w:pPr>
            <w:r>
              <w:t>Costs of new c</w:t>
            </w:r>
            <w:r w:rsidRPr="004F1F9C">
              <w:t>onstruction</w:t>
            </w:r>
          </w:p>
        </w:tc>
        <w:tc>
          <w:tcPr>
            <w:tcW w:w="1915" w:type="dxa"/>
            <w:vAlign w:val="center"/>
          </w:tcPr>
          <w:p w:rsidR="006B1499" w:rsidRPr="004F1F9C" w:rsidRDefault="006B1499" w:rsidP="006B1499">
            <w:pPr>
              <w:keepNext/>
              <w:keepLines/>
              <w:jc w:val="center"/>
            </w:pPr>
            <w:r>
              <w:t>Annual recurrent c</w:t>
            </w:r>
            <w:r w:rsidRPr="004F1F9C">
              <w:t>osts</w:t>
            </w:r>
          </w:p>
        </w:tc>
        <w:tc>
          <w:tcPr>
            <w:tcW w:w="1916" w:type="dxa"/>
            <w:vAlign w:val="center"/>
          </w:tcPr>
          <w:p w:rsidR="006B1499" w:rsidRPr="004F1F9C" w:rsidRDefault="006B1499" w:rsidP="006B1499">
            <w:pPr>
              <w:keepNext/>
              <w:keepLines/>
              <w:jc w:val="center"/>
            </w:pPr>
            <w:r>
              <w:t>Lifetime in y</w:t>
            </w:r>
            <w:r w:rsidRPr="004F1F9C">
              <w:t>ears</w:t>
            </w:r>
          </w:p>
        </w:tc>
      </w:tr>
      <w:tr w:rsidR="006B1499" w:rsidRPr="004F1F9C">
        <w:tc>
          <w:tcPr>
            <w:tcW w:w="1915" w:type="dxa"/>
            <w:vAlign w:val="center"/>
          </w:tcPr>
          <w:p w:rsidR="006B1499" w:rsidRPr="004F1F9C" w:rsidRDefault="006B1499" w:rsidP="006B1499">
            <w:pPr>
              <w:keepNext/>
              <w:keepLines/>
              <w:jc w:val="center"/>
              <w:rPr>
                <w:szCs w:val="18"/>
              </w:rPr>
            </w:pPr>
            <w:r w:rsidRPr="004F1F9C">
              <w:rPr>
                <w:szCs w:val="18"/>
              </w:rPr>
              <w:t xml:space="preserve">Fay </w:t>
            </w:r>
            <w:r w:rsidR="00F7383F" w:rsidRPr="004F1F9C">
              <w:rPr>
                <w:szCs w:val="18"/>
              </w:rPr>
              <w:fldChar w:fldCharType="begin"/>
            </w:r>
            <w:r>
              <w:rPr>
                <w:szCs w:val="18"/>
              </w:rPr>
              <w:instrText xml:space="preserve"> ADDIN ZOTERO_ITEM CSL_CITATION {"citationID":"kbuO4lpI","properties":{"formattedCitation":"(2001, 11)","plainCitation":"(2001, 11)"},"citationItems":[{"id":480,"uris":["http://zotero.org/groups/4482/items/KQS277CN"],"uri":["http://zotero.org/groups/4482/items/KQS277CN"],"itemData":{"id":480,"type":"manuscript","title":"Financing the Future: Infrastructure Needs in Latin America, 2000-05","publisher-place":"Washington, DC","genre":"Policy Research Working Paper no. 2545","event-place":"Washington, DC","URL":"http://elibrary.worldbank.org/docserver/download/2545.pdf?expires=1311613909&amp;id=id&amp;accname=guest&amp;checksum=ACB78371906738C5C8D3387D4EEAA8ED","note":"World Bank","shortTitle":"Financing the Future","author":[{"family":"Fay","given":"Marianne"}],"issued":{"year":2001}},"locator":"11","label":"page","suppress-author":true}],"schema":"https://github.com/citation-style-language/schema/raw/master/csl-citation.json"} </w:instrText>
            </w:r>
            <w:r w:rsidR="00F7383F" w:rsidRPr="004F1F9C">
              <w:rPr>
                <w:szCs w:val="18"/>
              </w:rPr>
              <w:fldChar w:fldCharType="separate"/>
            </w:r>
            <w:r w:rsidRPr="004F1F9C">
              <w:rPr>
                <w:rFonts w:cs="Calibri"/>
              </w:rPr>
              <w:t>(2001, 11)</w:t>
            </w:r>
            <w:r w:rsidR="00F7383F" w:rsidRPr="004F1F9C">
              <w:rPr>
                <w:szCs w:val="18"/>
              </w:rPr>
              <w:fldChar w:fldCharType="end"/>
            </w:r>
          </w:p>
        </w:tc>
        <w:tc>
          <w:tcPr>
            <w:tcW w:w="1915" w:type="dxa"/>
            <w:vAlign w:val="center"/>
          </w:tcPr>
          <w:p w:rsidR="006B1499" w:rsidRPr="004F1F9C" w:rsidRDefault="006B1499" w:rsidP="006B1499">
            <w:pPr>
              <w:keepNext/>
              <w:keepLines/>
              <w:jc w:val="center"/>
              <w:rPr>
                <w:szCs w:val="18"/>
              </w:rPr>
            </w:pPr>
            <w:r w:rsidRPr="004F1F9C">
              <w:rPr>
                <w:szCs w:val="18"/>
              </w:rPr>
              <w:t>Constant 1995$US per Km</w:t>
            </w:r>
          </w:p>
        </w:tc>
        <w:tc>
          <w:tcPr>
            <w:tcW w:w="1915" w:type="dxa"/>
            <w:vAlign w:val="center"/>
          </w:tcPr>
          <w:p w:rsidR="006B1499" w:rsidRPr="004F1F9C" w:rsidRDefault="006B1499" w:rsidP="006B1499">
            <w:pPr>
              <w:keepNext/>
              <w:keepLines/>
              <w:jc w:val="center"/>
              <w:rPr>
                <w:szCs w:val="18"/>
              </w:rPr>
            </w:pPr>
            <w:r w:rsidRPr="004F1F9C">
              <w:rPr>
                <w:szCs w:val="18"/>
              </w:rPr>
              <w:t>200,000</w:t>
            </w:r>
          </w:p>
        </w:tc>
        <w:tc>
          <w:tcPr>
            <w:tcW w:w="1915" w:type="dxa"/>
            <w:vAlign w:val="center"/>
          </w:tcPr>
          <w:p w:rsidR="006B1499" w:rsidRPr="004F1F9C" w:rsidRDefault="006B1499" w:rsidP="006B1499">
            <w:pPr>
              <w:keepNext/>
              <w:keepLines/>
              <w:jc w:val="center"/>
              <w:rPr>
                <w:szCs w:val="18"/>
              </w:rPr>
            </w:pPr>
          </w:p>
        </w:tc>
        <w:tc>
          <w:tcPr>
            <w:tcW w:w="1916" w:type="dxa"/>
            <w:vAlign w:val="center"/>
          </w:tcPr>
          <w:p w:rsidR="006B1499" w:rsidRPr="004F1F9C" w:rsidRDefault="006B1499" w:rsidP="006B1499">
            <w:pPr>
              <w:keepNext/>
              <w:keepLines/>
              <w:jc w:val="center"/>
              <w:rPr>
                <w:szCs w:val="18"/>
              </w:rPr>
            </w:pPr>
          </w:p>
        </w:tc>
      </w:tr>
      <w:tr w:rsidR="006B1499" w:rsidRPr="004F1F9C">
        <w:tc>
          <w:tcPr>
            <w:tcW w:w="1915" w:type="dxa"/>
            <w:vAlign w:val="center"/>
          </w:tcPr>
          <w:p w:rsidR="006B1499" w:rsidRPr="004F1F9C" w:rsidRDefault="006B1499" w:rsidP="006B1499">
            <w:pPr>
              <w:keepNext/>
              <w:keepLines/>
              <w:jc w:val="center"/>
              <w:rPr>
                <w:szCs w:val="18"/>
              </w:rPr>
            </w:pPr>
            <w:r w:rsidRPr="004F1F9C">
              <w:rPr>
                <w:szCs w:val="18"/>
              </w:rPr>
              <w:t xml:space="preserve">Fay and Yepes </w:t>
            </w:r>
            <w:r w:rsidR="00F7383F" w:rsidRPr="004F1F9C">
              <w:rPr>
                <w:szCs w:val="18"/>
              </w:rPr>
              <w:fldChar w:fldCharType="begin"/>
            </w:r>
            <w:r>
              <w:rPr>
                <w:szCs w:val="18"/>
              </w:rPr>
              <w:instrText xml:space="preserve"> ADDIN ZOTERO_ITEM CSL_CITATION {"citationID":"hQayOavT","properties":{"formattedCitation":"(2003, 10)","plainCitation":"(2003, 10)"},"citationItems":[{"id":1138,"uris":["http://zotero.org/groups/4482/items/4BPWRAEZ"],"uri":["http://zotero.org/groups/4482/items/4BPWRAEZ"],"itemData":{"id":1138,"type":"manuscript","title":"Investing in Infrastructure: What Is Needed from 2000 to 2010?","publisher-place":"Washington, DC","genre":"Policy Research Working Paper no. 3102","archive":"RePEc","event-place":"Washington, DC","URL":"http://ideas.repec.org/p/wbk/wbrwps/3102.html","call-number":"0154","note":"World Bank","shortTitle":"Investing in Infrastructure","author":[{"family":"Fay","given":"Marianne"},{"family":"Yepes","given":"Tito"}],"issued":{"year":2003},"accessed":{"year":2009,"month":11,"day":23}},"locator":"10","label":"page","suppress-author":true}],"schema":"https://github.com/citation-style-language/schema/raw/master/csl-citation.json"} </w:instrText>
            </w:r>
            <w:r w:rsidR="00F7383F" w:rsidRPr="004F1F9C">
              <w:rPr>
                <w:szCs w:val="18"/>
              </w:rPr>
              <w:fldChar w:fldCharType="separate"/>
            </w:r>
            <w:r w:rsidRPr="004F1F9C">
              <w:t>(2003, 10)</w:t>
            </w:r>
            <w:r w:rsidR="00F7383F" w:rsidRPr="004F1F9C">
              <w:rPr>
                <w:szCs w:val="18"/>
              </w:rPr>
              <w:fldChar w:fldCharType="end"/>
            </w:r>
          </w:p>
        </w:tc>
        <w:tc>
          <w:tcPr>
            <w:tcW w:w="1915" w:type="dxa"/>
            <w:vAlign w:val="center"/>
          </w:tcPr>
          <w:p w:rsidR="006B1499" w:rsidRPr="004F1F9C" w:rsidRDefault="006B1499" w:rsidP="006B1499">
            <w:pPr>
              <w:keepNext/>
              <w:keepLines/>
              <w:jc w:val="center"/>
              <w:rPr>
                <w:szCs w:val="18"/>
              </w:rPr>
            </w:pPr>
            <w:r w:rsidRPr="004F1F9C">
              <w:rPr>
                <w:szCs w:val="18"/>
              </w:rPr>
              <w:t>Constant 1995$US per Km</w:t>
            </w:r>
          </w:p>
        </w:tc>
        <w:tc>
          <w:tcPr>
            <w:tcW w:w="1915" w:type="dxa"/>
            <w:vAlign w:val="center"/>
          </w:tcPr>
          <w:p w:rsidR="006B1499" w:rsidRPr="004F1F9C" w:rsidRDefault="006B1499" w:rsidP="006B1499">
            <w:pPr>
              <w:keepNext/>
              <w:keepLines/>
              <w:jc w:val="center"/>
              <w:rPr>
                <w:szCs w:val="18"/>
              </w:rPr>
            </w:pPr>
            <w:r w:rsidRPr="004F1F9C">
              <w:rPr>
                <w:szCs w:val="18"/>
              </w:rPr>
              <w:t>410,000</w:t>
            </w:r>
          </w:p>
        </w:tc>
        <w:tc>
          <w:tcPr>
            <w:tcW w:w="1915" w:type="dxa"/>
            <w:vAlign w:val="center"/>
          </w:tcPr>
          <w:p w:rsidR="006B1499" w:rsidRPr="004F1F9C" w:rsidRDefault="006B1499" w:rsidP="006B1499">
            <w:pPr>
              <w:keepNext/>
              <w:keepLines/>
              <w:jc w:val="center"/>
              <w:rPr>
                <w:szCs w:val="18"/>
              </w:rPr>
            </w:pPr>
            <w:r w:rsidRPr="004F1F9C">
              <w:rPr>
                <w:szCs w:val="18"/>
              </w:rPr>
              <w:t>2% of unit replacement cost</w:t>
            </w:r>
          </w:p>
        </w:tc>
        <w:tc>
          <w:tcPr>
            <w:tcW w:w="1916" w:type="dxa"/>
            <w:vAlign w:val="center"/>
          </w:tcPr>
          <w:p w:rsidR="006B1499" w:rsidRPr="004F1F9C" w:rsidRDefault="006B1499" w:rsidP="006B1499">
            <w:pPr>
              <w:keepNext/>
              <w:keepLines/>
              <w:jc w:val="center"/>
              <w:rPr>
                <w:szCs w:val="18"/>
              </w:rPr>
            </w:pPr>
          </w:p>
        </w:tc>
      </w:tr>
      <w:tr w:rsidR="006B1499" w:rsidRPr="004F1F9C">
        <w:tc>
          <w:tcPr>
            <w:tcW w:w="1915" w:type="dxa"/>
            <w:vAlign w:val="center"/>
          </w:tcPr>
          <w:p w:rsidR="006B1499" w:rsidRPr="004F1F9C" w:rsidRDefault="006B1499" w:rsidP="006B1499">
            <w:pPr>
              <w:keepNext/>
              <w:keepLines/>
              <w:jc w:val="center"/>
              <w:rPr>
                <w:szCs w:val="18"/>
              </w:rPr>
            </w:pPr>
            <w:r w:rsidRPr="004F1F9C">
              <w:rPr>
                <w:szCs w:val="18"/>
              </w:rPr>
              <w:t xml:space="preserve">Yepes </w:t>
            </w:r>
            <w:r w:rsidR="00F7383F" w:rsidRPr="004F1F9C">
              <w:rPr>
                <w:szCs w:val="18"/>
              </w:rPr>
              <w:fldChar w:fldCharType="begin"/>
            </w:r>
            <w:r>
              <w:rPr>
                <w:szCs w:val="18"/>
              </w:rPr>
              <w:instrText xml:space="preserve"> ADDIN ZOTERO_ITEM CSL_CITATION {"citationID":"2cric7u13s","properties":{"formattedCitation":"(2005, no page number)","plainCitation":"(2005, no page number)"},"citationItems":[{"id":904,"uris":["http://zotero.org/groups/4482/items/TXS9JSZB"],"uri":["http://zotero.org/groups/4482/items/TXS9JSZB"],"itemData":{"id":904,"type":"report","title":"Expenditure on Infrastructure in East Asia Region, 2006–2010","collection-title":"East Asia Pacific Infrastructure Flagship Study","publisher":"Asian Development Bank (ADB), Japan Bank for International Cooperation (JBIC), World Bank","publisher-place":"Manila","event-place":"Manila","author":[{"family":"Yepes","given":"Tito"}],"issued":{"year":2005}},"locator":"no page number","label":"page","suppress-author":true}],"schema":"https://github.com/citation-style-language/schema/raw/master/csl-citation.json"} </w:instrText>
            </w:r>
            <w:r w:rsidR="00F7383F" w:rsidRPr="004F1F9C">
              <w:rPr>
                <w:szCs w:val="18"/>
              </w:rPr>
              <w:fldChar w:fldCharType="separate"/>
            </w:r>
            <w:r w:rsidRPr="004F1F9C">
              <w:rPr>
                <w:szCs w:val="21"/>
              </w:rPr>
              <w:t>(2005, no page number)</w:t>
            </w:r>
            <w:r w:rsidR="00F7383F" w:rsidRPr="004F1F9C">
              <w:rPr>
                <w:szCs w:val="18"/>
              </w:rPr>
              <w:fldChar w:fldCharType="end"/>
            </w:r>
          </w:p>
        </w:tc>
        <w:tc>
          <w:tcPr>
            <w:tcW w:w="1915" w:type="dxa"/>
            <w:vAlign w:val="center"/>
          </w:tcPr>
          <w:p w:rsidR="006B1499" w:rsidRPr="004F1F9C" w:rsidRDefault="006B1499" w:rsidP="006B1499">
            <w:pPr>
              <w:keepNext/>
              <w:keepLines/>
              <w:jc w:val="center"/>
              <w:rPr>
                <w:szCs w:val="18"/>
              </w:rPr>
            </w:pPr>
            <w:r w:rsidRPr="004F1F9C">
              <w:rPr>
                <w:szCs w:val="18"/>
              </w:rPr>
              <w:t>Constant $US, year not stated, per Km</w:t>
            </w:r>
          </w:p>
        </w:tc>
        <w:tc>
          <w:tcPr>
            <w:tcW w:w="1915" w:type="dxa"/>
            <w:vAlign w:val="center"/>
          </w:tcPr>
          <w:p w:rsidR="006B1499" w:rsidRPr="004F1F9C" w:rsidRDefault="006B1499" w:rsidP="006B1499">
            <w:pPr>
              <w:keepNext/>
              <w:keepLines/>
              <w:jc w:val="center"/>
              <w:rPr>
                <w:szCs w:val="18"/>
              </w:rPr>
            </w:pPr>
            <w:r w:rsidRPr="004F1F9C">
              <w:rPr>
                <w:szCs w:val="18"/>
              </w:rPr>
              <w:t>417,995</w:t>
            </w:r>
          </w:p>
        </w:tc>
        <w:tc>
          <w:tcPr>
            <w:tcW w:w="1915" w:type="dxa"/>
            <w:vAlign w:val="center"/>
          </w:tcPr>
          <w:p w:rsidR="006B1499" w:rsidRPr="004F1F9C" w:rsidRDefault="006B1499" w:rsidP="006B1499">
            <w:pPr>
              <w:keepNext/>
              <w:keepLines/>
              <w:jc w:val="center"/>
              <w:rPr>
                <w:szCs w:val="18"/>
              </w:rPr>
            </w:pPr>
            <w:r w:rsidRPr="004F1F9C">
              <w:rPr>
                <w:szCs w:val="18"/>
              </w:rPr>
              <w:t>2% of stock value</w:t>
            </w:r>
          </w:p>
        </w:tc>
        <w:tc>
          <w:tcPr>
            <w:tcW w:w="1916" w:type="dxa"/>
            <w:vAlign w:val="center"/>
          </w:tcPr>
          <w:p w:rsidR="006B1499" w:rsidRPr="004F1F9C" w:rsidRDefault="006B1499" w:rsidP="006B1499">
            <w:pPr>
              <w:keepNext/>
              <w:keepLines/>
              <w:jc w:val="center"/>
              <w:rPr>
                <w:szCs w:val="18"/>
              </w:rPr>
            </w:pPr>
          </w:p>
        </w:tc>
      </w:tr>
      <w:tr w:rsidR="006B1499" w:rsidRPr="004F1F9C">
        <w:tc>
          <w:tcPr>
            <w:tcW w:w="1915" w:type="dxa"/>
            <w:vAlign w:val="center"/>
          </w:tcPr>
          <w:p w:rsidR="006B1499" w:rsidRPr="004F1F9C" w:rsidRDefault="006B1499" w:rsidP="006B1499">
            <w:pPr>
              <w:keepNext/>
              <w:keepLines/>
              <w:jc w:val="center"/>
            </w:pPr>
            <w:r w:rsidRPr="004F1F9C">
              <w:rPr>
                <w:szCs w:val="18"/>
              </w:rPr>
              <w:t xml:space="preserve">Chatterton and Puerto </w:t>
            </w:r>
            <w:r w:rsidR="00F7383F" w:rsidRPr="004F1F9C">
              <w:rPr>
                <w:szCs w:val="18"/>
              </w:rPr>
              <w:fldChar w:fldCharType="begin"/>
            </w:r>
            <w:r>
              <w:rPr>
                <w:szCs w:val="18"/>
              </w:rPr>
              <w:instrText xml:space="preserve"> ADDIN ZOTERO_ITEM CSL_CITATION {"citationID":"1o7e2tni25","properties":{"formattedCitation":"{\\rtf (2006, 7, 9\\uc0\\u8211{}10)}","plainCitation":"(2006, 7, 9–10)"},"citationItems":[{"id":903,"uris":["http://zotero.org/groups/4482/items/8BCTKHKI"],"uri":["http://zotero.org/groups/4482/items/8BCTKHKI"],"itemData":{"id":903,"type":"report","title":"Estimation of Infrastructure Investment Needs in the South Asia Region: Executive Summary","publisher":"World Bank","publisher-place":"Washington, DC","event-place":"Washington, DC","URL":"http://0-siteresources.worldbank.org.bianca.penlib.du.edu/INTSARREGTOPTRANSPORT/Resources/Inf_Investment_Needs_IC_version4.pdf","shortTitle":"Estimation of Infrastructure Investment Needs in the South Asia Region","author":[{"family":"Chatterton","given":"Isabe"},{"family":"Puerto","given":"Olga S."}],"issued":{"year":2006}},"locator":"7, 9-10","label":"page","suppress-author":true}],"schema":"https://github.com/citation-style-language/schema/raw/master/csl-citation.json"} </w:instrText>
            </w:r>
            <w:r w:rsidR="00F7383F" w:rsidRPr="004F1F9C">
              <w:rPr>
                <w:szCs w:val="18"/>
              </w:rPr>
              <w:fldChar w:fldCharType="separate"/>
            </w:r>
            <w:r w:rsidRPr="004F1F9C">
              <w:rPr>
                <w:szCs w:val="24"/>
              </w:rPr>
              <w:t>(2006, 7, 9–10)</w:t>
            </w:r>
            <w:r w:rsidR="00F7383F" w:rsidRPr="004F1F9C">
              <w:rPr>
                <w:szCs w:val="18"/>
              </w:rPr>
              <w:fldChar w:fldCharType="end"/>
            </w:r>
          </w:p>
        </w:tc>
        <w:tc>
          <w:tcPr>
            <w:tcW w:w="1915" w:type="dxa"/>
            <w:vAlign w:val="center"/>
          </w:tcPr>
          <w:p w:rsidR="006B1499" w:rsidRPr="004F1F9C" w:rsidRDefault="006B1499" w:rsidP="006B1499">
            <w:pPr>
              <w:keepNext/>
              <w:keepLines/>
              <w:jc w:val="center"/>
            </w:pPr>
            <w:r w:rsidRPr="004F1F9C">
              <w:rPr>
                <w:szCs w:val="18"/>
              </w:rPr>
              <w:t>Constant $US, year not stated, per Km</w:t>
            </w:r>
          </w:p>
        </w:tc>
        <w:tc>
          <w:tcPr>
            <w:tcW w:w="1915" w:type="dxa"/>
            <w:vAlign w:val="center"/>
          </w:tcPr>
          <w:p w:rsidR="006B1499" w:rsidRPr="004F1F9C" w:rsidRDefault="006B1499" w:rsidP="006B1499">
            <w:pPr>
              <w:keepNext/>
              <w:keepLines/>
              <w:jc w:val="center"/>
              <w:rPr>
                <w:szCs w:val="18"/>
              </w:rPr>
            </w:pPr>
            <w:r w:rsidRPr="004F1F9C">
              <w:rPr>
                <w:szCs w:val="18"/>
              </w:rPr>
              <w:t>425,000</w:t>
            </w:r>
          </w:p>
        </w:tc>
        <w:tc>
          <w:tcPr>
            <w:tcW w:w="1915" w:type="dxa"/>
            <w:vAlign w:val="center"/>
          </w:tcPr>
          <w:p w:rsidR="006B1499" w:rsidRPr="004F1F9C" w:rsidRDefault="006B1499" w:rsidP="006B1499">
            <w:pPr>
              <w:keepNext/>
              <w:keepLines/>
              <w:jc w:val="center"/>
              <w:rPr>
                <w:szCs w:val="18"/>
              </w:rPr>
            </w:pPr>
            <w:r w:rsidRPr="004F1F9C">
              <w:rPr>
                <w:szCs w:val="18"/>
              </w:rPr>
              <w:t>2% of replacement cost</w:t>
            </w:r>
          </w:p>
        </w:tc>
        <w:tc>
          <w:tcPr>
            <w:tcW w:w="1916" w:type="dxa"/>
            <w:vAlign w:val="center"/>
          </w:tcPr>
          <w:p w:rsidR="006B1499" w:rsidRPr="004F1F9C" w:rsidRDefault="006B1499" w:rsidP="006B1499">
            <w:pPr>
              <w:keepNext/>
              <w:keepLines/>
              <w:jc w:val="center"/>
              <w:rPr>
                <w:szCs w:val="18"/>
              </w:rPr>
            </w:pPr>
          </w:p>
        </w:tc>
      </w:tr>
      <w:tr w:rsidR="006B1499" w:rsidRPr="004F1F9C">
        <w:tc>
          <w:tcPr>
            <w:tcW w:w="1915" w:type="dxa"/>
            <w:vAlign w:val="center"/>
          </w:tcPr>
          <w:p w:rsidR="006B1499" w:rsidRPr="004F1F9C" w:rsidRDefault="006B1499" w:rsidP="006B1499">
            <w:pPr>
              <w:keepNext/>
              <w:keepLines/>
              <w:jc w:val="center"/>
            </w:pPr>
            <w:r w:rsidRPr="004F1F9C">
              <w:rPr>
                <w:szCs w:val="18"/>
              </w:rPr>
              <w:t xml:space="preserve">Yepes </w:t>
            </w:r>
            <w:r w:rsidR="00F7383F" w:rsidRPr="004F1F9C">
              <w:rPr>
                <w:szCs w:val="18"/>
              </w:rPr>
              <w:fldChar w:fldCharType="begin"/>
            </w:r>
            <w:r>
              <w:rPr>
                <w:szCs w:val="18"/>
              </w:rPr>
              <w:instrText xml:space="preserve"> ADDIN ZOTERO_ITEM CSL_CITATION {"citationID":"3bmt6u6lj","properties":{"formattedCitation":"(2008, 7, 10, 11, 15)","plainCitation":"(2008, 7, 10, 11, 15)"},"citationItems":[{"id":716,"uris":["http://zotero.org/groups/4482/items/6FIFS46X"],"uri":["http://zotero.org/groups/4482/items/6FIFS46X"],"itemData":{"id":716,"type":"manuscript","title":"Investment Needs for Infrastructure in Developing Countries 2008-15","publisher-place":"Washington, DC","genre":"Draft","event-place":"Washington, DC","note":"World Bank","author":[{"family":"Yepes","given":"Tito"}],"issued":{"year":2008}},"locator":"7, 10, 11, 15","label":"page","suppress-author":true}],"schema":"https://github.com/citation-style-language/schema/raw/master/csl-citation.json"} </w:instrText>
            </w:r>
            <w:r w:rsidR="00F7383F" w:rsidRPr="004F1F9C">
              <w:rPr>
                <w:szCs w:val="18"/>
              </w:rPr>
              <w:fldChar w:fldCharType="separate"/>
            </w:r>
            <w:r w:rsidRPr="004F1F9C">
              <w:rPr>
                <w:szCs w:val="21"/>
              </w:rPr>
              <w:t>(2008, 7, 10, 11, 15)</w:t>
            </w:r>
            <w:r w:rsidR="00F7383F" w:rsidRPr="004F1F9C">
              <w:rPr>
                <w:szCs w:val="18"/>
              </w:rPr>
              <w:fldChar w:fldCharType="end"/>
            </w:r>
          </w:p>
        </w:tc>
        <w:tc>
          <w:tcPr>
            <w:tcW w:w="1915" w:type="dxa"/>
            <w:vAlign w:val="center"/>
          </w:tcPr>
          <w:p w:rsidR="006B1499" w:rsidRPr="004F1F9C" w:rsidRDefault="006B1499" w:rsidP="006B1499">
            <w:pPr>
              <w:keepNext/>
              <w:keepLines/>
              <w:jc w:val="center"/>
            </w:pPr>
            <w:r w:rsidRPr="004F1F9C">
              <w:rPr>
                <w:szCs w:val="18"/>
              </w:rPr>
              <w:t>Constant 2005 $US per Km</w:t>
            </w:r>
          </w:p>
        </w:tc>
        <w:tc>
          <w:tcPr>
            <w:tcW w:w="1915" w:type="dxa"/>
            <w:vAlign w:val="center"/>
          </w:tcPr>
          <w:p w:rsidR="006B1499" w:rsidRPr="004F1F9C" w:rsidRDefault="006B1499" w:rsidP="006B1499">
            <w:pPr>
              <w:keepNext/>
              <w:keepLines/>
              <w:jc w:val="center"/>
              <w:rPr>
                <w:szCs w:val="18"/>
              </w:rPr>
            </w:pPr>
            <w:r w:rsidRPr="004F1F9C">
              <w:rPr>
                <w:szCs w:val="18"/>
              </w:rPr>
              <w:t>410,000</w:t>
            </w:r>
          </w:p>
        </w:tc>
        <w:tc>
          <w:tcPr>
            <w:tcW w:w="1915" w:type="dxa"/>
            <w:vAlign w:val="center"/>
          </w:tcPr>
          <w:p w:rsidR="006B1499" w:rsidRPr="004F1F9C" w:rsidRDefault="006B1499" w:rsidP="006B1499">
            <w:pPr>
              <w:keepNext/>
              <w:keepLines/>
              <w:jc w:val="center"/>
              <w:rPr>
                <w:szCs w:val="18"/>
              </w:rPr>
            </w:pPr>
            <w:r w:rsidRPr="004F1F9C">
              <w:rPr>
                <w:szCs w:val="18"/>
              </w:rPr>
              <w:t>4% to 5.1%</w:t>
            </w:r>
          </w:p>
        </w:tc>
        <w:tc>
          <w:tcPr>
            <w:tcW w:w="1916" w:type="dxa"/>
            <w:vAlign w:val="center"/>
          </w:tcPr>
          <w:p w:rsidR="006B1499" w:rsidRPr="004F1F9C" w:rsidRDefault="006B1499" w:rsidP="006B1499">
            <w:pPr>
              <w:keepNext/>
              <w:keepLines/>
              <w:jc w:val="center"/>
              <w:rPr>
                <w:szCs w:val="18"/>
              </w:rPr>
            </w:pPr>
          </w:p>
        </w:tc>
      </w:tr>
      <w:tr w:rsidR="006B1499" w:rsidRPr="004F1F9C">
        <w:tc>
          <w:tcPr>
            <w:tcW w:w="1915" w:type="dxa"/>
            <w:vAlign w:val="center"/>
          </w:tcPr>
          <w:p w:rsidR="006B1499" w:rsidRPr="004F1F9C" w:rsidRDefault="006B1499" w:rsidP="006B1499">
            <w:pPr>
              <w:keepNext/>
              <w:keepLines/>
              <w:jc w:val="center"/>
            </w:pPr>
            <w:r w:rsidRPr="004F1F9C">
              <w:rPr>
                <w:szCs w:val="18"/>
              </w:rPr>
              <w:t xml:space="preserve">Bhattacharyay for maintenance </w:t>
            </w:r>
            <w:r w:rsidR="00F7383F" w:rsidRPr="004F1F9C">
              <w:rPr>
                <w:szCs w:val="18"/>
              </w:rPr>
              <w:fldChar w:fldCharType="begin"/>
            </w:r>
            <w:r>
              <w:rPr>
                <w:szCs w:val="18"/>
              </w:rPr>
              <w:instrText xml:space="preserve"> ADDIN ZOTERO_ITEM CSL_CITATION {"citationID":"tzT6iGRE","properties":{"formattedCitation":"(2010)","plainCitation":"(2010)"},"citationItems":[{"id":1156,"uris":["http://zotero.org/groups/4482/items/MQ3EDFBR"],"uri":["http://zotero.org/groups/4482/items/MQ3EDFBR"],"itemData":{"id":1156,"type":"manuscript","title":"Estimating Demand for Infrastructure in Energy, Transport, Telecommunications, Water and Sanitation in Asia and the Pacific: 2010-2020","publisher-place":"Tokyo","genre":"Working Paper no. 248","event-place":"Tokyo","URL":"http://www.adbi.org/working-paper/2010/09/09/4062.infrastructure.demand.asia.pacific/","call-number":"0001","note":"Asian Development Bank Institute","author":[{"family":"Bhattacharyay","given":"Biswa Nath"}],"issued":{"year":2010}},"suppress-author":true}],"schema":"https://github.com/citation-style-language/schema/raw/master/csl-citation.json"} </w:instrText>
            </w:r>
            <w:r w:rsidR="00F7383F" w:rsidRPr="004F1F9C">
              <w:rPr>
                <w:szCs w:val="18"/>
              </w:rPr>
              <w:fldChar w:fldCharType="separate"/>
            </w:r>
            <w:r w:rsidRPr="004F1F9C">
              <w:rPr>
                <w:szCs w:val="21"/>
              </w:rPr>
              <w:t>(2010, 10)</w:t>
            </w:r>
            <w:r w:rsidR="00F7383F" w:rsidRPr="004F1F9C">
              <w:rPr>
                <w:szCs w:val="18"/>
              </w:rPr>
              <w:fldChar w:fldCharType="end"/>
            </w:r>
            <w:r w:rsidRPr="004F1F9C">
              <w:rPr>
                <w:szCs w:val="18"/>
              </w:rPr>
              <w:t xml:space="preserve"> unit costs from ADBI </w:t>
            </w:r>
            <w:r w:rsidR="00F7383F" w:rsidRPr="004F1F9C">
              <w:rPr>
                <w:szCs w:val="18"/>
              </w:rPr>
              <w:fldChar w:fldCharType="begin"/>
            </w:r>
            <w:r>
              <w:rPr>
                <w:szCs w:val="18"/>
              </w:rPr>
              <w:instrText xml:space="preserve"> ADDIN ZOTERO_ITEM CSL_CITATION {"citationID":"SElGi4aL","properties":{"formattedCitation":"{\\rtf (2009, 27\\uc0\\u8211{}28)}","plainCitation":"(2009, 27–28)"},"citationItems":[{"id":1153,"uris":["http://zotero.org/groups/4482/items/3ND5HTK3"],"uri":["http://zotero.org/groups/4482/items/3ND5HTK3"],"itemData":{"id":1153,"type":"manuscript","title":"Demand for Infrastructure Financing in Asia 2010-2010","publisher-place":"Tokyo","genre":"ADBI Internal Report (prepared by Centennial Group Holdings, LLC)","event-place":"Tokyo","note":"ADBI","author":[{"family":"Asian Development Bank Institute","given":""}],"issued":{"year":2009}},"locator":"27-28","label":"page","suppress-author":true}],"schema":"https://github.com/citation-style-language/schema/raw/master/csl-citation.json"} </w:instrText>
            </w:r>
            <w:r w:rsidR="00F7383F" w:rsidRPr="004F1F9C">
              <w:rPr>
                <w:szCs w:val="18"/>
              </w:rPr>
              <w:fldChar w:fldCharType="separate"/>
            </w:r>
            <w:r w:rsidRPr="004F1F9C">
              <w:rPr>
                <w:szCs w:val="24"/>
              </w:rPr>
              <w:t>(2009, 27–28)</w:t>
            </w:r>
            <w:r w:rsidR="00F7383F" w:rsidRPr="004F1F9C">
              <w:rPr>
                <w:szCs w:val="18"/>
              </w:rPr>
              <w:fldChar w:fldCharType="end"/>
            </w:r>
          </w:p>
        </w:tc>
        <w:tc>
          <w:tcPr>
            <w:tcW w:w="1915" w:type="dxa"/>
            <w:vAlign w:val="center"/>
          </w:tcPr>
          <w:p w:rsidR="006B1499" w:rsidRPr="004F1F9C" w:rsidRDefault="006B1499" w:rsidP="006B1499">
            <w:pPr>
              <w:keepNext/>
              <w:keepLines/>
              <w:jc w:val="center"/>
            </w:pPr>
            <w:r w:rsidRPr="004F1F9C">
              <w:rPr>
                <w:szCs w:val="18"/>
              </w:rPr>
              <w:t>Constant 2008 $US per Km</w:t>
            </w:r>
          </w:p>
        </w:tc>
        <w:tc>
          <w:tcPr>
            <w:tcW w:w="1915" w:type="dxa"/>
            <w:vAlign w:val="center"/>
          </w:tcPr>
          <w:p w:rsidR="006B1499" w:rsidRPr="004F1F9C" w:rsidRDefault="006B1499" w:rsidP="006B1499">
            <w:pPr>
              <w:keepNext/>
              <w:keepLines/>
              <w:jc w:val="center"/>
              <w:rPr>
                <w:szCs w:val="18"/>
              </w:rPr>
            </w:pPr>
            <w:r w:rsidRPr="004F1F9C">
              <w:rPr>
                <w:szCs w:val="18"/>
              </w:rPr>
              <w:t>425,000</w:t>
            </w:r>
          </w:p>
        </w:tc>
        <w:tc>
          <w:tcPr>
            <w:tcW w:w="1915" w:type="dxa"/>
            <w:vAlign w:val="center"/>
          </w:tcPr>
          <w:p w:rsidR="006B1499" w:rsidRPr="004F1F9C" w:rsidRDefault="006B1499" w:rsidP="006B1499">
            <w:pPr>
              <w:keepNext/>
              <w:keepLines/>
              <w:jc w:val="center"/>
              <w:rPr>
                <w:szCs w:val="18"/>
              </w:rPr>
            </w:pPr>
            <w:r w:rsidRPr="004F1F9C">
              <w:rPr>
                <w:szCs w:val="18"/>
              </w:rPr>
              <w:t>2% of stock value</w:t>
            </w:r>
          </w:p>
        </w:tc>
        <w:tc>
          <w:tcPr>
            <w:tcW w:w="1916" w:type="dxa"/>
            <w:vAlign w:val="center"/>
          </w:tcPr>
          <w:p w:rsidR="006B1499" w:rsidRPr="004F1F9C" w:rsidRDefault="006B1499" w:rsidP="006B1499">
            <w:pPr>
              <w:keepNext/>
              <w:keepLines/>
              <w:jc w:val="center"/>
              <w:rPr>
                <w:szCs w:val="18"/>
              </w:rPr>
            </w:pPr>
          </w:p>
        </w:tc>
      </w:tr>
      <w:tr w:rsidR="006B1499" w:rsidRPr="004F1F9C">
        <w:tc>
          <w:tcPr>
            <w:tcW w:w="1915" w:type="dxa"/>
            <w:vAlign w:val="center"/>
          </w:tcPr>
          <w:p w:rsidR="006B1499" w:rsidRPr="004F1F9C" w:rsidRDefault="006B1499" w:rsidP="006B1499">
            <w:pPr>
              <w:keepNext/>
              <w:keepLines/>
              <w:jc w:val="center"/>
            </w:pPr>
            <w:r w:rsidRPr="004F1F9C">
              <w:rPr>
                <w:szCs w:val="18"/>
              </w:rPr>
              <w:t xml:space="preserve">Kohli and Basil </w:t>
            </w:r>
            <w:r w:rsidR="00F7383F" w:rsidRPr="004F1F9C">
              <w:rPr>
                <w:szCs w:val="18"/>
              </w:rPr>
              <w:fldChar w:fldCharType="begin"/>
            </w:r>
            <w:r>
              <w:rPr>
                <w:szCs w:val="18"/>
              </w:rPr>
              <w:instrText xml:space="preserve"> ADDIN ZOTERO_ITEM CSL_CITATION {"citationID":"CtRcaucf","properties":{"formattedCitation":"(2011, 96)","plainCitation":"(2011, 96)"},"citationItems":[{"id":1157,"uris":["http://zotero.org/groups/4482/items/PNQFGAHH"],"uri":["http://zotero.org/groups/4482/items/PNQFGAHH"],"itemData":{"id":1157,"type":"article-journal","title":"Requirements for Infrastructure Investment in Latin America Under Alternate Growth Scenarios","container-title":"Global Journal of Emerging Market Economies","page":"59 -110","volume":"3","issue":"1","abstract":"This study estimates requirements for infrastructure investment in 21 Latin American countries for the period 2011–2040 using a structural equation model. Needs total about 4 percent of GDP. Projections are provided for both a high-growth convergence scenario and a low-growth business-as-usual scenario. These costs represent minimum investments necessary to support expected economic growth. Costs are presented separately and in total for new-capacity investment and maintenance for 10 sectors: airports, electricity, fixed broadband, landlines, mobile telephony, ports, rail, paved roads, sanitation, and water. Country coverage comprises Argentina, Belize, Bolivia, Brazil, Chile, Colombia, Costa Rica, Dominican Republic, Ecuador, El Salvador, Guatemala, Guyana, Honduras, Mexico, Nicaragua, Panama, Paraguay, Peru, Suriname, Uruguay, and Venezuela. The model differs from past studies of regionwide long-term infrastructure investment needs in five features: (1) It considers alternate GDP growth scenarios; (2) It employs a structural equation model using instrumental variables to provide unbiased, consistent projections for both GDP growth scenarios (Instrumented variables are urbanization and the shares in GDP of agriculture, manufacturing, and services); (3) Mobile phone investment costs are not constant but instead vary with population density; (4) Two additional, wealthier countries are included in modeling to prevent forecasting outside the range of the independent variables’ values used to construct the model, and; (5) Timing of new-capacity investments is distributed over multiple years and varies by sector.","DOI":"10.1177/097491011000300103","call-number":"0002","author":[{"family":"Kohli","given":"Harpaul Alberto"},{"family":"Basil","given":"Phillip"}],"issued":{"year":2011},"accessed":{"year":2011,"month":7,"day":29},"page-first":"59"},"locator":"96","label":"page","suppress-author":true}],"schema":"https://github.com/citation-style-language/schema/raw/master/csl-citation.json"} </w:instrText>
            </w:r>
            <w:r w:rsidR="00F7383F" w:rsidRPr="004F1F9C">
              <w:rPr>
                <w:szCs w:val="18"/>
              </w:rPr>
              <w:fldChar w:fldCharType="separate"/>
            </w:r>
            <w:r w:rsidRPr="004F1F9C">
              <w:rPr>
                <w:szCs w:val="21"/>
              </w:rPr>
              <w:t>(2011, 96)</w:t>
            </w:r>
            <w:r w:rsidR="00F7383F" w:rsidRPr="004F1F9C">
              <w:rPr>
                <w:szCs w:val="18"/>
              </w:rPr>
              <w:fldChar w:fldCharType="end"/>
            </w:r>
          </w:p>
        </w:tc>
        <w:tc>
          <w:tcPr>
            <w:tcW w:w="1915" w:type="dxa"/>
            <w:vAlign w:val="center"/>
          </w:tcPr>
          <w:p w:rsidR="006B1499" w:rsidRPr="004F1F9C" w:rsidRDefault="006B1499" w:rsidP="006B1499">
            <w:pPr>
              <w:keepNext/>
              <w:keepLines/>
              <w:jc w:val="center"/>
            </w:pPr>
            <w:r w:rsidRPr="004F1F9C">
              <w:rPr>
                <w:szCs w:val="18"/>
              </w:rPr>
              <w:t>Constant 2009 $US per Km</w:t>
            </w:r>
          </w:p>
        </w:tc>
        <w:tc>
          <w:tcPr>
            <w:tcW w:w="1915" w:type="dxa"/>
            <w:vAlign w:val="center"/>
          </w:tcPr>
          <w:p w:rsidR="006B1499" w:rsidRPr="004F1F9C" w:rsidRDefault="006B1499" w:rsidP="006B1499">
            <w:pPr>
              <w:keepNext/>
              <w:keepLines/>
              <w:jc w:val="center"/>
              <w:rPr>
                <w:szCs w:val="18"/>
              </w:rPr>
            </w:pPr>
            <w:r w:rsidRPr="004F1F9C">
              <w:rPr>
                <w:szCs w:val="18"/>
              </w:rPr>
              <w:t>895,000</w:t>
            </w:r>
          </w:p>
        </w:tc>
        <w:tc>
          <w:tcPr>
            <w:tcW w:w="1915" w:type="dxa"/>
            <w:vAlign w:val="center"/>
          </w:tcPr>
          <w:p w:rsidR="006B1499" w:rsidRPr="004F1F9C" w:rsidRDefault="006B1499" w:rsidP="006B1499">
            <w:pPr>
              <w:keepNext/>
              <w:keepLines/>
              <w:jc w:val="center"/>
              <w:rPr>
                <w:szCs w:val="18"/>
              </w:rPr>
            </w:pPr>
            <w:r w:rsidRPr="004F1F9C">
              <w:rPr>
                <w:szCs w:val="18"/>
              </w:rPr>
              <w:t>2% of stock value</w:t>
            </w:r>
          </w:p>
        </w:tc>
        <w:tc>
          <w:tcPr>
            <w:tcW w:w="1916" w:type="dxa"/>
            <w:vAlign w:val="center"/>
          </w:tcPr>
          <w:p w:rsidR="006B1499" w:rsidRPr="004F1F9C" w:rsidRDefault="006B1499" w:rsidP="006B1499">
            <w:pPr>
              <w:keepNext/>
              <w:keepLines/>
              <w:jc w:val="center"/>
              <w:rPr>
                <w:szCs w:val="18"/>
              </w:rPr>
            </w:pPr>
          </w:p>
        </w:tc>
      </w:tr>
      <w:tr w:rsidR="006B1499" w:rsidRPr="004F1F9C">
        <w:tc>
          <w:tcPr>
            <w:tcW w:w="1915" w:type="dxa"/>
            <w:vAlign w:val="center"/>
          </w:tcPr>
          <w:p w:rsidR="006B1499" w:rsidRPr="004F1F9C" w:rsidRDefault="006B1499" w:rsidP="006B1499">
            <w:pPr>
              <w:keepNext/>
              <w:keepLines/>
              <w:jc w:val="center"/>
              <w:rPr>
                <w:szCs w:val="18"/>
              </w:rPr>
            </w:pPr>
            <w:r w:rsidRPr="004F1F9C">
              <w:rPr>
                <w:szCs w:val="18"/>
              </w:rPr>
              <w:t xml:space="preserve">Hughes, Chinowsky, and Strzepek </w:t>
            </w:r>
            <w:r w:rsidR="00F7383F" w:rsidRPr="004F1F9C">
              <w:rPr>
                <w:szCs w:val="18"/>
              </w:rPr>
              <w:fldChar w:fldCharType="begin"/>
            </w:r>
            <w:r>
              <w:rPr>
                <w:szCs w:val="18"/>
              </w:rPr>
              <w:instrText xml:space="preserve"> ADDIN ZOTERO_ITEM CSL_CITATION {"citationID":"UH6J9uOs","properties":{"formattedCitation":"(2009)","plainCitation":"(2009)"},"citationItems":[{"id":975,"uris":["http://zotero.org/groups/4482/items/ZNDAXGEG"],"uri":["http://zotero.org/groups/4482/items/ZNDAXGEG"],"itemData":{"id":975,"type":"manuscript","title":"The Costs of Adapting to Climate Change for Infrastructure","publisher-place":"Washington, DC","genre":"Economics of Adaptation to Climate Change Discussion Paper no. 2","event-place":"Washington, DC","note":"World Bank","author":[{"family":"Hughes","given":"Gordon"},{"family":"Chinowsky","given":"Paul"},{"family":"Strzepek","given":"Ken"}],"issued":{"year":2009}},"suppress-author":true}],"schema":"https://github.com/citation-style-language/schema/raw/master/csl-citation.json"} </w:instrText>
            </w:r>
            <w:r w:rsidR="00F7383F" w:rsidRPr="004F1F9C">
              <w:rPr>
                <w:szCs w:val="18"/>
              </w:rPr>
              <w:fldChar w:fldCharType="separate"/>
            </w:r>
            <w:r w:rsidRPr="004F1F9C">
              <w:rPr>
                <w:rFonts w:cs="Calibri"/>
                <w:szCs w:val="21"/>
              </w:rPr>
              <w:t>(2009)</w:t>
            </w:r>
            <w:r w:rsidR="00F7383F" w:rsidRPr="004F1F9C">
              <w:rPr>
                <w:szCs w:val="18"/>
              </w:rPr>
              <w:fldChar w:fldCharType="end"/>
            </w:r>
            <w:r w:rsidRPr="004F1F9C">
              <w:rPr>
                <w:szCs w:val="18"/>
              </w:rPr>
              <w:t>*</w:t>
            </w:r>
          </w:p>
        </w:tc>
        <w:tc>
          <w:tcPr>
            <w:tcW w:w="1915" w:type="dxa"/>
            <w:vAlign w:val="center"/>
          </w:tcPr>
          <w:p w:rsidR="006B1499" w:rsidRPr="004F1F9C" w:rsidRDefault="006B1499" w:rsidP="006B1499">
            <w:pPr>
              <w:keepNext/>
              <w:keepLines/>
              <w:jc w:val="center"/>
              <w:rPr>
                <w:szCs w:val="18"/>
              </w:rPr>
            </w:pPr>
            <w:r w:rsidRPr="004F1F9C">
              <w:rPr>
                <w:szCs w:val="18"/>
              </w:rPr>
              <w:t>Constant $2005 US PPP per Km</w:t>
            </w:r>
          </w:p>
        </w:tc>
        <w:tc>
          <w:tcPr>
            <w:tcW w:w="1915" w:type="dxa"/>
            <w:vAlign w:val="center"/>
          </w:tcPr>
          <w:p w:rsidR="006B1499" w:rsidRPr="004F1F9C" w:rsidRDefault="006B1499" w:rsidP="006B1499">
            <w:pPr>
              <w:keepNext/>
              <w:keepLines/>
              <w:jc w:val="center"/>
              <w:rPr>
                <w:szCs w:val="18"/>
              </w:rPr>
            </w:pPr>
            <w:r w:rsidRPr="004F1F9C">
              <w:rPr>
                <w:szCs w:val="18"/>
              </w:rPr>
              <w:t>600,000</w:t>
            </w:r>
          </w:p>
        </w:tc>
        <w:tc>
          <w:tcPr>
            <w:tcW w:w="1915" w:type="dxa"/>
            <w:vAlign w:val="center"/>
          </w:tcPr>
          <w:p w:rsidR="006B1499" w:rsidRPr="004F1F9C" w:rsidRDefault="006B1499" w:rsidP="006B1499">
            <w:pPr>
              <w:keepNext/>
              <w:keepLines/>
              <w:jc w:val="center"/>
              <w:rPr>
                <w:szCs w:val="18"/>
              </w:rPr>
            </w:pPr>
            <w:r w:rsidRPr="004F1F9C">
              <w:rPr>
                <w:szCs w:val="18"/>
              </w:rPr>
              <w:t>0.56%</w:t>
            </w:r>
          </w:p>
        </w:tc>
        <w:tc>
          <w:tcPr>
            <w:tcW w:w="1916" w:type="dxa"/>
            <w:vAlign w:val="center"/>
          </w:tcPr>
          <w:p w:rsidR="006B1499" w:rsidRPr="004F1F9C" w:rsidRDefault="006B1499" w:rsidP="006B1499">
            <w:pPr>
              <w:keepNext/>
              <w:keepLines/>
              <w:jc w:val="center"/>
              <w:rPr>
                <w:szCs w:val="18"/>
              </w:rPr>
            </w:pPr>
            <w:r w:rsidRPr="004F1F9C">
              <w:rPr>
                <w:szCs w:val="18"/>
              </w:rPr>
              <w:t>50</w:t>
            </w:r>
          </w:p>
        </w:tc>
      </w:tr>
      <w:tr w:rsidR="006B1499" w:rsidRPr="004F1F9C">
        <w:tc>
          <w:tcPr>
            <w:tcW w:w="1915" w:type="dxa"/>
            <w:vAlign w:val="center"/>
          </w:tcPr>
          <w:p w:rsidR="006B1499" w:rsidRPr="004F1F9C" w:rsidRDefault="006B1499" w:rsidP="006B1499">
            <w:pPr>
              <w:keepNext/>
              <w:keepLines/>
              <w:jc w:val="center"/>
              <w:rPr>
                <w:szCs w:val="18"/>
              </w:rPr>
            </w:pPr>
            <w:r w:rsidRPr="004F1F9C">
              <w:rPr>
                <w:szCs w:val="18"/>
              </w:rPr>
              <w:t>Us at the moment</w:t>
            </w:r>
          </w:p>
        </w:tc>
        <w:tc>
          <w:tcPr>
            <w:tcW w:w="1915" w:type="dxa"/>
            <w:vAlign w:val="center"/>
          </w:tcPr>
          <w:p w:rsidR="006B1499" w:rsidRPr="004F1F9C" w:rsidRDefault="006B1499" w:rsidP="006B1499">
            <w:pPr>
              <w:keepNext/>
              <w:keepLines/>
              <w:jc w:val="center"/>
              <w:rPr>
                <w:szCs w:val="18"/>
              </w:rPr>
            </w:pPr>
            <w:r w:rsidRPr="004F1F9C">
              <w:rPr>
                <w:szCs w:val="18"/>
              </w:rPr>
              <w:t>Constant $2000 per Km</w:t>
            </w:r>
          </w:p>
        </w:tc>
        <w:tc>
          <w:tcPr>
            <w:tcW w:w="1915" w:type="dxa"/>
            <w:vAlign w:val="center"/>
          </w:tcPr>
          <w:p w:rsidR="006B1499" w:rsidRPr="004F1F9C" w:rsidRDefault="006B1499" w:rsidP="006B1499">
            <w:pPr>
              <w:keepNext/>
              <w:keepLines/>
              <w:jc w:val="center"/>
              <w:rPr>
                <w:szCs w:val="18"/>
              </w:rPr>
            </w:pPr>
            <w:r w:rsidRPr="004F1F9C">
              <w:rPr>
                <w:szCs w:val="18"/>
              </w:rPr>
              <w:t>150,000 below 3K income, rising to 400,000 above 13K</w:t>
            </w:r>
          </w:p>
        </w:tc>
        <w:tc>
          <w:tcPr>
            <w:tcW w:w="1915" w:type="dxa"/>
            <w:vAlign w:val="center"/>
          </w:tcPr>
          <w:p w:rsidR="006B1499" w:rsidRPr="004F1F9C" w:rsidRDefault="006B1499" w:rsidP="006B1499">
            <w:pPr>
              <w:keepNext/>
              <w:keepLines/>
              <w:jc w:val="center"/>
              <w:rPr>
                <w:szCs w:val="18"/>
              </w:rPr>
            </w:pPr>
          </w:p>
        </w:tc>
        <w:tc>
          <w:tcPr>
            <w:tcW w:w="1916" w:type="dxa"/>
            <w:vAlign w:val="center"/>
          </w:tcPr>
          <w:p w:rsidR="006B1499" w:rsidRPr="004F1F9C" w:rsidRDefault="006B1499" w:rsidP="006B1499">
            <w:pPr>
              <w:keepNext/>
              <w:keepLines/>
              <w:jc w:val="center"/>
              <w:rPr>
                <w:szCs w:val="18"/>
              </w:rPr>
            </w:pPr>
            <w:r w:rsidRPr="004F1F9C">
              <w:rPr>
                <w:szCs w:val="18"/>
              </w:rPr>
              <w:t>30</w:t>
            </w:r>
          </w:p>
        </w:tc>
      </w:tr>
      <w:tr w:rsidR="006B1499" w:rsidRPr="004F1F9C">
        <w:tc>
          <w:tcPr>
            <w:tcW w:w="9576" w:type="dxa"/>
            <w:gridSpan w:val="5"/>
          </w:tcPr>
          <w:p w:rsidR="006B1499" w:rsidRPr="004F1F9C" w:rsidRDefault="006B1499" w:rsidP="006B1499">
            <w:pPr>
              <w:jc w:val="center"/>
            </w:pPr>
          </w:p>
        </w:tc>
      </w:tr>
    </w:tbl>
    <w:p w:rsidR="006B1499" w:rsidRPr="004F1F9C" w:rsidRDefault="006B1499" w:rsidP="006B1499">
      <w:pPr>
        <w:jc w:val="center"/>
      </w:pPr>
    </w:p>
    <w:tbl>
      <w:tblPr>
        <w:tblStyle w:val="TableGrid"/>
        <w:tblW w:w="0" w:type="auto"/>
        <w:tblLook w:val="04A0"/>
      </w:tblPr>
      <w:tblGrid>
        <w:gridCol w:w="1915"/>
        <w:gridCol w:w="1915"/>
        <w:gridCol w:w="1915"/>
        <w:gridCol w:w="1915"/>
        <w:gridCol w:w="1916"/>
      </w:tblGrid>
      <w:tr w:rsidR="006B1499" w:rsidRPr="004F1F9C">
        <w:tc>
          <w:tcPr>
            <w:tcW w:w="9576" w:type="dxa"/>
            <w:gridSpan w:val="5"/>
          </w:tcPr>
          <w:p w:rsidR="006B1499" w:rsidRPr="004F1F9C" w:rsidRDefault="006B1499" w:rsidP="006B1499">
            <w:pPr>
              <w:jc w:val="center"/>
              <w:rPr>
                <w:b/>
              </w:rPr>
            </w:pPr>
            <w:r w:rsidRPr="004F1F9C">
              <w:rPr>
                <w:b/>
              </w:rPr>
              <w:t>T</w:t>
            </w:r>
            <w:r>
              <w:rPr>
                <w:b/>
              </w:rPr>
              <w:t>able 4.2 Unit costs and lifetimes for unpaved roads from other s</w:t>
            </w:r>
            <w:r w:rsidRPr="004F1F9C">
              <w:rPr>
                <w:b/>
              </w:rPr>
              <w:t>tudies</w:t>
            </w:r>
          </w:p>
        </w:tc>
      </w:tr>
      <w:tr w:rsidR="006B1499" w:rsidRPr="004F1F9C">
        <w:tc>
          <w:tcPr>
            <w:tcW w:w="1915" w:type="dxa"/>
            <w:vAlign w:val="bottom"/>
          </w:tcPr>
          <w:p w:rsidR="006B1499" w:rsidRPr="004F1F9C" w:rsidRDefault="006B1499" w:rsidP="006B1499">
            <w:pPr>
              <w:jc w:val="center"/>
            </w:pPr>
            <w:r w:rsidRPr="004F1F9C">
              <w:t>Study</w:t>
            </w:r>
          </w:p>
        </w:tc>
        <w:tc>
          <w:tcPr>
            <w:tcW w:w="1915" w:type="dxa"/>
            <w:vAlign w:val="center"/>
          </w:tcPr>
          <w:p w:rsidR="006B1499" w:rsidRPr="004F1F9C" w:rsidRDefault="006B1499" w:rsidP="006B1499">
            <w:pPr>
              <w:keepNext/>
              <w:keepLines/>
              <w:jc w:val="center"/>
            </w:pPr>
            <w:r w:rsidRPr="004F1F9C">
              <w:t>Units</w:t>
            </w:r>
          </w:p>
        </w:tc>
        <w:tc>
          <w:tcPr>
            <w:tcW w:w="1915" w:type="dxa"/>
            <w:vAlign w:val="center"/>
          </w:tcPr>
          <w:p w:rsidR="006B1499" w:rsidRPr="004F1F9C" w:rsidRDefault="006B1499" w:rsidP="006B1499">
            <w:pPr>
              <w:keepNext/>
              <w:keepLines/>
              <w:jc w:val="center"/>
            </w:pPr>
            <w:r>
              <w:t>Costs of new c</w:t>
            </w:r>
            <w:r w:rsidRPr="004F1F9C">
              <w:t>onstruction</w:t>
            </w:r>
          </w:p>
        </w:tc>
        <w:tc>
          <w:tcPr>
            <w:tcW w:w="1915" w:type="dxa"/>
            <w:vAlign w:val="center"/>
          </w:tcPr>
          <w:p w:rsidR="006B1499" w:rsidRPr="004F1F9C" w:rsidRDefault="006B1499" w:rsidP="006B1499">
            <w:pPr>
              <w:keepNext/>
              <w:keepLines/>
              <w:jc w:val="center"/>
            </w:pPr>
            <w:r>
              <w:t>Annual recurrent c</w:t>
            </w:r>
            <w:r w:rsidRPr="004F1F9C">
              <w:t>osts</w:t>
            </w:r>
          </w:p>
        </w:tc>
        <w:tc>
          <w:tcPr>
            <w:tcW w:w="1916" w:type="dxa"/>
            <w:vAlign w:val="center"/>
          </w:tcPr>
          <w:p w:rsidR="006B1499" w:rsidRPr="004F1F9C" w:rsidRDefault="006B1499" w:rsidP="006B1499">
            <w:pPr>
              <w:keepNext/>
              <w:keepLines/>
              <w:jc w:val="center"/>
            </w:pPr>
            <w:r>
              <w:t>Lifetime in y</w:t>
            </w:r>
            <w:r w:rsidRPr="004F1F9C">
              <w:t>ears</w:t>
            </w:r>
          </w:p>
        </w:tc>
      </w:tr>
      <w:tr w:rsidR="006B1499" w:rsidRPr="004F1F9C">
        <w:tc>
          <w:tcPr>
            <w:tcW w:w="1915" w:type="dxa"/>
            <w:vAlign w:val="center"/>
          </w:tcPr>
          <w:p w:rsidR="006B1499" w:rsidRPr="004F1F9C" w:rsidRDefault="006B1499" w:rsidP="006B1499">
            <w:pPr>
              <w:jc w:val="center"/>
            </w:pPr>
            <w:r w:rsidRPr="004F1F9C">
              <w:rPr>
                <w:szCs w:val="18"/>
              </w:rPr>
              <w:t xml:space="preserve">Yepes </w:t>
            </w:r>
            <w:r w:rsidR="00F7383F" w:rsidRPr="004F1F9C">
              <w:rPr>
                <w:szCs w:val="18"/>
              </w:rPr>
              <w:fldChar w:fldCharType="begin"/>
            </w:r>
            <w:r>
              <w:rPr>
                <w:szCs w:val="18"/>
              </w:rPr>
              <w:instrText xml:space="preserve"> ADDIN ZOTERO_ITEM CSL_CITATION {"citationID":"ifxE6JDL","properties":{"formattedCitation":"(2008, 7, 10, 11, 15)","plainCitation":"(2008, 7, 10, 11, 15)"},"citationItems":[{"id":716,"uris":["http://zotero.org/groups/4482/items/6FIFS46X"],"uri":["http://zotero.org/groups/4482/items/6FIFS46X"],"itemData":{"id":716,"type":"manuscript","title":"Investment Needs for Infrastructure in Developing Countries 2008-15","publisher-place":"Washington, DC","genre":"Draft","event-place":"Washington, DC","note":"World Bank","author":[{"family":"Yepes","given":"Tito"}],"issued":{"year":2008}},"locator":"7, 10, 11, 15","label":"page","suppress-author":true}],"schema":"https://github.com/citation-style-language/schema/raw/master/csl-citation.json"} </w:instrText>
            </w:r>
            <w:r w:rsidR="00F7383F" w:rsidRPr="004F1F9C">
              <w:rPr>
                <w:szCs w:val="18"/>
              </w:rPr>
              <w:fldChar w:fldCharType="separate"/>
            </w:r>
            <w:r w:rsidRPr="004F1F9C">
              <w:rPr>
                <w:szCs w:val="21"/>
              </w:rPr>
              <w:t>(2008, 7, 10, 11, 15)</w:t>
            </w:r>
            <w:r w:rsidR="00F7383F" w:rsidRPr="004F1F9C">
              <w:rPr>
                <w:szCs w:val="18"/>
              </w:rPr>
              <w:fldChar w:fldCharType="end"/>
            </w:r>
          </w:p>
        </w:tc>
        <w:tc>
          <w:tcPr>
            <w:tcW w:w="1915" w:type="dxa"/>
            <w:vAlign w:val="center"/>
          </w:tcPr>
          <w:p w:rsidR="006B1499" w:rsidRPr="004F1F9C" w:rsidRDefault="006B1499" w:rsidP="006B1499">
            <w:pPr>
              <w:jc w:val="center"/>
            </w:pPr>
            <w:r w:rsidRPr="004F1F9C">
              <w:rPr>
                <w:szCs w:val="18"/>
              </w:rPr>
              <w:t>Constant 2005 $US per Km</w:t>
            </w:r>
          </w:p>
        </w:tc>
        <w:tc>
          <w:tcPr>
            <w:tcW w:w="1915" w:type="dxa"/>
            <w:vAlign w:val="center"/>
          </w:tcPr>
          <w:p w:rsidR="006B1499" w:rsidRPr="004F1F9C" w:rsidRDefault="006B1499" w:rsidP="006B1499">
            <w:pPr>
              <w:jc w:val="center"/>
              <w:rPr>
                <w:szCs w:val="18"/>
              </w:rPr>
            </w:pPr>
            <w:r w:rsidRPr="004F1F9C">
              <w:rPr>
                <w:szCs w:val="18"/>
              </w:rPr>
              <w:t>50,000</w:t>
            </w:r>
          </w:p>
        </w:tc>
        <w:tc>
          <w:tcPr>
            <w:tcW w:w="1915" w:type="dxa"/>
            <w:vAlign w:val="center"/>
          </w:tcPr>
          <w:p w:rsidR="006B1499" w:rsidRPr="004F1F9C" w:rsidRDefault="006B1499" w:rsidP="006B1499">
            <w:pPr>
              <w:jc w:val="center"/>
              <w:rPr>
                <w:szCs w:val="18"/>
              </w:rPr>
            </w:pPr>
            <w:r w:rsidRPr="004F1F9C">
              <w:rPr>
                <w:szCs w:val="18"/>
              </w:rPr>
              <w:t>7.3%</w:t>
            </w:r>
          </w:p>
        </w:tc>
        <w:tc>
          <w:tcPr>
            <w:tcW w:w="1916" w:type="dxa"/>
            <w:vAlign w:val="center"/>
          </w:tcPr>
          <w:p w:rsidR="006B1499" w:rsidRPr="004F1F9C" w:rsidRDefault="006B1499" w:rsidP="006B1499">
            <w:pPr>
              <w:jc w:val="center"/>
              <w:rPr>
                <w:szCs w:val="18"/>
              </w:rPr>
            </w:pPr>
          </w:p>
        </w:tc>
      </w:tr>
      <w:tr w:rsidR="006B1499" w:rsidRPr="004F1F9C">
        <w:tc>
          <w:tcPr>
            <w:tcW w:w="1915" w:type="dxa"/>
            <w:vAlign w:val="center"/>
          </w:tcPr>
          <w:p w:rsidR="006B1499" w:rsidRPr="004F1F9C" w:rsidRDefault="006B1499" w:rsidP="006B1499">
            <w:pPr>
              <w:jc w:val="center"/>
              <w:rPr>
                <w:szCs w:val="18"/>
              </w:rPr>
            </w:pPr>
            <w:r w:rsidRPr="004F1F9C">
              <w:rPr>
                <w:szCs w:val="18"/>
              </w:rPr>
              <w:t xml:space="preserve">Hughes, Chinowsky, and Strzepek </w:t>
            </w:r>
            <w:r w:rsidR="00F7383F" w:rsidRPr="004F1F9C">
              <w:rPr>
                <w:szCs w:val="18"/>
              </w:rPr>
              <w:fldChar w:fldCharType="begin"/>
            </w:r>
            <w:r>
              <w:rPr>
                <w:szCs w:val="18"/>
              </w:rPr>
              <w:instrText xml:space="preserve"> ADDIN ZOTERO_ITEM CSL_CITATION {"citationID":"Z4lwfy36","properties":{"formattedCitation":"(2009)","plainCitation":"(2009)"},"citationItems":[{"id":975,"uris":["http://zotero.org/groups/4482/items/ZNDAXGEG"],"uri":["http://zotero.org/groups/4482/items/ZNDAXGEG"],"itemData":{"id":975,"type":"manuscript","title":"The Costs of Adapting to Climate Change for Infrastructure","publisher-place":"Washington, DC","genre":"Economics of Adaptation to Climate Change Discussion Paper no. 2","event-place":"Washington, DC","note":"World Bank","author":[{"family":"Hughes","given":"Gordon"},{"family":"Chinowsky","given":"Paul"},{"family":"Strzepek","given":"Ken"}],"issued":{"year":2009}},"suppress-author":true}],"schema":"https://github.com/citation-style-language/schema/raw/master/csl-citation.json"} </w:instrText>
            </w:r>
            <w:r w:rsidR="00F7383F" w:rsidRPr="004F1F9C">
              <w:rPr>
                <w:szCs w:val="18"/>
              </w:rPr>
              <w:fldChar w:fldCharType="separate"/>
            </w:r>
            <w:r w:rsidRPr="004F1F9C">
              <w:rPr>
                <w:rFonts w:cs="Calibri"/>
                <w:szCs w:val="21"/>
              </w:rPr>
              <w:t>(2009)</w:t>
            </w:r>
            <w:r w:rsidR="00F7383F" w:rsidRPr="004F1F9C">
              <w:rPr>
                <w:szCs w:val="18"/>
              </w:rPr>
              <w:fldChar w:fldCharType="end"/>
            </w:r>
            <w:r w:rsidRPr="004F1F9C">
              <w:rPr>
                <w:szCs w:val="18"/>
              </w:rPr>
              <w:t>*</w:t>
            </w:r>
          </w:p>
        </w:tc>
        <w:tc>
          <w:tcPr>
            <w:tcW w:w="1915" w:type="dxa"/>
            <w:vAlign w:val="center"/>
          </w:tcPr>
          <w:p w:rsidR="006B1499" w:rsidRPr="004F1F9C" w:rsidRDefault="006B1499" w:rsidP="006B1499">
            <w:pPr>
              <w:jc w:val="center"/>
              <w:rPr>
                <w:szCs w:val="18"/>
              </w:rPr>
            </w:pPr>
            <w:r w:rsidRPr="004F1F9C">
              <w:rPr>
                <w:szCs w:val="18"/>
              </w:rPr>
              <w:t>Constant $2005 US PPP per Km</w:t>
            </w:r>
          </w:p>
        </w:tc>
        <w:tc>
          <w:tcPr>
            <w:tcW w:w="1915" w:type="dxa"/>
            <w:vAlign w:val="center"/>
          </w:tcPr>
          <w:p w:rsidR="006B1499" w:rsidRPr="004F1F9C" w:rsidRDefault="006B1499" w:rsidP="006B1499">
            <w:pPr>
              <w:jc w:val="center"/>
              <w:rPr>
                <w:szCs w:val="18"/>
              </w:rPr>
            </w:pPr>
            <w:r w:rsidRPr="004F1F9C">
              <w:rPr>
                <w:szCs w:val="18"/>
              </w:rPr>
              <w:t>40,000</w:t>
            </w:r>
          </w:p>
        </w:tc>
        <w:tc>
          <w:tcPr>
            <w:tcW w:w="1915" w:type="dxa"/>
            <w:vAlign w:val="center"/>
          </w:tcPr>
          <w:p w:rsidR="006B1499" w:rsidRPr="004F1F9C" w:rsidRDefault="006B1499" w:rsidP="006B1499">
            <w:pPr>
              <w:jc w:val="center"/>
              <w:rPr>
                <w:szCs w:val="18"/>
              </w:rPr>
            </w:pPr>
            <w:r w:rsidRPr="004F1F9C">
              <w:rPr>
                <w:szCs w:val="18"/>
              </w:rPr>
              <w:t>5.7%</w:t>
            </w:r>
          </w:p>
        </w:tc>
        <w:tc>
          <w:tcPr>
            <w:tcW w:w="1916" w:type="dxa"/>
            <w:vAlign w:val="center"/>
          </w:tcPr>
          <w:p w:rsidR="006B1499" w:rsidRPr="004F1F9C" w:rsidRDefault="006B1499" w:rsidP="006B1499">
            <w:pPr>
              <w:jc w:val="center"/>
              <w:rPr>
                <w:szCs w:val="18"/>
              </w:rPr>
            </w:pPr>
            <w:r w:rsidRPr="004F1F9C">
              <w:rPr>
                <w:szCs w:val="18"/>
              </w:rPr>
              <w:t>10</w:t>
            </w:r>
          </w:p>
        </w:tc>
      </w:tr>
      <w:tr w:rsidR="006B1499" w:rsidRPr="004F1F9C">
        <w:tc>
          <w:tcPr>
            <w:tcW w:w="1915" w:type="dxa"/>
            <w:vAlign w:val="center"/>
          </w:tcPr>
          <w:p w:rsidR="006B1499" w:rsidRPr="004F1F9C" w:rsidRDefault="006B1499" w:rsidP="006B1499">
            <w:pPr>
              <w:jc w:val="center"/>
              <w:rPr>
                <w:szCs w:val="18"/>
              </w:rPr>
            </w:pPr>
            <w:r w:rsidRPr="004F1F9C">
              <w:rPr>
                <w:szCs w:val="18"/>
              </w:rPr>
              <w:t>Us at the moment</w:t>
            </w:r>
          </w:p>
        </w:tc>
        <w:tc>
          <w:tcPr>
            <w:tcW w:w="1915" w:type="dxa"/>
            <w:vAlign w:val="center"/>
          </w:tcPr>
          <w:p w:rsidR="006B1499" w:rsidRPr="004F1F9C" w:rsidRDefault="006B1499" w:rsidP="006B1499">
            <w:pPr>
              <w:jc w:val="center"/>
              <w:rPr>
                <w:szCs w:val="18"/>
              </w:rPr>
            </w:pPr>
            <w:r w:rsidRPr="004F1F9C">
              <w:rPr>
                <w:szCs w:val="18"/>
              </w:rPr>
              <w:t>Constant $2000 per Km</w:t>
            </w:r>
          </w:p>
        </w:tc>
        <w:tc>
          <w:tcPr>
            <w:tcW w:w="1915" w:type="dxa"/>
            <w:vAlign w:val="center"/>
          </w:tcPr>
          <w:p w:rsidR="006B1499" w:rsidRPr="004F1F9C" w:rsidRDefault="006B1499" w:rsidP="006B1499">
            <w:pPr>
              <w:jc w:val="center"/>
              <w:rPr>
                <w:szCs w:val="18"/>
              </w:rPr>
            </w:pPr>
            <w:r w:rsidRPr="004F1F9C">
              <w:rPr>
                <w:szCs w:val="18"/>
              </w:rPr>
              <w:t>20,000 below 3K income, rising to 50,000 above 13K</w:t>
            </w:r>
          </w:p>
        </w:tc>
        <w:tc>
          <w:tcPr>
            <w:tcW w:w="1915" w:type="dxa"/>
            <w:vAlign w:val="center"/>
          </w:tcPr>
          <w:p w:rsidR="006B1499" w:rsidRPr="004F1F9C" w:rsidRDefault="006B1499" w:rsidP="006B1499">
            <w:pPr>
              <w:jc w:val="center"/>
              <w:rPr>
                <w:szCs w:val="18"/>
              </w:rPr>
            </w:pPr>
          </w:p>
        </w:tc>
        <w:tc>
          <w:tcPr>
            <w:tcW w:w="1916" w:type="dxa"/>
            <w:vAlign w:val="center"/>
          </w:tcPr>
          <w:p w:rsidR="006B1499" w:rsidRPr="004F1F9C" w:rsidRDefault="006B1499" w:rsidP="006B1499">
            <w:pPr>
              <w:jc w:val="center"/>
              <w:rPr>
                <w:szCs w:val="18"/>
              </w:rPr>
            </w:pPr>
            <w:r w:rsidRPr="004F1F9C">
              <w:rPr>
                <w:szCs w:val="18"/>
              </w:rPr>
              <w:t>15</w:t>
            </w:r>
          </w:p>
        </w:tc>
      </w:tr>
      <w:tr w:rsidR="006B1499" w:rsidRPr="004F1F9C">
        <w:tc>
          <w:tcPr>
            <w:tcW w:w="9576" w:type="dxa"/>
            <w:gridSpan w:val="5"/>
          </w:tcPr>
          <w:p w:rsidR="006B1499" w:rsidRPr="004F1F9C" w:rsidRDefault="006B1499" w:rsidP="006B1499">
            <w:pPr>
              <w:jc w:val="center"/>
            </w:pPr>
          </w:p>
        </w:tc>
      </w:tr>
    </w:tbl>
    <w:p w:rsidR="006B1499" w:rsidRPr="004F1F9C" w:rsidRDefault="006B1499" w:rsidP="006B1499"/>
    <w:p w:rsidR="006B1499" w:rsidRPr="004F1F9C" w:rsidRDefault="006B1499" w:rsidP="006B1499">
      <w:pPr>
        <w:pStyle w:val="Heading4"/>
      </w:pPr>
      <w:bookmarkStart w:id="99" w:name="_Toc197147851"/>
      <w:bookmarkStart w:id="100" w:name="_Toc200095292"/>
      <w:r w:rsidRPr="004F1F9C">
        <w:t>4.3.2.2 Summary of unit cost data for improved water and sanitation</w:t>
      </w:r>
      <w:bookmarkEnd w:id="99"/>
      <w:bookmarkEnd w:id="100"/>
      <w:r w:rsidRPr="004F1F9C">
        <w:t xml:space="preserve"> </w:t>
      </w:r>
    </w:p>
    <w:p w:rsidR="00A84F12" w:rsidRDefault="006B1499" w:rsidP="006B1499">
      <w:r w:rsidRPr="004F1F9C">
        <w:t xml:space="preserve">In a series of studies, Hutton and colleagues </w:t>
      </w:r>
      <w:r w:rsidR="00F7383F" w:rsidRPr="004F1F9C">
        <w:fldChar w:fldCharType="begin"/>
      </w:r>
      <w:r>
        <w:instrText xml:space="preserve"> ADDIN ZOTERO_ITEM CSL_CITATION {"citationID":"sKzFbJrE","properties":{"formattedCitation":"(Hutton and Haller 2004; Hutton et al. 2006; Hutton, Haller, and Bartram 2007; Haller, Hutton, and Bartram 2007; Hutton and Bartram 2008a; Hutton and Bartram 2008b)","plainCitation":"(Hutton and Haller 2004; Hutton et al. 2006; Hutton, Haller, and Bartram 2007; Haller, Hutton, and Bartram 2007; Hutton and Bartram 2008a; Hutton and Bartram 2008b)"},"citationItems":[{"id":292,"uris":["http://zotero.org/groups/4482/items/8A5B2TF5"],"uri":["http://zotero.org/groups/4482/items/8A5B2TF5"],"itemData":{"id":292,"type":"report","title":"Evaluation of the Costs and Benefits of Water and Sanitation Improvements at the Global Level","collection-title":"Water, Sanitation and Health Protection of the Human Environment","publisher":"World Health Organization (WHO)","publisher-place":"Geneva","event-place":"Geneva","author":[{"family":"Hutton","given":"Guy"},{"family":"Haller","given":"Laurence"}],"issued":{"year":2004}},"label":"page"},{"id":1255,"uris":["http://zotero.org/groups/4482/items/9KHQTSTG"],"uri":["http://zotero.org/groups/4482/items/9KHQTSTG"],"itemData":{"id":1255,"type":"book","title":"Evaluation of the Costs and Benefits of Household Energy and Health Interventions at Global and Regional Levels","publisher":"World Health Organization (WHO)","publisher-place":"Geneva","event-place":"Geneva","author":[{"family":"Hutton","given":"Guy"},{"family":"Rehfuess","given":"Eva"},{"family":"Tediosi","given":"Fabriozo"},{"family":"Weiss","given":"Svenja"}],"issued":{"year":2006}},"label":"page"},{"id":325,"uris":["http://zotero.org/groups/4482/items/A3SGDX8U"],"uri":["http://zotero.org/groups/4482/items/A3SGDX8U"],"itemData":{"id":325,"type":"article-journal","title":"Global Cost-Benefit Analysis of Water Supply and Sanitation Interventions","container-title":"Journal of Water &amp; Health","page":"481-502","volume":"5","issue":"4","abstract":"The aim of this study was to estimate the economic benefits and costs of a range of interventions to improve access to water supply and sanitation facilities in the developing world. Results are presented for eleven developing country WHO sub-regions as well as at the global level, in United States Dollars (US$) for the year 2000. Five different types of water supply and sanitation improvement were modelled: achieving the water millennium development goal of reducing by half in 2015 those without improved water supply in the year 1990; achieving the combined water supply and sanitation MDG; universal basic access to water supply and sanitation; universal basic access plus water purification at the point-of-use; and regulated piped water supply and sewer connection. Predicted reductions in the incidence of diarrhoeal disease were calculated based on the expected population receiving these interventions. The costs of the interventions included estimations of the full investment and annual running costs. The benefits of the interventions included time savings due to easier access, gain in productive time and reduced health care costs saved due to less illness, and prevented deaths. The results show that all water and sanitation improvements are cost-beneficial in all developing world sub-regions. In developing regions, the return on a US$1 investment was in the range US$5 to US$46, depending on the intervention. For the least developed regions, investing every US$1 to meet the combined water supply and sanitation MDG lead to a return of at least US$5 (AFR-D, AFR-E, SEAR-D) or US$12 (AMR-B; EMR-B; WPR-B). The main contributor to economic benefits was time savings associated with better access to water and sanitation services, contributing at least 80% to overall economic benefits. One-way sensitivity analysis showed that even under pessimistic data assumptions the potential economic benefits outweighed the costs in all developing world regions. Further country case-studies are recommended as a follow up to this global analysis. [ABSTRACT FROM AUTHOR]","DOI":"10.2166/wh.2007.009","author":[{"family":"Hutton","given":"Guy"},{"family":"Haller","given":"Laurence"},{"family":"Bartram","given":"Jamie"}],"issued":{"year":2007},"accessed":{"year":2010,"month":3,"day":24},"page-first":"481"},"label":"page"},{"id":244,"uris":["http://zotero.org/groups/4482/items/5VNV95XW"],"uri":["http://zotero.org/groups/4482/items/5VNV95XW"],"itemData":{"id":244,"type":"article-journal","title":"Estimating the Costs and Health Benefits of Water and Sanitation Improvements at Global Level","container-title":"Journal of Water &amp; Health","page":"467-480","volume":"5","issue":"4","abstract":"The aim of this study was to estimate the costs and the health benefits of the following interventions: increasing access to improved water supply and sanitation facilities, increasing access to in house piped water and sewerage connection, and providing household water treatment, in ten WHO sub-regions. The cost-effectiveness of each intervention was assessed in terms of US dollars per disability adjusted life year (DALY) averted. This analysis found that almost all interventions were cost-effective, especially in developing countries with high mortality rates. The estimated cost-effectiveness ratio (CER) varied between US$20 per DALY averted for disinfection at point of use to US$13,000 per DALY averted for improved water and sanitation facilities. While increasing access to piped water supply and sewage connections on plot was the intervention that had the largest health impact across all sub-regions, household water treatment was found to be the most cost-effective intervention. A policy shift to include better household water quality management to complement the continuing expansion of coverage and upgrading of services would appear to be a cost-effective health intervention in many developing countries. [ABSTRACT FROM AUTHOR]","DOI":"10.2166/wh.2007.008","author":[{"family":"Haller","given":"Laurence"},{"family":"Hutton","given":"Guy"},{"family":"Bartram","given":"Jamie"}],"issued":{"year":2007},"accessed":{"year":2010,"month":3,"day":24},"page-first":"467"},"label":"page"},{"id":421,"uris":["http://zotero.org/groups/4482/items/GDR4269T"],"uri":["http://zotero.org/groups/4482/items/GDR4269T"],"itemData":{"id":421,"type":"article-journal","title":"Global Costs of Attaining the Millennium Development Goal for Water Supply and Sanitation","container-title":"Bulletin of the World Health Organization","page":"13-19","volume":"86","issue":"1","DOI":"DOI: 10.2471/BLT.07.046045","note":"PMID: 18235885\nPMCID: 2647341","author":[{"family":"Hutton","given":"Guy"},{"family":"Bartram","given":"Jamie"}],"issued":{"year":2008},"page-first":"13"},"label":"page"},{"id":440,"uris":["http://zotero.org/groups/4482/items/HQV396NT"],"uri":["http://zotero.org/groups/4482/items/HQV396NT"],"itemData":{"id":440,"type":"report","title":"Regional and Global Costs of Attaining the Water Supply and Sanitation Target (Target 10) of the Millennium Development Goals","publisher":"World Health Organisation","publisher-place":"Geneva","event-place":"Geneva","author":[{"family":"Hutton","given":"Guy"},{"family":"Bartram","given":"Jamie"}],"issued":{"year":2008}},"label":"page"}],"schema":"https://github.com/citation-style-language/schema/raw/master/csl-citation.json"} </w:instrText>
      </w:r>
      <w:r w:rsidR="00F7383F" w:rsidRPr="004F1F9C">
        <w:fldChar w:fldCharType="separate"/>
      </w:r>
      <w:r w:rsidRPr="004F1F9C">
        <w:rPr>
          <w:rFonts w:cs="Calibri"/>
          <w:szCs w:val="21"/>
        </w:rPr>
        <w:t>(Hutton and Haller 2004; Hutton et al. 2006; Hutton, Haller, and Bartram 2007; Haller, Hutton, and Bartram 2007; Hutton and Bartram 2008a; Hutton and Bartram 2008b)</w:t>
      </w:r>
      <w:r w:rsidR="00F7383F" w:rsidRPr="004F1F9C">
        <w:fldChar w:fldCharType="end"/>
      </w:r>
      <w:r w:rsidRPr="004F1F9C">
        <w:t xml:space="preserve"> explored the costs of meeting the 2015 water and sanitation MDGs. In these documents, they provided per capita costs for both capital investments in new facilities and annual recurrent costs (operation and maintenance, surveillance, and education) for various types of improvement and for three regions: Africa, Asia, and Latin America and the Caribbean. The capital costs were taken from the cost survey reported in the Global Water Supply and Sanitation Assessment 2000 Report </w:t>
      </w:r>
      <w:r w:rsidR="00F7383F" w:rsidRPr="004F1F9C">
        <w:fldChar w:fldCharType="begin"/>
      </w:r>
      <w:r>
        <w:instrText xml:space="preserve"> ADDIN ZOTERO_ITEM CSL_CITATION {"citationID":"dlDdHVRw","properties":{"formattedCitation":"(WHO/UNICEF Joint Monitoring Program for Water Supply and Sanitation 2000)","plainCitation":"(WHO/UNICEF Joint Monitoring Program for Water Supply and Sanitation 2000)"},"citationItems":[{"id":16,"uris":["http://zotero.org/groups/4482/items/4TFJ548M"],"uri":["http://zotero.org/groups/4482/items/4TFJ548M"],"itemData":{"id":16,"type":"book","title":"Global Water Supply and Sanitation Assessment 2000 Report","publisher":"World Health Organization (WHO) and United Nations Children's Fund (UNICEF)","publisher-place":"Geneva, Switzerland","event-place":"Geneva, Switzerland","ISBN":"9241562021","author":[{"family":"WHO/UNICEF Joint Monitoring Program for Water Supply and Sanitation","given":""}],"issued":{"year":2000}}}],"schema":"https://github.com/citation-style-language/schema/raw/master/csl-citation.json"} </w:instrText>
      </w:r>
      <w:r w:rsidR="00F7383F" w:rsidRPr="004F1F9C">
        <w:fldChar w:fldCharType="separate"/>
      </w:r>
      <w:r w:rsidRPr="004F1F9C">
        <w:rPr>
          <w:rFonts w:cs="Calibri"/>
          <w:szCs w:val="21"/>
        </w:rPr>
        <w:t>(WHO/UNICEF Joint Monitoring Program for Water Supply and Sanitation 2000)</w:t>
      </w:r>
      <w:r w:rsidR="00F7383F" w:rsidRPr="004F1F9C">
        <w:fldChar w:fldCharType="end"/>
      </w:r>
      <w:r w:rsidRPr="004F1F9C">
        <w:t xml:space="preserve"> and the annual recurrent costs were derived from a range of previous studies </w:t>
      </w:r>
      <w:r w:rsidR="00F7383F" w:rsidRPr="004F1F9C">
        <w:fldChar w:fldCharType="begin"/>
      </w:r>
      <w:r>
        <w:instrText xml:space="preserve"> ADDIN ZOTERO_ITEM CSL_CITATION {"citationID":"iMQLOncd","properties":{"formattedCitation":"{\\rtf (Hutton and Bartram 2008b, 6\\uc0\\u8211{}7)}","plainCitation":"(Hutton and Bartram 2008b, 6–7)"},"citationItems":[{"id":440,"uris":["http://zotero.org/groups/4482/items/HQV396NT"],"uri":["http://zotero.org/groups/4482/items/HQV396NT"],"itemData":{"id":440,"type":"report","title":"Regional and Global Costs of Attaining the Water Supply and Sanitation Target (Target 10) of the Millennium Development Goals","publisher":"World Health Organisation","publisher-place":"Geneva","event-place":"Geneva","author":[{"family":"Hutton","given":"Guy"},{"family":"Bartram","given":"Jamie"}],"issued":{"year":2008}},"locator":"6-7","label":"page"}],"schema":"https://github.com/citation-style-language/schema/raw/master/csl-citation.json"} </w:instrText>
      </w:r>
      <w:r w:rsidR="00F7383F" w:rsidRPr="004F1F9C">
        <w:fldChar w:fldCharType="separate"/>
      </w:r>
      <w:r w:rsidRPr="004F1F9C">
        <w:rPr>
          <w:rFonts w:cs="Calibri"/>
          <w:szCs w:val="24"/>
        </w:rPr>
        <w:t>(Hutton and Bartram 2008b, 6–7)</w:t>
      </w:r>
      <w:r w:rsidR="00F7383F" w:rsidRPr="004F1F9C">
        <w:fldChar w:fldCharType="end"/>
      </w:r>
      <w:r w:rsidRPr="004F1F9C">
        <w:t xml:space="preserve">. In Hutton and Bartram </w:t>
      </w:r>
      <w:r w:rsidR="00F7383F" w:rsidRPr="004F1F9C">
        <w:fldChar w:fldCharType="begin"/>
      </w:r>
      <w:r>
        <w:instrText xml:space="preserve"> ADDIN ZOTERO_ITEM CSL_CITATION {"citationID":"7hK03Fy9","properties":{"formattedCitation":"(2008a, 14)","plainCitation":"(2008a, 14)"},"citationItems":[{"id":421,"uris":["http://zotero.org/groups/4482/items/GDR4269T"],"uri":["http://zotero.org/groups/4482/items/GDR4269T"],"itemData":{"id":421,"type":"article-journal","title":"Global Costs of Attaining the Millennium Development Goal for Water Supply and Sanitation","container-title":"Bulletin of the World Health Organization","page":"13-19","volume":"86","issue":"1","DOI":"DOI: 10.2471/BLT.07.046045","note":"PMID: 18235885\nPMCID: 2647341","author":[{"family":"Hutton","given":"Guy"},{"family":"Bartram","given":"Jamie"}],"issued":{"year":2008},"page-first":"13"},"locator":"14","label":"page","suppress-author":true}],"schema":"https://github.com/citation-style-language/schema/raw/master/csl-citation.json"} </w:instrText>
      </w:r>
      <w:r w:rsidR="00F7383F" w:rsidRPr="004F1F9C">
        <w:fldChar w:fldCharType="separate"/>
      </w:r>
      <w:r w:rsidRPr="004F1F9C">
        <w:rPr>
          <w:rFonts w:cs="Calibri"/>
          <w:szCs w:val="21"/>
        </w:rPr>
        <w:t>(2008a, 14)</w:t>
      </w:r>
      <w:r w:rsidR="00F7383F" w:rsidRPr="004F1F9C">
        <w:fldChar w:fldCharType="end"/>
      </w:r>
      <w:r w:rsidRPr="004F1F9C">
        <w:t>, they also took into account periodic replacement of existing facilities.</w:t>
      </w:r>
    </w:p>
    <w:p w:rsidR="006B1499" w:rsidRPr="004F1F9C" w:rsidRDefault="006B1499" w:rsidP="006B1499"/>
    <w:p w:rsidR="00A84F12" w:rsidRDefault="006B1499" w:rsidP="006B1499">
      <w:r w:rsidRPr="004F1F9C">
        <w:t xml:space="preserve">Table 4.3 summarizes the costs they used in the most recent of these analyses </w:t>
      </w:r>
      <w:r w:rsidR="00F7383F" w:rsidRPr="004F1F9C">
        <w:fldChar w:fldCharType="begin"/>
      </w:r>
      <w:r>
        <w:instrText xml:space="preserve"> ADDIN ZOTERO_ITEM CSL_CITATION {"citationID":"T4XRH3VV","properties":{"formattedCitation":"(Hutton and Bartram 2008a)","plainCitation":"(Hutton and Bartram 2008a)"},"citationItems":[{"id":421,"uris":["http://zotero.org/groups/4482/items/GDR4269T"],"uri":["http://zotero.org/groups/4482/items/GDR4269T"],"itemData":{"id":421,"type":"article-journal","title":"Global Costs of Attaining the Millennium Development Goal for Water Supply and Sanitation","container-title":"Bulletin of the World Health Organization","page":"13-19","volume":"86","issue":"1","DOI":"DOI: 10.2471/BLT.07.046045","note":"PMID: 18235885\nPMCID: 2647341","author":[{"family":"Hutton","given":"Guy"},{"family":"Bartram","given":"Jamie"}],"issued":{"year":2008},"page-first":"13"}}],"schema":"https://github.com/citation-style-language/schema/raw/master/csl-citation.json"} </w:instrText>
      </w:r>
      <w:r w:rsidR="00F7383F" w:rsidRPr="004F1F9C">
        <w:fldChar w:fldCharType="separate"/>
      </w:r>
      <w:r w:rsidRPr="004F1F9C">
        <w:rPr>
          <w:rFonts w:cs="Calibri"/>
          <w:szCs w:val="21"/>
        </w:rPr>
        <w:t>(Hutton and Bartram 2008a)</w:t>
      </w:r>
      <w:r w:rsidR="00F7383F" w:rsidRPr="004F1F9C">
        <w:fldChar w:fldCharType="end"/>
      </w:r>
      <w:r w:rsidRPr="004F1F9C">
        <w:t>. (Note that they did not use different costs for different regions; the regional estimates from the 2000 Global Assessment report were only used to provide the ranges shown in the Table 4.3). They used these ranges, along with other assumptions about, for example, type of coverage (household or other) to define a set of scenarios. They also included program costs, which they defined as “costs incurred at a level other than the delivery point of an intervention to beneficiaries and include costs incurred at the district, provincial or central administration leve</w:t>
      </w:r>
      <w:r>
        <w:t>l</w:t>
      </w:r>
      <w:r w:rsidRPr="004F1F9C">
        <w:t xml:space="preserve">” </w:t>
      </w:r>
      <w:r w:rsidR="00F7383F" w:rsidRPr="004F1F9C">
        <w:fldChar w:fldCharType="begin"/>
      </w:r>
      <w:r>
        <w:instrText xml:space="preserve"> ADDIN ZOTERO_ITEM CSL_CITATION {"citationID":"vqw0Folh","properties":{"formattedCitation":"(Hutton and Bartram 2008b, 7)","plainCitation":"(Hutton and Bartram 2008b, 7)"},"citationItems":[{"id":440,"uris":["http://zotero.org/groups/4482/items/HQV396NT"],"uri":["http://zotero.org/groups/4482/items/HQV396NT"],"itemData":{"id":440,"type":"report","title":"Regional and Global Costs of Attaining the Water Supply and Sanitation Target (Target 10) of the Millennium Development Goals","publisher":"World Health Organisation","publisher-place":"Geneva","event-place":"Geneva","author":[{"family":"Hutton","given":"Guy"},{"family":"Bartram","given":"Jamie"}],"issued":{"year":2008}},"locator":"7","label":"page"}],"schema":"https://github.com/citation-style-language/schema/raw/master/csl-citation.json"} </w:instrText>
      </w:r>
      <w:r w:rsidR="00F7383F" w:rsidRPr="004F1F9C">
        <w:fldChar w:fldCharType="separate"/>
      </w:r>
      <w:r w:rsidRPr="004F1F9C">
        <w:rPr>
          <w:rFonts w:cs="Calibri"/>
          <w:szCs w:val="21"/>
        </w:rPr>
        <w:t>(Hutton and Bartram 2008b, 7)</w:t>
      </w:r>
      <w:r w:rsidR="00F7383F" w:rsidRPr="004F1F9C">
        <w:fldChar w:fldCharType="end"/>
      </w:r>
      <w:r w:rsidRPr="004F1F9C">
        <w:t>. Due to high degrees of uncertainties, these were not included in their base case scenario. In the scenarios in which these were included, they ranged from 10 to 30 percent.</w:t>
      </w:r>
    </w:p>
    <w:p w:rsidR="006B1499" w:rsidRPr="004F1F9C" w:rsidRDefault="006B1499" w:rsidP="006B1499"/>
    <w:p w:rsidR="00053A06" w:rsidRDefault="006B1499" w:rsidP="006B1499">
      <w:r w:rsidRPr="004F1F9C">
        <w:t xml:space="preserve">Table 4.4 summarizes the costs and lifetimes of improved water and sanitation used in previous studies exploring future demands for infrastructure. With the exception of Ashley and Cashman </w:t>
      </w:r>
      <w:r w:rsidR="00F7383F" w:rsidRPr="004F1F9C">
        <w:fldChar w:fldCharType="begin"/>
      </w:r>
      <w:r>
        <w:instrText xml:space="preserve"> ADDIN ZOTERO_ITEM CSL_CITATION {"citationID":"7Ux6Tvr4","properties":{"formattedCitation":"(2006)","plainCitation":"(2006)"},"citationItems":[{"id":29,"uris":["http://zotero.org/groups/4482/items/4UR7B79N"],"uri":["http://zotero.org/groups/4482/items/4UR7B79N"],"itemData":{"id":29,"type":"chapter","title":"The Impacts of Change on the Long-term Future Demand for Water Sector Infrastructure","container-title":"Infrastructure to 2030 Volume 1: Telecom, Land Transport, Water and Electricity","collection-title":"Infrastructure to 2030","publisher":"Organisation for Economic Cooperation and Development (OECD)","publisher-place":"Paris","page":"241-349","event-place":"Paris","ISBN":"9264023984","call-number":"0000","editor":[{"family":"Organisation for Economic Cooperation and Development (OECD)","given":""}],"author":[{"family":"Ashley","given":"Richard"},{"family":"Cashman","given":"Adrian"}],"issued":{"year":2006},"page-first":"241"},"suppress-author":true}],"schema":"https://github.com/citation-style-language/schema/raw/master/csl-citation.json"} </w:instrText>
      </w:r>
      <w:r w:rsidR="00F7383F" w:rsidRPr="004F1F9C">
        <w:fldChar w:fldCharType="separate"/>
      </w:r>
      <w:r w:rsidRPr="004F1F9C">
        <w:rPr>
          <w:rFonts w:cs="Calibri"/>
          <w:szCs w:val="21"/>
        </w:rPr>
        <w:t>(2006)</w:t>
      </w:r>
      <w:r w:rsidR="00F7383F" w:rsidRPr="004F1F9C">
        <w:fldChar w:fldCharType="end"/>
      </w:r>
      <w:r w:rsidRPr="004F1F9C">
        <w:t>, these studies focused on developing countries.</w:t>
      </w:r>
    </w:p>
    <w:p w:rsidR="006B1499" w:rsidRPr="004F1F9C" w:rsidRDefault="006B1499" w:rsidP="006B1499"/>
    <w:tbl>
      <w:tblPr>
        <w:tblStyle w:val="TableGrid"/>
        <w:tblW w:w="0" w:type="auto"/>
        <w:tblLook w:val="04A0"/>
      </w:tblPr>
      <w:tblGrid>
        <w:gridCol w:w="2538"/>
        <w:gridCol w:w="2250"/>
        <w:gridCol w:w="2394"/>
        <w:gridCol w:w="1935"/>
      </w:tblGrid>
      <w:tr w:rsidR="006B1499" w:rsidRPr="00066D77">
        <w:tc>
          <w:tcPr>
            <w:tcW w:w="9117" w:type="dxa"/>
            <w:gridSpan w:val="4"/>
            <w:vAlign w:val="center"/>
          </w:tcPr>
          <w:p w:rsidR="006B1499" w:rsidRPr="00066D77" w:rsidRDefault="006B1499" w:rsidP="006B1499">
            <w:pPr>
              <w:rPr>
                <w:b/>
              </w:rPr>
            </w:pPr>
            <w:r>
              <w:rPr>
                <w:b/>
              </w:rPr>
              <w:t>Table 4.3 Unit costs and lifetimes for improved water and s</w:t>
            </w:r>
            <w:r w:rsidRPr="00066D77">
              <w:rPr>
                <w:b/>
              </w:rPr>
              <w:t>anitation from Hutton and Bartram</w:t>
            </w:r>
          </w:p>
        </w:tc>
      </w:tr>
      <w:tr w:rsidR="006B1499" w:rsidRPr="00066D77">
        <w:tc>
          <w:tcPr>
            <w:tcW w:w="2538" w:type="dxa"/>
          </w:tcPr>
          <w:p w:rsidR="006B1499" w:rsidRPr="00066D77" w:rsidRDefault="006B1499" w:rsidP="006B1499"/>
        </w:tc>
        <w:tc>
          <w:tcPr>
            <w:tcW w:w="2250" w:type="dxa"/>
            <w:vAlign w:val="center"/>
          </w:tcPr>
          <w:p w:rsidR="006B1499" w:rsidRPr="00066D77" w:rsidRDefault="006B1499" w:rsidP="006B1499">
            <w:pPr>
              <w:jc w:val="center"/>
            </w:pPr>
            <w:r>
              <w:t>Initial i</w:t>
            </w:r>
            <w:r w:rsidRPr="00066D77">
              <w:t>nvestment</w:t>
            </w:r>
          </w:p>
        </w:tc>
        <w:tc>
          <w:tcPr>
            <w:tcW w:w="2394" w:type="dxa"/>
            <w:vAlign w:val="center"/>
          </w:tcPr>
          <w:p w:rsidR="006B1499" w:rsidRPr="00066D77" w:rsidRDefault="006B1499" w:rsidP="006B1499">
            <w:pPr>
              <w:jc w:val="center"/>
            </w:pPr>
            <w:r>
              <w:t>Annual recurrent c</w:t>
            </w:r>
            <w:r w:rsidRPr="00066D77">
              <w:t>osts</w:t>
            </w:r>
          </w:p>
        </w:tc>
        <w:tc>
          <w:tcPr>
            <w:tcW w:w="1935" w:type="dxa"/>
            <w:vAlign w:val="center"/>
          </w:tcPr>
          <w:p w:rsidR="006B1499" w:rsidRPr="00066D77" w:rsidRDefault="006B1499" w:rsidP="006B1499">
            <w:pPr>
              <w:jc w:val="center"/>
            </w:pPr>
            <w:r w:rsidRPr="00066D77">
              <w:t>Lifetime</w:t>
            </w:r>
          </w:p>
        </w:tc>
      </w:tr>
      <w:tr w:rsidR="006B1499" w:rsidRPr="00066D77">
        <w:tc>
          <w:tcPr>
            <w:tcW w:w="2538" w:type="dxa"/>
          </w:tcPr>
          <w:p w:rsidR="006B1499" w:rsidRPr="00066D77" w:rsidRDefault="006B1499" w:rsidP="006B1499"/>
        </w:tc>
        <w:tc>
          <w:tcPr>
            <w:tcW w:w="2250" w:type="dxa"/>
            <w:vAlign w:val="center"/>
          </w:tcPr>
          <w:p w:rsidR="006B1499" w:rsidRPr="00066D77" w:rsidRDefault="006B1499" w:rsidP="006B1499">
            <w:pPr>
              <w:jc w:val="center"/>
            </w:pPr>
            <w:r w:rsidRPr="00066D77">
              <w:t>US$2005 per capita</w:t>
            </w:r>
          </w:p>
        </w:tc>
        <w:tc>
          <w:tcPr>
            <w:tcW w:w="2394" w:type="dxa"/>
            <w:vAlign w:val="center"/>
          </w:tcPr>
          <w:p w:rsidR="006B1499" w:rsidRPr="00066D77" w:rsidRDefault="006B1499" w:rsidP="006B1499">
            <w:pPr>
              <w:jc w:val="center"/>
            </w:pPr>
            <w:r w:rsidRPr="00066D77">
              <w:t>US$2005 per capita</w:t>
            </w:r>
          </w:p>
        </w:tc>
        <w:tc>
          <w:tcPr>
            <w:tcW w:w="1935" w:type="dxa"/>
            <w:vAlign w:val="center"/>
          </w:tcPr>
          <w:p w:rsidR="006B1499" w:rsidRPr="00066D77" w:rsidRDefault="006B1499" w:rsidP="006B1499">
            <w:pPr>
              <w:jc w:val="center"/>
            </w:pPr>
            <w:r w:rsidRPr="00066D77">
              <w:t>Years</w:t>
            </w:r>
          </w:p>
        </w:tc>
      </w:tr>
      <w:tr w:rsidR="006B1499" w:rsidRPr="00066D77">
        <w:tc>
          <w:tcPr>
            <w:tcW w:w="2538" w:type="dxa"/>
          </w:tcPr>
          <w:p w:rsidR="006B1499" w:rsidRPr="00066D77" w:rsidRDefault="006B1499" w:rsidP="006B1499">
            <w:r>
              <w:t>Improved w</w:t>
            </w:r>
            <w:r w:rsidRPr="00066D77">
              <w:t>ater</w:t>
            </w:r>
          </w:p>
        </w:tc>
        <w:tc>
          <w:tcPr>
            <w:tcW w:w="2250" w:type="dxa"/>
          </w:tcPr>
          <w:p w:rsidR="006B1499" w:rsidRPr="00066D77" w:rsidRDefault="006B1499" w:rsidP="006B1499"/>
        </w:tc>
        <w:tc>
          <w:tcPr>
            <w:tcW w:w="2394" w:type="dxa"/>
          </w:tcPr>
          <w:p w:rsidR="006B1499" w:rsidRPr="00066D77" w:rsidRDefault="006B1499" w:rsidP="006B1499"/>
        </w:tc>
        <w:tc>
          <w:tcPr>
            <w:tcW w:w="1935" w:type="dxa"/>
          </w:tcPr>
          <w:p w:rsidR="006B1499" w:rsidRPr="00066D77" w:rsidRDefault="006B1499" w:rsidP="006B1499"/>
        </w:tc>
      </w:tr>
      <w:tr w:rsidR="006B1499" w:rsidRPr="00066D77">
        <w:tc>
          <w:tcPr>
            <w:tcW w:w="2538" w:type="dxa"/>
          </w:tcPr>
          <w:p w:rsidR="006B1499" w:rsidRPr="00066D77" w:rsidRDefault="006B1499" w:rsidP="006B1499">
            <w:r>
              <w:t xml:space="preserve">   Household c</w:t>
            </w:r>
            <w:r w:rsidRPr="00066D77">
              <w:t>onnection</w:t>
            </w:r>
          </w:p>
        </w:tc>
        <w:tc>
          <w:tcPr>
            <w:tcW w:w="2250" w:type="dxa"/>
            <w:vAlign w:val="center"/>
          </w:tcPr>
          <w:p w:rsidR="006B1499" w:rsidRPr="00066D77" w:rsidRDefault="006B1499" w:rsidP="006B1499">
            <w:pPr>
              <w:jc w:val="center"/>
            </w:pPr>
            <w:r w:rsidRPr="00066D77">
              <w:t>148-232</w:t>
            </w:r>
          </w:p>
        </w:tc>
        <w:tc>
          <w:tcPr>
            <w:tcW w:w="2394" w:type="dxa"/>
            <w:vAlign w:val="center"/>
          </w:tcPr>
          <w:p w:rsidR="006B1499" w:rsidRPr="00066D77" w:rsidRDefault="006B1499" w:rsidP="006B1499">
            <w:pPr>
              <w:jc w:val="center"/>
            </w:pPr>
            <w:r w:rsidRPr="00066D77">
              <w:t>9.6-14.6</w:t>
            </w:r>
          </w:p>
        </w:tc>
        <w:tc>
          <w:tcPr>
            <w:tcW w:w="1935" w:type="dxa"/>
            <w:vAlign w:val="center"/>
          </w:tcPr>
          <w:p w:rsidR="006B1499" w:rsidRPr="00066D77" w:rsidRDefault="006B1499" w:rsidP="006B1499">
            <w:pPr>
              <w:jc w:val="center"/>
            </w:pPr>
            <w:r w:rsidRPr="00066D77">
              <w:t>40</w:t>
            </w:r>
          </w:p>
        </w:tc>
      </w:tr>
      <w:tr w:rsidR="006B1499" w:rsidRPr="00066D77">
        <w:tc>
          <w:tcPr>
            <w:tcW w:w="2538" w:type="dxa"/>
          </w:tcPr>
          <w:p w:rsidR="006B1499" w:rsidRPr="00066D77" w:rsidRDefault="006B1499" w:rsidP="006B1499">
            <w:r>
              <w:t xml:space="preserve">   Other i</w:t>
            </w:r>
            <w:r w:rsidRPr="00066D77">
              <w:t>mprovement</w:t>
            </w:r>
          </w:p>
        </w:tc>
        <w:tc>
          <w:tcPr>
            <w:tcW w:w="2250" w:type="dxa"/>
            <w:vAlign w:val="center"/>
          </w:tcPr>
          <w:p w:rsidR="006B1499" w:rsidRPr="00066D77" w:rsidRDefault="006B1499" w:rsidP="006B1499">
            <w:pPr>
              <w:jc w:val="center"/>
            </w:pPr>
            <w:r w:rsidRPr="00066D77">
              <w:t>50-72</w:t>
            </w:r>
          </w:p>
        </w:tc>
        <w:tc>
          <w:tcPr>
            <w:tcW w:w="2394" w:type="dxa"/>
            <w:vAlign w:val="center"/>
          </w:tcPr>
          <w:p w:rsidR="006B1499" w:rsidRPr="00066D77" w:rsidRDefault="006B1499" w:rsidP="006B1499">
            <w:pPr>
              <w:jc w:val="center"/>
            </w:pPr>
            <w:r w:rsidRPr="00066D77">
              <w:t>0.4-0.5</w:t>
            </w:r>
          </w:p>
        </w:tc>
        <w:tc>
          <w:tcPr>
            <w:tcW w:w="1935" w:type="dxa"/>
            <w:vAlign w:val="center"/>
          </w:tcPr>
          <w:p w:rsidR="006B1499" w:rsidRPr="00066D77" w:rsidRDefault="006B1499" w:rsidP="006B1499">
            <w:pPr>
              <w:jc w:val="center"/>
            </w:pPr>
            <w:r w:rsidRPr="00066D77">
              <w:t>20</w:t>
            </w:r>
          </w:p>
        </w:tc>
      </w:tr>
      <w:tr w:rsidR="006B1499" w:rsidRPr="00066D77">
        <w:tc>
          <w:tcPr>
            <w:tcW w:w="2538" w:type="dxa"/>
          </w:tcPr>
          <w:p w:rsidR="006B1499" w:rsidRPr="00066D77" w:rsidRDefault="006B1499" w:rsidP="006B1499">
            <w:r>
              <w:t>Improved s</w:t>
            </w:r>
            <w:r w:rsidRPr="00066D77">
              <w:t>anitation</w:t>
            </w:r>
          </w:p>
        </w:tc>
        <w:tc>
          <w:tcPr>
            <w:tcW w:w="2250" w:type="dxa"/>
            <w:vAlign w:val="center"/>
          </w:tcPr>
          <w:p w:rsidR="006B1499" w:rsidRPr="00066D77" w:rsidRDefault="006B1499" w:rsidP="006B1499">
            <w:pPr>
              <w:jc w:val="center"/>
            </w:pPr>
          </w:p>
        </w:tc>
        <w:tc>
          <w:tcPr>
            <w:tcW w:w="2394" w:type="dxa"/>
            <w:vAlign w:val="center"/>
          </w:tcPr>
          <w:p w:rsidR="006B1499" w:rsidRPr="00066D77" w:rsidRDefault="006B1499" w:rsidP="006B1499">
            <w:pPr>
              <w:jc w:val="center"/>
            </w:pPr>
          </w:p>
        </w:tc>
        <w:tc>
          <w:tcPr>
            <w:tcW w:w="1935" w:type="dxa"/>
            <w:vAlign w:val="center"/>
          </w:tcPr>
          <w:p w:rsidR="006B1499" w:rsidRPr="00066D77" w:rsidRDefault="006B1499" w:rsidP="006B1499">
            <w:pPr>
              <w:jc w:val="center"/>
            </w:pPr>
          </w:p>
        </w:tc>
      </w:tr>
      <w:tr w:rsidR="006B1499" w:rsidRPr="00066D77">
        <w:tc>
          <w:tcPr>
            <w:tcW w:w="2538" w:type="dxa"/>
          </w:tcPr>
          <w:p w:rsidR="006B1499" w:rsidRPr="00066D77" w:rsidRDefault="006B1499" w:rsidP="006B1499">
            <w:r>
              <w:t xml:space="preserve">   Household c</w:t>
            </w:r>
            <w:r w:rsidRPr="00066D77">
              <w:t>onnection</w:t>
            </w:r>
          </w:p>
        </w:tc>
        <w:tc>
          <w:tcPr>
            <w:tcW w:w="2250" w:type="dxa"/>
            <w:vAlign w:val="center"/>
          </w:tcPr>
          <w:p w:rsidR="006B1499" w:rsidRPr="00066D77" w:rsidRDefault="006B1499" w:rsidP="006B1499">
            <w:pPr>
              <w:jc w:val="center"/>
            </w:pPr>
            <w:r w:rsidRPr="00066D77">
              <w:t>193-258</w:t>
            </w:r>
          </w:p>
        </w:tc>
        <w:tc>
          <w:tcPr>
            <w:tcW w:w="2394" w:type="dxa"/>
            <w:vAlign w:val="center"/>
          </w:tcPr>
          <w:p w:rsidR="006B1499" w:rsidRPr="00066D77" w:rsidRDefault="006B1499" w:rsidP="006B1499">
            <w:pPr>
              <w:jc w:val="center"/>
            </w:pPr>
            <w:r w:rsidRPr="00066D77">
              <w:t>8.2-11.0</w:t>
            </w:r>
          </w:p>
        </w:tc>
        <w:tc>
          <w:tcPr>
            <w:tcW w:w="1935" w:type="dxa"/>
            <w:vAlign w:val="center"/>
          </w:tcPr>
          <w:p w:rsidR="006B1499" w:rsidRPr="00066D77" w:rsidRDefault="006B1499" w:rsidP="006B1499">
            <w:pPr>
              <w:jc w:val="center"/>
            </w:pPr>
            <w:r w:rsidRPr="00066D77">
              <w:t>40</w:t>
            </w:r>
          </w:p>
        </w:tc>
      </w:tr>
      <w:tr w:rsidR="006B1499" w:rsidRPr="00066D77">
        <w:tc>
          <w:tcPr>
            <w:tcW w:w="2538" w:type="dxa"/>
          </w:tcPr>
          <w:p w:rsidR="006B1499" w:rsidRPr="00066D77" w:rsidRDefault="006B1499" w:rsidP="006B1499">
            <w:r>
              <w:t xml:space="preserve">   Other i</w:t>
            </w:r>
            <w:r w:rsidRPr="00066D77">
              <w:t>mprovement</w:t>
            </w:r>
          </w:p>
        </w:tc>
        <w:tc>
          <w:tcPr>
            <w:tcW w:w="2250" w:type="dxa"/>
            <w:vAlign w:val="center"/>
          </w:tcPr>
          <w:p w:rsidR="006B1499" w:rsidRPr="00066D77" w:rsidRDefault="006B1499" w:rsidP="006B1499">
            <w:pPr>
              <w:jc w:val="center"/>
            </w:pPr>
            <w:r w:rsidRPr="00066D77">
              <w:t>93-134</w:t>
            </w:r>
          </w:p>
        </w:tc>
        <w:tc>
          <w:tcPr>
            <w:tcW w:w="2394" w:type="dxa"/>
            <w:vAlign w:val="center"/>
          </w:tcPr>
          <w:p w:rsidR="006B1499" w:rsidRPr="00066D77" w:rsidRDefault="006B1499" w:rsidP="006B1499">
            <w:pPr>
              <w:jc w:val="center"/>
            </w:pPr>
            <w:r w:rsidRPr="00066D77">
              <w:t>4.7-5.0</w:t>
            </w:r>
          </w:p>
        </w:tc>
        <w:tc>
          <w:tcPr>
            <w:tcW w:w="1935" w:type="dxa"/>
            <w:vAlign w:val="center"/>
          </w:tcPr>
          <w:p w:rsidR="006B1499" w:rsidRPr="00066D77" w:rsidRDefault="006B1499" w:rsidP="006B1499">
            <w:pPr>
              <w:jc w:val="center"/>
            </w:pPr>
            <w:r w:rsidRPr="00066D77">
              <w:t>20</w:t>
            </w:r>
          </w:p>
        </w:tc>
      </w:tr>
      <w:tr w:rsidR="006B1499" w:rsidRPr="00066D77">
        <w:tc>
          <w:tcPr>
            <w:tcW w:w="9117" w:type="dxa"/>
            <w:gridSpan w:val="4"/>
          </w:tcPr>
          <w:p w:rsidR="006B1499" w:rsidRPr="00066D77" w:rsidRDefault="006B1499" w:rsidP="006B1499">
            <w:r w:rsidRPr="00066D77">
              <w:t xml:space="preserve">Source: Hutton and Bartram </w:t>
            </w:r>
            <w:r w:rsidR="00F7383F" w:rsidRPr="00066D77">
              <w:fldChar w:fldCharType="begin"/>
            </w:r>
            <w:r>
              <w:instrText xml:space="preserve"> ADDIN ZOTERO_ITEM CSL_CITATION {"citationID":"lR64rsFd","properties":{"formattedCitation":"(2008a, 16)","plainCitation":"(2008a, 16)"},"citationItems":[{"id":421,"uris":["http://zotero.org/groups/4482/items/GDR4269T"],"uri":["http://zotero.org/groups/4482/items/GDR4269T"],"itemData":{"id":421,"type":"article-journal","title":"Global Costs of Attaining the Millennium Development Goal for Water Supply and Sanitation","container-title":"Bulletin of the World Health Organization","page":"13-19","volume":"86","issue":"1","DOI":"DOI: 10.2471/BLT.07.046045","note":"PMID: 18235885\nPMCID: 2647341","author":[{"family":"Hutton","given":"Guy"},{"family":"Bartram","given":"Jamie"}],"issued":{"year":2008},"page-first":"13"},"locator":"16","label":"page","suppress-author":true}],"schema":"https://github.com/citation-style-language/schema/raw/master/csl-citation.json"} </w:instrText>
            </w:r>
            <w:r w:rsidR="00F7383F" w:rsidRPr="00066D77">
              <w:fldChar w:fldCharType="separate"/>
            </w:r>
            <w:r w:rsidRPr="00066D77">
              <w:rPr>
                <w:rFonts w:cs="Calibri"/>
                <w:szCs w:val="21"/>
              </w:rPr>
              <w:t>(2008a, 16)</w:t>
            </w:r>
            <w:r w:rsidR="00F7383F" w:rsidRPr="00066D77">
              <w:fldChar w:fldCharType="end"/>
            </w:r>
          </w:p>
        </w:tc>
      </w:tr>
    </w:tbl>
    <w:p w:rsidR="006B1499" w:rsidRPr="00066D77" w:rsidRDefault="006B1499" w:rsidP="006B1499"/>
    <w:tbl>
      <w:tblPr>
        <w:tblStyle w:val="TableGrid"/>
        <w:tblW w:w="0" w:type="auto"/>
        <w:tblLook w:val="04A0"/>
      </w:tblPr>
      <w:tblGrid>
        <w:gridCol w:w="1915"/>
        <w:gridCol w:w="1915"/>
        <w:gridCol w:w="1915"/>
        <w:gridCol w:w="1833"/>
        <w:gridCol w:w="1530"/>
      </w:tblGrid>
      <w:tr w:rsidR="006B1499" w:rsidRPr="00066D77">
        <w:tc>
          <w:tcPr>
            <w:tcW w:w="9108" w:type="dxa"/>
            <w:gridSpan w:val="5"/>
          </w:tcPr>
          <w:p w:rsidR="006B1499" w:rsidRPr="00066D77" w:rsidRDefault="006B1499" w:rsidP="006B1499">
            <w:pPr>
              <w:rPr>
                <w:b/>
              </w:rPr>
            </w:pPr>
            <w:r>
              <w:rPr>
                <w:b/>
              </w:rPr>
              <w:t>Table 4.4 Unit costs and lifetimes for improved water and sanitation from other s</w:t>
            </w:r>
            <w:r w:rsidRPr="00066D77">
              <w:rPr>
                <w:b/>
              </w:rPr>
              <w:t>tudies</w:t>
            </w:r>
          </w:p>
        </w:tc>
      </w:tr>
      <w:tr w:rsidR="006B1499" w:rsidRPr="00066D77">
        <w:tc>
          <w:tcPr>
            <w:tcW w:w="1915" w:type="dxa"/>
            <w:vAlign w:val="bottom"/>
          </w:tcPr>
          <w:p w:rsidR="006B1499" w:rsidRPr="00066D77" w:rsidRDefault="006B1499" w:rsidP="006B1499">
            <w:r w:rsidRPr="00066D77">
              <w:t>Study</w:t>
            </w:r>
          </w:p>
        </w:tc>
        <w:tc>
          <w:tcPr>
            <w:tcW w:w="1915" w:type="dxa"/>
            <w:vAlign w:val="center"/>
          </w:tcPr>
          <w:p w:rsidR="006B1499" w:rsidRPr="004F1F9C" w:rsidRDefault="006B1499" w:rsidP="006B1499">
            <w:pPr>
              <w:keepNext/>
              <w:keepLines/>
              <w:jc w:val="center"/>
            </w:pPr>
            <w:r w:rsidRPr="004F1F9C">
              <w:t>Units</w:t>
            </w:r>
          </w:p>
        </w:tc>
        <w:tc>
          <w:tcPr>
            <w:tcW w:w="1915" w:type="dxa"/>
            <w:vAlign w:val="center"/>
          </w:tcPr>
          <w:p w:rsidR="006B1499" w:rsidRPr="004F1F9C" w:rsidRDefault="006B1499" w:rsidP="006B1499">
            <w:pPr>
              <w:keepNext/>
              <w:keepLines/>
              <w:jc w:val="center"/>
            </w:pPr>
            <w:r>
              <w:t>Costs of new c</w:t>
            </w:r>
            <w:r w:rsidRPr="004F1F9C">
              <w:t>onstruction</w:t>
            </w:r>
          </w:p>
        </w:tc>
        <w:tc>
          <w:tcPr>
            <w:tcW w:w="1833" w:type="dxa"/>
            <w:vAlign w:val="center"/>
          </w:tcPr>
          <w:p w:rsidR="006B1499" w:rsidRPr="004F1F9C" w:rsidRDefault="006B1499" w:rsidP="006B1499">
            <w:pPr>
              <w:keepNext/>
              <w:keepLines/>
              <w:jc w:val="center"/>
            </w:pPr>
            <w:r>
              <w:t>Annual recurrent c</w:t>
            </w:r>
            <w:r w:rsidRPr="004F1F9C">
              <w:t>osts</w:t>
            </w:r>
          </w:p>
        </w:tc>
        <w:tc>
          <w:tcPr>
            <w:tcW w:w="1530" w:type="dxa"/>
            <w:vAlign w:val="center"/>
          </w:tcPr>
          <w:p w:rsidR="006B1499" w:rsidRPr="004F1F9C" w:rsidRDefault="006B1499" w:rsidP="006B1499">
            <w:pPr>
              <w:keepNext/>
              <w:keepLines/>
              <w:jc w:val="center"/>
            </w:pPr>
            <w:r>
              <w:t>Lifetime in y</w:t>
            </w:r>
            <w:r w:rsidRPr="004F1F9C">
              <w:t>ears</w:t>
            </w:r>
          </w:p>
        </w:tc>
      </w:tr>
      <w:tr w:rsidR="006B1499" w:rsidRPr="00066D77">
        <w:tc>
          <w:tcPr>
            <w:tcW w:w="1915" w:type="dxa"/>
            <w:vAlign w:val="center"/>
          </w:tcPr>
          <w:p w:rsidR="006B1499" w:rsidRPr="00066D77" w:rsidRDefault="006B1499" w:rsidP="006B1499">
            <w:r w:rsidRPr="00066D77">
              <w:rPr>
                <w:szCs w:val="18"/>
              </w:rPr>
              <w:t xml:space="preserve">Fay and Yepes </w:t>
            </w:r>
            <w:r w:rsidR="00F7383F" w:rsidRPr="00066D77">
              <w:rPr>
                <w:szCs w:val="18"/>
              </w:rPr>
              <w:fldChar w:fldCharType="begin"/>
            </w:r>
            <w:r>
              <w:rPr>
                <w:szCs w:val="18"/>
              </w:rPr>
              <w:instrText xml:space="preserve"> ADDIN ZOTERO_ITEM CSL_CITATION {"citationID":"shmdvh3n7","properties":{"formattedCitation":"(2003, 10)","plainCitation":"(2003, 10)"},"citationItems":[{"id":1138,"uris":["http://zotero.org/groups/4482/items/4BPWRAEZ"],"uri":["http://zotero.org/groups/4482/items/4BPWRAEZ"],"itemData":{"id":1138,"type":"manuscript","title":"Investing in Infrastructure: What Is Needed from 2000 to 2010?","publisher-place":"Washington, DC","genre":"Policy Research Working Paper no. 3102","archive":"RePEc","event-place":"Washington, DC","URL":"http://ideas.repec.org/p/wbk/wbrwps/3102.html","call-number":"0154","note":"World Bank","shortTitle":"Investing in Infrastructure","author":[{"family":"Fay","given":"Marianne"},{"family":"Yepes","given":"Tito"}],"issued":{"year":2003},"accessed":{"year":2009,"month":11,"day":23}},"locator":"10","label":"page","suppress-author":true}],"schema":"https://github.com/citation-style-language/schema/raw/master/csl-citation.json"} </w:instrText>
            </w:r>
            <w:r w:rsidR="00F7383F" w:rsidRPr="00066D77">
              <w:rPr>
                <w:szCs w:val="18"/>
              </w:rPr>
              <w:fldChar w:fldCharType="separate"/>
            </w:r>
            <w:r w:rsidRPr="00066D77">
              <w:rPr>
                <w:szCs w:val="21"/>
              </w:rPr>
              <w:t>(2003, 10)</w:t>
            </w:r>
            <w:r w:rsidR="00F7383F" w:rsidRPr="00066D77">
              <w:rPr>
                <w:szCs w:val="18"/>
              </w:rPr>
              <w:fldChar w:fldCharType="end"/>
            </w:r>
          </w:p>
        </w:tc>
        <w:tc>
          <w:tcPr>
            <w:tcW w:w="1915" w:type="dxa"/>
            <w:vAlign w:val="center"/>
          </w:tcPr>
          <w:p w:rsidR="006B1499" w:rsidRPr="00066D77" w:rsidRDefault="006B1499" w:rsidP="006B1499">
            <w:pPr>
              <w:jc w:val="center"/>
            </w:pPr>
            <w:r w:rsidRPr="00066D77">
              <w:rPr>
                <w:szCs w:val="18"/>
              </w:rPr>
              <w:t>Constant 1995 $US per connection</w:t>
            </w:r>
          </w:p>
        </w:tc>
        <w:tc>
          <w:tcPr>
            <w:tcW w:w="1915" w:type="dxa"/>
            <w:vAlign w:val="center"/>
          </w:tcPr>
          <w:p w:rsidR="006B1499" w:rsidRPr="00066D77" w:rsidRDefault="006B1499" w:rsidP="006B1499">
            <w:pPr>
              <w:jc w:val="center"/>
              <w:rPr>
                <w:szCs w:val="18"/>
              </w:rPr>
            </w:pPr>
            <w:r w:rsidRPr="00066D77">
              <w:rPr>
                <w:szCs w:val="18"/>
              </w:rPr>
              <w:t>Water 400</w:t>
            </w:r>
          </w:p>
          <w:p w:rsidR="006B1499" w:rsidRPr="00066D77" w:rsidRDefault="006B1499" w:rsidP="006B1499">
            <w:pPr>
              <w:jc w:val="center"/>
              <w:rPr>
                <w:szCs w:val="18"/>
              </w:rPr>
            </w:pPr>
            <w:r w:rsidRPr="00066D77">
              <w:rPr>
                <w:szCs w:val="18"/>
              </w:rPr>
              <w:t>Sanitation: 700</w:t>
            </w:r>
          </w:p>
        </w:tc>
        <w:tc>
          <w:tcPr>
            <w:tcW w:w="1833" w:type="dxa"/>
            <w:vAlign w:val="center"/>
          </w:tcPr>
          <w:p w:rsidR="006B1499" w:rsidRPr="00066D77" w:rsidRDefault="006B1499" w:rsidP="006B1499">
            <w:pPr>
              <w:jc w:val="center"/>
              <w:rPr>
                <w:szCs w:val="18"/>
              </w:rPr>
            </w:pPr>
            <w:r w:rsidRPr="00066D77">
              <w:rPr>
                <w:szCs w:val="18"/>
              </w:rPr>
              <w:t>3% of unit replacement cost</w:t>
            </w:r>
          </w:p>
        </w:tc>
        <w:tc>
          <w:tcPr>
            <w:tcW w:w="1530" w:type="dxa"/>
            <w:vAlign w:val="center"/>
          </w:tcPr>
          <w:p w:rsidR="006B1499" w:rsidRPr="00066D77" w:rsidRDefault="006B1499" w:rsidP="006B1499">
            <w:pPr>
              <w:jc w:val="center"/>
              <w:rPr>
                <w:szCs w:val="18"/>
              </w:rPr>
            </w:pPr>
          </w:p>
        </w:tc>
      </w:tr>
      <w:tr w:rsidR="006B1499" w:rsidRPr="00066D77">
        <w:tc>
          <w:tcPr>
            <w:tcW w:w="1915" w:type="dxa"/>
            <w:vAlign w:val="center"/>
          </w:tcPr>
          <w:p w:rsidR="006B1499" w:rsidRPr="00066D77" w:rsidRDefault="006B1499" w:rsidP="006B1499">
            <w:pPr>
              <w:rPr>
                <w:szCs w:val="18"/>
              </w:rPr>
            </w:pPr>
            <w:r w:rsidRPr="00066D77">
              <w:rPr>
                <w:szCs w:val="18"/>
              </w:rPr>
              <w:t xml:space="preserve">Yepes </w:t>
            </w:r>
            <w:r w:rsidR="00F7383F" w:rsidRPr="00066D77">
              <w:rPr>
                <w:szCs w:val="18"/>
              </w:rPr>
              <w:fldChar w:fldCharType="begin"/>
            </w:r>
            <w:r>
              <w:rPr>
                <w:szCs w:val="18"/>
              </w:rPr>
              <w:instrText xml:space="preserve"> ADDIN ZOTERO_ITEM CSL_CITATION {"citationID":"SSVBI17T","properties":{"formattedCitation":"(2005, no page number)","plainCitation":"(2005, no page number)"},"citationItems":[{"id":904,"uris":["http://zotero.org/groups/4482/items/TXS9JSZB"],"uri":["http://zotero.org/groups/4482/items/TXS9JSZB"],"itemData":{"id":904,"type":"report","title":"Expenditure on Infrastructure in East Asia Region, 2006–2010","collection-title":"East Asia Pacific Infrastructure Flagship Study","publisher":"Asian Development Bank (ADB), Japan Bank for International Cooperation (JBIC), World Bank","publisher-place":"Manila","event-place":"Manila","author":[{"family":"Yepes","given":"Tito"}],"issued":{"year":2005}},"locator":"no page number","label":"page","suppress-author":true}],"schema":"https://github.com/citation-style-language/schema/raw/master/csl-citation.json"} </w:instrText>
            </w:r>
            <w:r w:rsidR="00F7383F" w:rsidRPr="00066D77">
              <w:rPr>
                <w:szCs w:val="18"/>
              </w:rPr>
              <w:fldChar w:fldCharType="separate"/>
            </w:r>
            <w:r w:rsidRPr="00066D77">
              <w:rPr>
                <w:szCs w:val="21"/>
              </w:rPr>
              <w:t>(2005, no page number)</w:t>
            </w:r>
            <w:r w:rsidR="00F7383F" w:rsidRPr="00066D77">
              <w:rPr>
                <w:szCs w:val="18"/>
              </w:rPr>
              <w:fldChar w:fldCharType="end"/>
            </w:r>
          </w:p>
        </w:tc>
        <w:tc>
          <w:tcPr>
            <w:tcW w:w="1915" w:type="dxa"/>
            <w:vAlign w:val="center"/>
          </w:tcPr>
          <w:p w:rsidR="006B1499" w:rsidRPr="00066D77" w:rsidRDefault="006B1499" w:rsidP="006B1499">
            <w:pPr>
              <w:jc w:val="center"/>
              <w:rPr>
                <w:szCs w:val="18"/>
              </w:rPr>
            </w:pPr>
            <w:r w:rsidRPr="00066D77">
              <w:rPr>
                <w:szCs w:val="18"/>
              </w:rPr>
              <w:t>Constant $US, year not stated, per connection</w:t>
            </w:r>
          </w:p>
        </w:tc>
        <w:tc>
          <w:tcPr>
            <w:tcW w:w="1915" w:type="dxa"/>
            <w:vAlign w:val="center"/>
          </w:tcPr>
          <w:p w:rsidR="006B1499" w:rsidRPr="00066D77" w:rsidRDefault="006B1499" w:rsidP="006B1499">
            <w:pPr>
              <w:jc w:val="center"/>
              <w:rPr>
                <w:szCs w:val="18"/>
              </w:rPr>
            </w:pPr>
            <w:r w:rsidRPr="00066D77">
              <w:rPr>
                <w:szCs w:val="18"/>
              </w:rPr>
              <w:t>Water 400</w:t>
            </w:r>
          </w:p>
          <w:p w:rsidR="006B1499" w:rsidRPr="00066D77" w:rsidRDefault="006B1499" w:rsidP="006B1499">
            <w:pPr>
              <w:jc w:val="center"/>
              <w:rPr>
                <w:szCs w:val="18"/>
              </w:rPr>
            </w:pPr>
            <w:r w:rsidRPr="00066D77">
              <w:rPr>
                <w:szCs w:val="18"/>
              </w:rPr>
              <w:t>Sanitation: 700</w:t>
            </w:r>
          </w:p>
        </w:tc>
        <w:tc>
          <w:tcPr>
            <w:tcW w:w="1833" w:type="dxa"/>
            <w:vAlign w:val="center"/>
          </w:tcPr>
          <w:p w:rsidR="006B1499" w:rsidRPr="00066D77" w:rsidRDefault="006B1499" w:rsidP="006B1499">
            <w:pPr>
              <w:jc w:val="center"/>
              <w:rPr>
                <w:szCs w:val="18"/>
              </w:rPr>
            </w:pPr>
            <w:r w:rsidRPr="00066D77">
              <w:rPr>
                <w:szCs w:val="18"/>
              </w:rPr>
              <w:t>3% of stock value</w:t>
            </w:r>
          </w:p>
        </w:tc>
        <w:tc>
          <w:tcPr>
            <w:tcW w:w="1530" w:type="dxa"/>
            <w:vAlign w:val="center"/>
          </w:tcPr>
          <w:p w:rsidR="006B1499" w:rsidRPr="00066D77" w:rsidRDefault="006B1499" w:rsidP="006B1499">
            <w:pPr>
              <w:jc w:val="center"/>
              <w:rPr>
                <w:szCs w:val="18"/>
              </w:rPr>
            </w:pPr>
            <w:r w:rsidRPr="00066D77">
              <w:rPr>
                <w:szCs w:val="18"/>
              </w:rPr>
              <w:t>23</w:t>
            </w:r>
          </w:p>
        </w:tc>
      </w:tr>
      <w:tr w:rsidR="006B1499" w:rsidRPr="00066D77">
        <w:tc>
          <w:tcPr>
            <w:tcW w:w="1915" w:type="dxa"/>
            <w:vAlign w:val="center"/>
          </w:tcPr>
          <w:p w:rsidR="006B1499" w:rsidRPr="00066D77" w:rsidRDefault="006B1499" w:rsidP="006B1499">
            <w:r w:rsidRPr="00066D77">
              <w:rPr>
                <w:szCs w:val="18"/>
              </w:rPr>
              <w:t xml:space="preserve">Chatterton and Puerto </w:t>
            </w:r>
            <w:r w:rsidR="00F7383F" w:rsidRPr="00066D77">
              <w:rPr>
                <w:szCs w:val="18"/>
              </w:rPr>
              <w:fldChar w:fldCharType="begin"/>
            </w:r>
            <w:r>
              <w:rPr>
                <w:szCs w:val="18"/>
              </w:rPr>
              <w:instrText xml:space="preserve"> ADDIN ZOTERO_ITEM CSL_CITATION {"citationID":"0TIoTVo3","properties":{"formattedCitation":"{\\rtf (2006, 7, 9\\uc0\\u8211{}10)}","plainCitation":"(2006, 7, 9–10)"},"citationItems":[{"id":903,"uris":["http://zotero.org/groups/4482/items/8BCTKHKI"],"uri":["http://zotero.org/groups/4482/items/8BCTKHKI"],"itemData":{"id":903,"type":"report","title":"Estimation of Infrastructure Investment Needs in the South Asia Region: Executive Summary","publisher":"World Bank","publisher-place":"Washington, DC","event-place":"Washington, DC","URL":"http://0-siteresources.worldbank.org.bianca.penlib.du.edu/INTSARREGTOPTRANSPORT/Resources/Inf_Investment_Needs_IC_version4.pdf","shortTitle":"Estimation of Infrastructure Investment Needs in the South Asia Region","author":[{"family":"Chatterton","given":"Isabe"},{"family":"Puerto","given":"Olga S."}],"issued":{"year":2006}},"locator":"7, 9-10","label":"page","suppress-author":true}],"schema":"https://github.com/citation-style-language/schema/raw/master/csl-citation.json"} </w:instrText>
            </w:r>
            <w:r w:rsidR="00F7383F" w:rsidRPr="00066D77">
              <w:rPr>
                <w:szCs w:val="18"/>
              </w:rPr>
              <w:fldChar w:fldCharType="separate"/>
            </w:r>
            <w:r w:rsidRPr="00066D77">
              <w:rPr>
                <w:szCs w:val="24"/>
              </w:rPr>
              <w:t>(2006, 7, 9–10)</w:t>
            </w:r>
            <w:r w:rsidR="00F7383F" w:rsidRPr="00066D77">
              <w:rPr>
                <w:szCs w:val="18"/>
              </w:rPr>
              <w:fldChar w:fldCharType="end"/>
            </w:r>
          </w:p>
        </w:tc>
        <w:tc>
          <w:tcPr>
            <w:tcW w:w="1915" w:type="dxa"/>
            <w:vAlign w:val="center"/>
          </w:tcPr>
          <w:p w:rsidR="006B1499" w:rsidRPr="00066D77" w:rsidRDefault="006B1499" w:rsidP="006B1499">
            <w:pPr>
              <w:jc w:val="center"/>
            </w:pPr>
            <w:r w:rsidRPr="00066D77">
              <w:rPr>
                <w:szCs w:val="18"/>
              </w:rPr>
              <w:t>Constant $US, year not stated, per connection</w:t>
            </w:r>
          </w:p>
        </w:tc>
        <w:tc>
          <w:tcPr>
            <w:tcW w:w="1915" w:type="dxa"/>
            <w:vAlign w:val="center"/>
          </w:tcPr>
          <w:p w:rsidR="006B1499" w:rsidRPr="00066D77" w:rsidRDefault="006B1499" w:rsidP="006B1499">
            <w:pPr>
              <w:jc w:val="center"/>
              <w:rPr>
                <w:szCs w:val="18"/>
              </w:rPr>
            </w:pPr>
            <w:r w:rsidRPr="00066D77">
              <w:rPr>
                <w:szCs w:val="18"/>
              </w:rPr>
              <w:t>Water: 400</w:t>
            </w:r>
          </w:p>
          <w:p w:rsidR="006B1499" w:rsidRPr="00066D77" w:rsidRDefault="006B1499" w:rsidP="006B1499">
            <w:pPr>
              <w:jc w:val="center"/>
              <w:rPr>
                <w:szCs w:val="18"/>
              </w:rPr>
            </w:pPr>
            <w:r w:rsidRPr="00066D77">
              <w:rPr>
                <w:szCs w:val="18"/>
              </w:rPr>
              <w:t>Sanitation: 700</w:t>
            </w:r>
          </w:p>
        </w:tc>
        <w:tc>
          <w:tcPr>
            <w:tcW w:w="1833" w:type="dxa"/>
            <w:vAlign w:val="center"/>
          </w:tcPr>
          <w:p w:rsidR="006B1499" w:rsidRPr="00066D77" w:rsidRDefault="006B1499" w:rsidP="006B1499">
            <w:pPr>
              <w:jc w:val="center"/>
              <w:rPr>
                <w:szCs w:val="18"/>
              </w:rPr>
            </w:pPr>
            <w:r w:rsidRPr="00066D77">
              <w:rPr>
                <w:szCs w:val="18"/>
              </w:rPr>
              <w:t>3% of stock value</w:t>
            </w:r>
          </w:p>
        </w:tc>
        <w:tc>
          <w:tcPr>
            <w:tcW w:w="1530" w:type="dxa"/>
            <w:vAlign w:val="center"/>
          </w:tcPr>
          <w:p w:rsidR="006B1499" w:rsidRPr="00066D77" w:rsidRDefault="006B1499" w:rsidP="006B1499">
            <w:pPr>
              <w:jc w:val="center"/>
              <w:rPr>
                <w:szCs w:val="18"/>
              </w:rPr>
            </w:pPr>
            <w:r w:rsidRPr="00066D77">
              <w:rPr>
                <w:szCs w:val="18"/>
              </w:rPr>
              <w:t>23</w:t>
            </w:r>
          </w:p>
        </w:tc>
      </w:tr>
      <w:tr w:rsidR="006B1499" w:rsidRPr="00066D77">
        <w:tc>
          <w:tcPr>
            <w:tcW w:w="1915" w:type="dxa"/>
            <w:vAlign w:val="center"/>
          </w:tcPr>
          <w:p w:rsidR="006B1499" w:rsidRPr="00066D77" w:rsidRDefault="006B1499" w:rsidP="006B1499">
            <w:r w:rsidRPr="00066D77">
              <w:rPr>
                <w:szCs w:val="18"/>
              </w:rPr>
              <w:t xml:space="preserve">Yepes </w:t>
            </w:r>
            <w:r w:rsidR="00F7383F" w:rsidRPr="00066D77">
              <w:rPr>
                <w:szCs w:val="18"/>
              </w:rPr>
              <w:fldChar w:fldCharType="begin"/>
            </w:r>
            <w:r>
              <w:rPr>
                <w:szCs w:val="18"/>
              </w:rPr>
              <w:instrText xml:space="preserve"> ADDIN ZOTERO_ITEM CSL_CITATION {"citationID":"flIwJm8H","properties":{"formattedCitation":"(2008, 7, 10, 11, 15)","plainCitation":"(2008, 7, 10, 11, 15)"},"citationItems":[{"id":716,"uris":["http://zotero.org/groups/4482/items/6FIFS46X"],"uri":["http://zotero.org/groups/4482/items/6FIFS46X"],"itemData":{"id":716,"type":"manuscript","title":"Investment Needs for Infrastructure in Developing Countries 2008-15","publisher-place":"Washington, DC","genre":"Draft","event-place":"Washington, DC","note":"World Bank","author":[{"family":"Yepes","given":"Tito"}],"issued":{"year":2008}},"locator":"7, 10, 11, 15","label":"page","suppress-author":true}],"schema":"https://github.com/citation-style-language/schema/raw/master/csl-citation.json"} </w:instrText>
            </w:r>
            <w:r w:rsidR="00F7383F" w:rsidRPr="00066D77">
              <w:rPr>
                <w:szCs w:val="18"/>
              </w:rPr>
              <w:fldChar w:fldCharType="separate"/>
            </w:r>
            <w:r w:rsidRPr="00066D77">
              <w:rPr>
                <w:szCs w:val="21"/>
              </w:rPr>
              <w:t>(2008, 7, 10, 11, 15)</w:t>
            </w:r>
            <w:r w:rsidR="00F7383F" w:rsidRPr="00066D77">
              <w:rPr>
                <w:szCs w:val="18"/>
              </w:rPr>
              <w:fldChar w:fldCharType="end"/>
            </w:r>
          </w:p>
        </w:tc>
        <w:tc>
          <w:tcPr>
            <w:tcW w:w="1915" w:type="dxa"/>
            <w:vAlign w:val="center"/>
          </w:tcPr>
          <w:p w:rsidR="006B1499" w:rsidRPr="00066D77" w:rsidRDefault="006B1499" w:rsidP="006B1499">
            <w:pPr>
              <w:jc w:val="center"/>
            </w:pPr>
            <w:r w:rsidRPr="00066D77">
              <w:rPr>
                <w:szCs w:val="18"/>
              </w:rPr>
              <w:t>Constant 2005 $US per connection</w:t>
            </w:r>
          </w:p>
        </w:tc>
        <w:tc>
          <w:tcPr>
            <w:tcW w:w="1915" w:type="dxa"/>
            <w:vAlign w:val="center"/>
          </w:tcPr>
          <w:p w:rsidR="006B1499" w:rsidRPr="00066D77" w:rsidRDefault="006B1499" w:rsidP="006B1499">
            <w:pPr>
              <w:jc w:val="center"/>
              <w:rPr>
                <w:szCs w:val="18"/>
              </w:rPr>
            </w:pPr>
            <w:r w:rsidRPr="00066D77">
              <w:rPr>
                <w:szCs w:val="18"/>
              </w:rPr>
              <w:t>Water, urban: 80</w:t>
            </w:r>
          </w:p>
          <w:p w:rsidR="006B1499" w:rsidRPr="00066D77" w:rsidRDefault="006B1499" w:rsidP="006B1499">
            <w:pPr>
              <w:jc w:val="center"/>
              <w:rPr>
                <w:szCs w:val="18"/>
              </w:rPr>
            </w:pPr>
            <w:r w:rsidRPr="00066D77">
              <w:rPr>
                <w:szCs w:val="18"/>
              </w:rPr>
              <w:t>Water, rural: 150</w:t>
            </w:r>
          </w:p>
          <w:p w:rsidR="006B1499" w:rsidRPr="00066D77" w:rsidRDefault="006B1499" w:rsidP="006B1499">
            <w:pPr>
              <w:jc w:val="center"/>
              <w:rPr>
                <w:szCs w:val="18"/>
              </w:rPr>
            </w:pPr>
            <w:r w:rsidRPr="00066D77">
              <w:rPr>
                <w:szCs w:val="18"/>
              </w:rPr>
              <w:t>Sanitation: 150</w:t>
            </w:r>
          </w:p>
        </w:tc>
        <w:tc>
          <w:tcPr>
            <w:tcW w:w="1833" w:type="dxa"/>
            <w:vAlign w:val="center"/>
          </w:tcPr>
          <w:p w:rsidR="006B1499" w:rsidRPr="00066D77" w:rsidRDefault="006B1499" w:rsidP="006B1499">
            <w:pPr>
              <w:jc w:val="center"/>
              <w:rPr>
                <w:szCs w:val="18"/>
              </w:rPr>
            </w:pPr>
            <w:r w:rsidRPr="00066D77">
              <w:rPr>
                <w:szCs w:val="18"/>
              </w:rPr>
              <w:t>3% of stock value</w:t>
            </w:r>
          </w:p>
        </w:tc>
        <w:tc>
          <w:tcPr>
            <w:tcW w:w="1530" w:type="dxa"/>
            <w:vAlign w:val="center"/>
          </w:tcPr>
          <w:p w:rsidR="006B1499" w:rsidRPr="00066D77" w:rsidRDefault="006B1499" w:rsidP="006B1499">
            <w:pPr>
              <w:jc w:val="center"/>
              <w:rPr>
                <w:szCs w:val="18"/>
              </w:rPr>
            </w:pPr>
          </w:p>
        </w:tc>
      </w:tr>
      <w:tr w:rsidR="006B1499" w:rsidRPr="00066D77">
        <w:tc>
          <w:tcPr>
            <w:tcW w:w="1915" w:type="dxa"/>
            <w:vAlign w:val="center"/>
          </w:tcPr>
          <w:p w:rsidR="006B1499" w:rsidRPr="00066D77" w:rsidRDefault="006B1499" w:rsidP="006B1499">
            <w:r w:rsidRPr="00066D77">
              <w:rPr>
                <w:szCs w:val="18"/>
              </w:rPr>
              <w:t xml:space="preserve">Bhattacharyay for maintenance </w:t>
            </w:r>
            <w:r w:rsidR="00F7383F" w:rsidRPr="00066D77">
              <w:rPr>
                <w:szCs w:val="18"/>
              </w:rPr>
              <w:fldChar w:fldCharType="begin"/>
            </w:r>
            <w:r>
              <w:rPr>
                <w:szCs w:val="18"/>
              </w:rPr>
              <w:instrText xml:space="preserve"> ADDIN ZOTERO_ITEM CSL_CITATION {"citationID":"wcHIs8P2","properties":{"formattedCitation":"(2010)","plainCitation":"(2010)"},"citationItems":[{"id":1156,"uris":["http://zotero.org/groups/4482/items/MQ3EDFBR"],"uri":["http://zotero.org/groups/4482/items/MQ3EDFBR"],"itemData":{"id":1156,"type":"manuscript","title":"Estimating Demand for Infrastructure in Energy, Transport, Telecommunications, Water and Sanitation in Asia and the Pacific: 2010-2020","publisher-place":"Tokyo","genre":"Working Paper no. 248","event-place":"Tokyo","URL":"http://www.adbi.org/working-paper/2010/09/09/4062.infrastructure.demand.asia.pacific/","call-number":"0001","note":"Asian Development Bank Institute","author":[{"family":"Bhattacharyay","given":"Biswa Nath"}],"issued":{"year":2010}},"suppress-author":true}],"schema":"https://github.com/citation-style-language/schema/raw/master/csl-citation.json"} </w:instrText>
            </w:r>
            <w:r w:rsidR="00F7383F" w:rsidRPr="00066D77">
              <w:rPr>
                <w:szCs w:val="18"/>
              </w:rPr>
              <w:fldChar w:fldCharType="separate"/>
            </w:r>
            <w:r w:rsidRPr="00066D77">
              <w:rPr>
                <w:szCs w:val="21"/>
              </w:rPr>
              <w:t>(2010, 10)</w:t>
            </w:r>
            <w:r w:rsidR="00F7383F" w:rsidRPr="00066D77">
              <w:rPr>
                <w:szCs w:val="18"/>
              </w:rPr>
              <w:fldChar w:fldCharType="end"/>
            </w:r>
            <w:r w:rsidRPr="00066D77">
              <w:rPr>
                <w:szCs w:val="18"/>
              </w:rPr>
              <w:t xml:space="preserve"> unit costs from ADBI </w:t>
            </w:r>
            <w:r w:rsidR="00F7383F" w:rsidRPr="00066D77">
              <w:rPr>
                <w:szCs w:val="18"/>
              </w:rPr>
              <w:fldChar w:fldCharType="begin"/>
            </w:r>
            <w:r>
              <w:rPr>
                <w:szCs w:val="18"/>
              </w:rPr>
              <w:instrText xml:space="preserve"> ADDIN ZOTERO_ITEM CSL_CITATION {"citationID":"yEib0aP3","properties":{"formattedCitation":"{\\rtf (2009, 27\\uc0\\u8211{}28)}","plainCitation":"(2009, 27–28)"},"citationItems":[{"id":1153,"uris":["http://zotero.org/groups/4482/items/3ND5HTK3"],"uri":["http://zotero.org/groups/4482/items/3ND5HTK3"],"itemData":{"id":1153,"type":"manuscript","title":"Demand for Infrastructure Financing in Asia 2010-2010","publisher-place":"Tokyo","genre":"ADBI Internal Report (prepared by Centennial Group Holdings, LLC)","event-place":"Tokyo","note":"ADBI","author":[{"family":"Asian Development Bank Institute","given":""}],"issued":{"year":2009}},"locator":"27-28","label":"page","suppress-author":true}],"schema":"https://github.com/citation-style-language/schema/raw/master/csl-citation.json"} </w:instrText>
            </w:r>
            <w:r w:rsidR="00F7383F" w:rsidRPr="00066D77">
              <w:rPr>
                <w:szCs w:val="18"/>
              </w:rPr>
              <w:fldChar w:fldCharType="separate"/>
            </w:r>
            <w:r w:rsidRPr="00066D77">
              <w:t>(2009, 27–28)</w:t>
            </w:r>
            <w:r w:rsidR="00F7383F" w:rsidRPr="00066D77">
              <w:rPr>
                <w:szCs w:val="18"/>
              </w:rPr>
              <w:fldChar w:fldCharType="end"/>
            </w:r>
          </w:p>
        </w:tc>
        <w:tc>
          <w:tcPr>
            <w:tcW w:w="1915" w:type="dxa"/>
            <w:vAlign w:val="center"/>
          </w:tcPr>
          <w:p w:rsidR="006B1499" w:rsidRPr="00066D77" w:rsidRDefault="006B1499" w:rsidP="006B1499">
            <w:pPr>
              <w:jc w:val="center"/>
            </w:pPr>
            <w:r w:rsidRPr="00066D77">
              <w:rPr>
                <w:szCs w:val="18"/>
              </w:rPr>
              <w:t>Constant 2008 $US per connection</w:t>
            </w:r>
          </w:p>
        </w:tc>
        <w:tc>
          <w:tcPr>
            <w:tcW w:w="1915" w:type="dxa"/>
            <w:vAlign w:val="center"/>
          </w:tcPr>
          <w:p w:rsidR="006B1499" w:rsidRPr="00066D77" w:rsidRDefault="006B1499" w:rsidP="006B1499">
            <w:pPr>
              <w:jc w:val="center"/>
              <w:rPr>
                <w:szCs w:val="18"/>
              </w:rPr>
            </w:pPr>
            <w:r w:rsidRPr="00066D77">
              <w:rPr>
                <w:szCs w:val="18"/>
              </w:rPr>
              <w:t>Water: 400</w:t>
            </w:r>
          </w:p>
          <w:p w:rsidR="006B1499" w:rsidRPr="00066D77" w:rsidRDefault="006B1499" w:rsidP="006B1499">
            <w:pPr>
              <w:jc w:val="center"/>
              <w:rPr>
                <w:szCs w:val="18"/>
              </w:rPr>
            </w:pPr>
            <w:r w:rsidRPr="00066D77">
              <w:rPr>
                <w:szCs w:val="18"/>
              </w:rPr>
              <w:t>Sanitation: 700</w:t>
            </w:r>
          </w:p>
        </w:tc>
        <w:tc>
          <w:tcPr>
            <w:tcW w:w="1833" w:type="dxa"/>
            <w:vAlign w:val="center"/>
          </w:tcPr>
          <w:p w:rsidR="006B1499" w:rsidRPr="00066D77" w:rsidRDefault="006B1499" w:rsidP="006B1499">
            <w:pPr>
              <w:jc w:val="center"/>
              <w:rPr>
                <w:szCs w:val="18"/>
              </w:rPr>
            </w:pPr>
            <w:r w:rsidRPr="00066D77">
              <w:rPr>
                <w:szCs w:val="18"/>
              </w:rPr>
              <w:t>3% of Stock Value</w:t>
            </w:r>
          </w:p>
        </w:tc>
        <w:tc>
          <w:tcPr>
            <w:tcW w:w="1530" w:type="dxa"/>
            <w:vAlign w:val="center"/>
          </w:tcPr>
          <w:p w:rsidR="006B1499" w:rsidRPr="00066D77" w:rsidRDefault="006B1499" w:rsidP="006B1499">
            <w:pPr>
              <w:jc w:val="center"/>
              <w:rPr>
                <w:szCs w:val="18"/>
              </w:rPr>
            </w:pPr>
          </w:p>
        </w:tc>
      </w:tr>
      <w:tr w:rsidR="006B1499" w:rsidRPr="00066D77">
        <w:tc>
          <w:tcPr>
            <w:tcW w:w="1915" w:type="dxa"/>
            <w:vAlign w:val="center"/>
          </w:tcPr>
          <w:p w:rsidR="006B1499" w:rsidRPr="00066D77" w:rsidRDefault="006B1499" w:rsidP="006B1499">
            <w:r w:rsidRPr="00066D77">
              <w:rPr>
                <w:szCs w:val="18"/>
              </w:rPr>
              <w:t xml:space="preserve">Kohli and Basil </w:t>
            </w:r>
            <w:r w:rsidR="00F7383F" w:rsidRPr="00066D77">
              <w:rPr>
                <w:szCs w:val="18"/>
              </w:rPr>
              <w:fldChar w:fldCharType="begin"/>
            </w:r>
            <w:r>
              <w:rPr>
                <w:szCs w:val="18"/>
              </w:rPr>
              <w:instrText xml:space="preserve"> ADDIN ZOTERO_ITEM CSL_CITATION {"citationID":"2rhTL8Xr","properties":{"formattedCitation":"(2011, 96)","plainCitation":"(2011, 96)"},"citationItems":[{"id":1157,"uris":["http://zotero.org/groups/4482/items/PNQFGAHH"],"uri":["http://zotero.org/groups/4482/items/PNQFGAHH"],"itemData":{"id":1157,"type":"article-journal","title":"Requirements for Infrastructure Investment in Latin America Under Alternate Growth Scenarios","container-title":"Global Journal of Emerging Market Economies","page":"59 -110","volume":"3","issue":"1","abstract":"This study estimates requirements for infrastructure investment in 21 Latin American countries for the period 2011–2040 using a structural equation model. Needs total about 4 percent of GDP. Projections are provided for both a high-growth convergence scenario and a low-growth business-as-usual scenario. These costs represent minimum investments necessary to support expected economic growth. Costs are presented separately and in total for new-capacity investment and maintenance for 10 sectors: airports, electricity, fixed broadband, landlines, mobile telephony, ports, rail, paved roads, sanitation, and water. Country coverage comprises Argentina, Belize, Bolivia, Brazil, Chile, Colombia, Costa Rica, Dominican Republic, Ecuador, El Salvador, Guatemala, Guyana, Honduras, Mexico, Nicaragua, Panama, Paraguay, Peru, Suriname, Uruguay, and Venezuela. The model differs from past studies of regionwide long-term infrastructure investment needs in five features: (1) It considers alternate GDP growth scenarios; (2) It employs a structural equation model using instrumental variables to provide unbiased, consistent projections for both GDP growth scenarios (Instrumented variables are urbanization and the shares in GDP of agriculture, manufacturing, and services); (3) Mobile phone investment costs are not constant but instead vary with population density; (4) Two additional, wealthier countries are included in modeling to prevent forecasting outside the range of the independent variables’ values used to construct the model, and; (5) Timing of new-capacity investments is distributed over multiple years and varies by sector.","DOI":"10.1177/097491011000300103","call-number":"0002","author":[{"family":"Kohli","given":"Harpaul Alberto"},{"family":"Basil","given":"Phillip"}],"issued":{"year":2011},"accessed":{"year":2011,"month":7,"day":29},"page-first":"59"},"locator":"96","label":"page","suppress-author":true}],"schema":"https://github.com/citation-style-language/schema/raw/master/csl-citation.json"} </w:instrText>
            </w:r>
            <w:r w:rsidR="00F7383F" w:rsidRPr="00066D77">
              <w:rPr>
                <w:szCs w:val="18"/>
              </w:rPr>
              <w:fldChar w:fldCharType="separate"/>
            </w:r>
            <w:r w:rsidRPr="00066D77">
              <w:rPr>
                <w:szCs w:val="21"/>
              </w:rPr>
              <w:t>(2011, 96)</w:t>
            </w:r>
            <w:r w:rsidR="00F7383F" w:rsidRPr="00066D77">
              <w:rPr>
                <w:szCs w:val="18"/>
              </w:rPr>
              <w:fldChar w:fldCharType="end"/>
            </w:r>
          </w:p>
        </w:tc>
        <w:tc>
          <w:tcPr>
            <w:tcW w:w="1915" w:type="dxa"/>
            <w:vAlign w:val="center"/>
          </w:tcPr>
          <w:p w:rsidR="006B1499" w:rsidRPr="00066D77" w:rsidRDefault="006B1499" w:rsidP="006B1499">
            <w:pPr>
              <w:jc w:val="center"/>
            </w:pPr>
            <w:r w:rsidRPr="00066D77">
              <w:rPr>
                <w:szCs w:val="18"/>
              </w:rPr>
              <w:t>Constant 2009 $US per connection</w:t>
            </w:r>
          </w:p>
        </w:tc>
        <w:tc>
          <w:tcPr>
            <w:tcW w:w="1915" w:type="dxa"/>
            <w:vAlign w:val="center"/>
          </w:tcPr>
          <w:p w:rsidR="006B1499" w:rsidRPr="00066D77" w:rsidRDefault="006B1499" w:rsidP="006B1499">
            <w:pPr>
              <w:jc w:val="center"/>
              <w:rPr>
                <w:szCs w:val="18"/>
              </w:rPr>
            </w:pPr>
            <w:r w:rsidRPr="00066D77">
              <w:rPr>
                <w:szCs w:val="18"/>
              </w:rPr>
              <w:t>Water: 101</w:t>
            </w:r>
          </w:p>
          <w:p w:rsidR="006B1499" w:rsidRPr="00066D77" w:rsidRDefault="006B1499" w:rsidP="006B1499">
            <w:pPr>
              <w:jc w:val="center"/>
              <w:rPr>
                <w:szCs w:val="18"/>
              </w:rPr>
            </w:pPr>
            <w:r w:rsidRPr="00066D77">
              <w:rPr>
                <w:szCs w:val="18"/>
              </w:rPr>
              <w:t>Sanitation: 176</w:t>
            </w:r>
          </w:p>
        </w:tc>
        <w:tc>
          <w:tcPr>
            <w:tcW w:w="1833" w:type="dxa"/>
            <w:vAlign w:val="center"/>
          </w:tcPr>
          <w:p w:rsidR="006B1499" w:rsidRPr="00066D77" w:rsidRDefault="006B1499" w:rsidP="006B1499">
            <w:pPr>
              <w:jc w:val="center"/>
              <w:rPr>
                <w:szCs w:val="18"/>
              </w:rPr>
            </w:pPr>
            <w:r w:rsidRPr="00066D77">
              <w:rPr>
                <w:szCs w:val="18"/>
              </w:rPr>
              <w:t>3% of stock value</w:t>
            </w:r>
          </w:p>
        </w:tc>
        <w:tc>
          <w:tcPr>
            <w:tcW w:w="1530" w:type="dxa"/>
            <w:vAlign w:val="center"/>
          </w:tcPr>
          <w:p w:rsidR="006B1499" w:rsidRPr="00066D77" w:rsidRDefault="006B1499" w:rsidP="006B1499">
            <w:pPr>
              <w:jc w:val="center"/>
              <w:rPr>
                <w:szCs w:val="18"/>
              </w:rPr>
            </w:pPr>
            <w:r w:rsidRPr="00066D77">
              <w:rPr>
                <w:szCs w:val="18"/>
              </w:rPr>
              <w:t>23</w:t>
            </w:r>
          </w:p>
        </w:tc>
      </w:tr>
      <w:tr w:rsidR="006B1499" w:rsidRPr="00066D77">
        <w:tc>
          <w:tcPr>
            <w:tcW w:w="1915" w:type="dxa"/>
            <w:vAlign w:val="center"/>
          </w:tcPr>
          <w:p w:rsidR="006B1499" w:rsidRPr="00066D77" w:rsidRDefault="006B1499" w:rsidP="006B1499">
            <w:pPr>
              <w:rPr>
                <w:szCs w:val="18"/>
              </w:rPr>
            </w:pPr>
            <w:r w:rsidRPr="00066D77">
              <w:rPr>
                <w:szCs w:val="18"/>
              </w:rPr>
              <w:t xml:space="preserve">Hughes, Chinowsky, and Strzepek </w:t>
            </w:r>
            <w:r w:rsidR="00F7383F" w:rsidRPr="00066D77">
              <w:rPr>
                <w:szCs w:val="18"/>
              </w:rPr>
              <w:fldChar w:fldCharType="begin"/>
            </w:r>
            <w:r>
              <w:rPr>
                <w:szCs w:val="18"/>
              </w:rPr>
              <w:instrText xml:space="preserve"> ADDIN ZOTERO_ITEM CSL_CITATION {"citationID":"SrzFsTrm","properties":{"formattedCitation":"(2009)","plainCitation":"(2009)"},"citationItems":[{"id":975,"uris":["http://zotero.org/groups/4482/items/ZNDAXGEG"],"uri":["http://zotero.org/groups/4482/items/ZNDAXGEG"],"itemData":{"id":975,"type":"manuscript","title":"The Costs of Adapting to Climate Change for Infrastructure","publisher-place":"Washington, DC","genre":"Economics of Adaptation to Climate Change Discussion Paper no. 2","event-place":"Washington, DC","note":"World Bank","author":[{"family":"Hughes","given":"Gordon"},{"family":"Chinowsky","given":"Paul"},{"family":"Strzepek","given":"Ken"}],"issued":{"year":2009}},"suppress-author":true}],"schema":"https://github.com/citation-style-language/schema/raw/master/csl-citation.json"} </w:instrText>
            </w:r>
            <w:r w:rsidR="00F7383F" w:rsidRPr="00066D77">
              <w:rPr>
                <w:szCs w:val="18"/>
              </w:rPr>
              <w:fldChar w:fldCharType="separate"/>
            </w:r>
            <w:r w:rsidRPr="00066D77">
              <w:rPr>
                <w:rFonts w:cs="Calibri"/>
                <w:szCs w:val="21"/>
              </w:rPr>
              <w:t>(2009)</w:t>
            </w:r>
            <w:r w:rsidR="00F7383F" w:rsidRPr="00066D77">
              <w:rPr>
                <w:szCs w:val="18"/>
              </w:rPr>
              <w:fldChar w:fldCharType="end"/>
            </w:r>
            <w:r w:rsidRPr="00066D77">
              <w:rPr>
                <w:szCs w:val="18"/>
              </w:rPr>
              <w:t>*</w:t>
            </w:r>
          </w:p>
        </w:tc>
        <w:tc>
          <w:tcPr>
            <w:tcW w:w="1915" w:type="dxa"/>
            <w:vAlign w:val="center"/>
          </w:tcPr>
          <w:p w:rsidR="006B1499" w:rsidRPr="00066D77" w:rsidRDefault="006B1499" w:rsidP="006B1499">
            <w:pPr>
              <w:jc w:val="center"/>
              <w:rPr>
                <w:szCs w:val="18"/>
              </w:rPr>
            </w:pPr>
            <w:r w:rsidRPr="00066D77">
              <w:rPr>
                <w:szCs w:val="18"/>
              </w:rPr>
              <w:t>Constant $2005 US PPP per connection</w:t>
            </w:r>
          </w:p>
        </w:tc>
        <w:tc>
          <w:tcPr>
            <w:tcW w:w="1915" w:type="dxa"/>
            <w:vAlign w:val="center"/>
          </w:tcPr>
          <w:p w:rsidR="006B1499" w:rsidRPr="00066D77" w:rsidRDefault="006B1499" w:rsidP="006B1499">
            <w:pPr>
              <w:jc w:val="center"/>
              <w:rPr>
                <w:szCs w:val="18"/>
              </w:rPr>
            </w:pPr>
            <w:r w:rsidRPr="00066D77">
              <w:rPr>
                <w:szCs w:val="18"/>
              </w:rPr>
              <w:t>Water: 600</w:t>
            </w:r>
          </w:p>
          <w:p w:rsidR="006B1499" w:rsidRPr="00066D77" w:rsidRDefault="006B1499" w:rsidP="006B1499">
            <w:pPr>
              <w:jc w:val="center"/>
              <w:rPr>
                <w:szCs w:val="18"/>
              </w:rPr>
            </w:pPr>
            <w:r w:rsidRPr="00066D77">
              <w:rPr>
                <w:szCs w:val="18"/>
              </w:rPr>
              <w:t>Sanitation: 2000</w:t>
            </w:r>
          </w:p>
        </w:tc>
        <w:tc>
          <w:tcPr>
            <w:tcW w:w="1833" w:type="dxa"/>
            <w:vAlign w:val="center"/>
          </w:tcPr>
          <w:p w:rsidR="006B1499" w:rsidRPr="00066D77" w:rsidRDefault="006B1499" w:rsidP="006B1499">
            <w:pPr>
              <w:jc w:val="center"/>
              <w:rPr>
                <w:szCs w:val="18"/>
              </w:rPr>
            </w:pPr>
          </w:p>
        </w:tc>
        <w:tc>
          <w:tcPr>
            <w:tcW w:w="1530" w:type="dxa"/>
            <w:vAlign w:val="center"/>
          </w:tcPr>
          <w:p w:rsidR="006B1499" w:rsidRPr="00066D77" w:rsidRDefault="006B1499" w:rsidP="006B1499">
            <w:pPr>
              <w:jc w:val="center"/>
              <w:rPr>
                <w:szCs w:val="18"/>
              </w:rPr>
            </w:pPr>
            <w:r w:rsidRPr="00066D77">
              <w:rPr>
                <w:szCs w:val="18"/>
              </w:rPr>
              <w:t>water: 40</w:t>
            </w:r>
          </w:p>
          <w:p w:rsidR="006B1499" w:rsidRPr="00066D77" w:rsidRDefault="006B1499" w:rsidP="006B1499">
            <w:pPr>
              <w:jc w:val="center"/>
              <w:rPr>
                <w:szCs w:val="18"/>
              </w:rPr>
            </w:pPr>
            <w:r w:rsidRPr="00066D77">
              <w:rPr>
                <w:szCs w:val="18"/>
              </w:rPr>
              <w:t>sanitation: 60</w:t>
            </w:r>
          </w:p>
        </w:tc>
      </w:tr>
      <w:tr w:rsidR="006B1499" w:rsidRPr="00066D77">
        <w:tc>
          <w:tcPr>
            <w:tcW w:w="1915" w:type="dxa"/>
            <w:vAlign w:val="center"/>
          </w:tcPr>
          <w:p w:rsidR="006B1499" w:rsidRPr="00066D77" w:rsidRDefault="006B1499" w:rsidP="006B1499">
            <w:pPr>
              <w:rPr>
                <w:szCs w:val="18"/>
              </w:rPr>
            </w:pPr>
            <w:r w:rsidRPr="00066D77">
              <w:rPr>
                <w:szCs w:val="18"/>
              </w:rPr>
              <w:t xml:space="preserve">Ashley and Cashman </w:t>
            </w:r>
            <w:r w:rsidR="00F7383F" w:rsidRPr="00066D77">
              <w:rPr>
                <w:szCs w:val="18"/>
              </w:rPr>
              <w:fldChar w:fldCharType="begin"/>
            </w:r>
            <w:r>
              <w:rPr>
                <w:szCs w:val="18"/>
              </w:rPr>
              <w:instrText xml:space="preserve"> ADDIN ZOTERO_ITEM CSL_CITATION {"citationID":"PkT4bfSJ","properties":{"formattedCitation":"(2006, 253)","plainCitation":"(2006, 253)"},"citationItems":[{"id":29,"uris":["http://zotero.org/groups/4482/items/4UR7B79N"],"uri":["http://zotero.org/groups/4482/items/4UR7B79N"],"itemData":{"id":29,"type":"chapter","title":"The Impacts of Change on the Long-term Future Demand for Water Sector Infrastructure","container-title":"Infrastructure to 2030 Volume 1: Telecom, Land Transport, Water and Electricity","collection-title":"Infrastructure to 2030","publisher":"Organisation for Economic Cooperation and Development (OECD)","publisher-place":"Paris","page":"241-349","event-place":"Paris","ISBN":"9264023984","call-number":"0000","editor":[{"family":"Organisation for Economic Cooperation and Development (OECD)","given":""}],"author":[{"family":"Ashley","given":"Richard"},{"family":"Cashman","given":"Adrian"}],"issued":{"year":2006},"page-first":"241"},"locator":"253","label":"page","suppress-author":true}],"schema":"https://github.com/citation-style-language/schema/raw/master/csl-citation.json"} </w:instrText>
            </w:r>
            <w:r w:rsidR="00F7383F" w:rsidRPr="00066D77">
              <w:rPr>
                <w:szCs w:val="18"/>
              </w:rPr>
              <w:fldChar w:fldCharType="separate"/>
            </w:r>
            <w:r w:rsidRPr="00066D77">
              <w:rPr>
                <w:rFonts w:cs="Calibri"/>
                <w:szCs w:val="21"/>
              </w:rPr>
              <w:t>(2006, 253)</w:t>
            </w:r>
            <w:r w:rsidR="00F7383F" w:rsidRPr="00066D77">
              <w:rPr>
                <w:szCs w:val="18"/>
              </w:rPr>
              <w:fldChar w:fldCharType="end"/>
            </w:r>
            <w:r w:rsidRPr="00066D77">
              <w:rPr>
                <w:szCs w:val="18"/>
              </w:rPr>
              <w:t>**</w:t>
            </w:r>
          </w:p>
        </w:tc>
        <w:tc>
          <w:tcPr>
            <w:tcW w:w="1915" w:type="dxa"/>
            <w:vAlign w:val="center"/>
          </w:tcPr>
          <w:p w:rsidR="006B1499" w:rsidRPr="00066D77" w:rsidRDefault="006B1499" w:rsidP="006B1499">
            <w:pPr>
              <w:jc w:val="center"/>
              <w:rPr>
                <w:szCs w:val="18"/>
              </w:rPr>
            </w:pPr>
            <w:r w:rsidRPr="00066D77">
              <w:rPr>
                <w:szCs w:val="18"/>
              </w:rPr>
              <w:t>$US, no date, per head</w:t>
            </w:r>
          </w:p>
        </w:tc>
        <w:tc>
          <w:tcPr>
            <w:tcW w:w="1915" w:type="dxa"/>
            <w:vAlign w:val="center"/>
          </w:tcPr>
          <w:p w:rsidR="006B1499" w:rsidRPr="00066D77" w:rsidRDefault="006B1499" w:rsidP="006B1499">
            <w:pPr>
              <w:jc w:val="center"/>
              <w:rPr>
                <w:szCs w:val="18"/>
              </w:rPr>
            </w:pPr>
            <w:r w:rsidRPr="00066D77">
              <w:rPr>
                <w:szCs w:val="18"/>
              </w:rPr>
              <w:t>Water supply: 450-1800</w:t>
            </w:r>
          </w:p>
          <w:p w:rsidR="006B1499" w:rsidRPr="00066D77" w:rsidRDefault="006B1499" w:rsidP="006B1499">
            <w:pPr>
              <w:jc w:val="center"/>
              <w:rPr>
                <w:szCs w:val="18"/>
              </w:rPr>
            </w:pPr>
            <w:r w:rsidRPr="00066D77">
              <w:rPr>
                <w:szCs w:val="18"/>
              </w:rPr>
              <w:t>Sewage disposal: 650-2200</w:t>
            </w:r>
          </w:p>
        </w:tc>
        <w:tc>
          <w:tcPr>
            <w:tcW w:w="1833" w:type="dxa"/>
            <w:vAlign w:val="center"/>
          </w:tcPr>
          <w:p w:rsidR="006B1499" w:rsidRPr="00066D77" w:rsidRDefault="006B1499" w:rsidP="006B1499">
            <w:pPr>
              <w:jc w:val="center"/>
              <w:rPr>
                <w:szCs w:val="18"/>
              </w:rPr>
            </w:pPr>
          </w:p>
        </w:tc>
        <w:tc>
          <w:tcPr>
            <w:tcW w:w="1530" w:type="dxa"/>
            <w:vAlign w:val="center"/>
          </w:tcPr>
          <w:p w:rsidR="006B1499" w:rsidRPr="00066D77" w:rsidRDefault="006B1499" w:rsidP="006B1499">
            <w:pPr>
              <w:jc w:val="center"/>
              <w:rPr>
                <w:szCs w:val="18"/>
              </w:rPr>
            </w:pPr>
          </w:p>
        </w:tc>
      </w:tr>
      <w:tr w:rsidR="006B1499" w:rsidRPr="00066D77">
        <w:tc>
          <w:tcPr>
            <w:tcW w:w="1915" w:type="dxa"/>
            <w:vAlign w:val="center"/>
          </w:tcPr>
          <w:p w:rsidR="006B1499" w:rsidRPr="00066D77" w:rsidRDefault="006B1499" w:rsidP="006B1499">
            <w:pPr>
              <w:rPr>
                <w:szCs w:val="18"/>
              </w:rPr>
            </w:pPr>
            <w:r w:rsidRPr="00066D77">
              <w:rPr>
                <w:szCs w:val="18"/>
              </w:rPr>
              <w:t>Us at the moment</w:t>
            </w:r>
          </w:p>
        </w:tc>
        <w:tc>
          <w:tcPr>
            <w:tcW w:w="1915" w:type="dxa"/>
            <w:vAlign w:val="center"/>
          </w:tcPr>
          <w:p w:rsidR="006B1499" w:rsidRPr="00066D77" w:rsidRDefault="006B1499" w:rsidP="006B1499">
            <w:pPr>
              <w:jc w:val="center"/>
              <w:rPr>
                <w:szCs w:val="18"/>
              </w:rPr>
            </w:pPr>
            <w:r w:rsidRPr="00066D77">
              <w:rPr>
                <w:szCs w:val="18"/>
              </w:rPr>
              <w:t>Constant $2000 per connection</w:t>
            </w:r>
          </w:p>
        </w:tc>
        <w:tc>
          <w:tcPr>
            <w:tcW w:w="1915" w:type="dxa"/>
            <w:vAlign w:val="center"/>
          </w:tcPr>
          <w:p w:rsidR="006B1499" w:rsidRPr="00066D77" w:rsidRDefault="006B1499" w:rsidP="006B1499">
            <w:pPr>
              <w:jc w:val="center"/>
              <w:rPr>
                <w:szCs w:val="18"/>
              </w:rPr>
            </w:pPr>
            <w:r w:rsidRPr="00066D77">
              <w:rPr>
                <w:szCs w:val="18"/>
              </w:rPr>
              <w:t>Water: 300 below 5K income, rising to 600 above 10K</w:t>
            </w:r>
          </w:p>
          <w:p w:rsidR="006B1499" w:rsidRPr="00066D77" w:rsidRDefault="006B1499" w:rsidP="006B1499">
            <w:pPr>
              <w:jc w:val="center"/>
              <w:rPr>
                <w:szCs w:val="18"/>
              </w:rPr>
            </w:pPr>
            <w:r w:rsidRPr="00066D77">
              <w:rPr>
                <w:szCs w:val="18"/>
              </w:rPr>
              <w:t>Sanitation: 400 below 5K income, rising to 800 above 10K</w:t>
            </w:r>
          </w:p>
        </w:tc>
        <w:tc>
          <w:tcPr>
            <w:tcW w:w="1833" w:type="dxa"/>
            <w:vAlign w:val="center"/>
          </w:tcPr>
          <w:p w:rsidR="006B1499" w:rsidRPr="00066D77" w:rsidRDefault="006B1499" w:rsidP="006B1499">
            <w:pPr>
              <w:jc w:val="center"/>
              <w:rPr>
                <w:szCs w:val="18"/>
              </w:rPr>
            </w:pPr>
          </w:p>
        </w:tc>
        <w:tc>
          <w:tcPr>
            <w:tcW w:w="1530" w:type="dxa"/>
            <w:vAlign w:val="center"/>
          </w:tcPr>
          <w:p w:rsidR="006B1499" w:rsidRPr="00066D77" w:rsidRDefault="006B1499" w:rsidP="006B1499">
            <w:pPr>
              <w:jc w:val="center"/>
              <w:rPr>
                <w:szCs w:val="18"/>
              </w:rPr>
            </w:pPr>
            <w:r w:rsidRPr="00066D77">
              <w:rPr>
                <w:szCs w:val="18"/>
              </w:rPr>
              <w:t>30</w:t>
            </w:r>
          </w:p>
        </w:tc>
      </w:tr>
      <w:tr w:rsidR="006B1499" w:rsidRPr="00066D77">
        <w:tc>
          <w:tcPr>
            <w:tcW w:w="9108" w:type="dxa"/>
            <w:gridSpan w:val="5"/>
          </w:tcPr>
          <w:p w:rsidR="006B1499" w:rsidRPr="00066D77" w:rsidRDefault="006B1499" w:rsidP="006B1499">
            <w:pPr>
              <w:rPr>
                <w:szCs w:val="18"/>
              </w:rPr>
            </w:pPr>
            <w:r w:rsidRPr="00066D77">
              <w:t>*</w:t>
            </w:r>
            <w:r w:rsidRPr="00066D77">
              <w:rPr>
                <w:szCs w:val="18"/>
              </w:rPr>
              <w:t xml:space="preserve"> Actual data from personal communication with Gordon Hughes. Also they multiply their unit costs by a country building cost factor, which ranges from 0.8 to 1.1.</w:t>
            </w:r>
          </w:p>
          <w:p w:rsidR="006B1499" w:rsidRPr="00066D77" w:rsidRDefault="006B1499" w:rsidP="006B1499">
            <w:r w:rsidRPr="00066D77">
              <w:rPr>
                <w:szCs w:val="18"/>
              </w:rPr>
              <w:t>** For centralized systems in developed countries. Not clear if this is only for new construction. Sanitation numbers include centralized treatment system.</w:t>
            </w:r>
          </w:p>
        </w:tc>
      </w:tr>
    </w:tbl>
    <w:p w:rsidR="006B1499" w:rsidRPr="00066D77" w:rsidRDefault="006B1499" w:rsidP="006B1499"/>
    <w:tbl>
      <w:tblPr>
        <w:tblStyle w:val="TableGrid"/>
        <w:tblW w:w="0" w:type="auto"/>
        <w:tblLook w:val="04A0"/>
      </w:tblPr>
      <w:tblGrid>
        <w:gridCol w:w="1913"/>
        <w:gridCol w:w="1913"/>
        <w:gridCol w:w="1913"/>
        <w:gridCol w:w="1913"/>
        <w:gridCol w:w="1456"/>
      </w:tblGrid>
      <w:tr w:rsidR="006B1499" w:rsidRPr="00066D77">
        <w:trPr>
          <w:trHeight w:val="215"/>
        </w:trPr>
        <w:tc>
          <w:tcPr>
            <w:tcW w:w="9108" w:type="dxa"/>
            <w:gridSpan w:val="5"/>
          </w:tcPr>
          <w:p w:rsidR="006B1499" w:rsidRPr="00066D77" w:rsidRDefault="006B1499" w:rsidP="006B1499">
            <w:pPr>
              <w:rPr>
                <w:b/>
              </w:rPr>
            </w:pPr>
            <w:r>
              <w:rPr>
                <w:b/>
              </w:rPr>
              <w:t>Table 4.5 Unit costs and lifetimes for wastewater treatment from other s</w:t>
            </w:r>
            <w:r w:rsidRPr="00066D77">
              <w:rPr>
                <w:b/>
              </w:rPr>
              <w:t>tudies</w:t>
            </w:r>
          </w:p>
        </w:tc>
      </w:tr>
      <w:tr w:rsidR="006B1499" w:rsidRPr="00066D77">
        <w:trPr>
          <w:trHeight w:val="429"/>
        </w:trPr>
        <w:tc>
          <w:tcPr>
            <w:tcW w:w="1913" w:type="dxa"/>
            <w:vAlign w:val="bottom"/>
          </w:tcPr>
          <w:p w:rsidR="006B1499" w:rsidRPr="00066D77" w:rsidRDefault="006B1499" w:rsidP="006B1499">
            <w:r w:rsidRPr="00066D77">
              <w:t>Study</w:t>
            </w:r>
          </w:p>
        </w:tc>
        <w:tc>
          <w:tcPr>
            <w:tcW w:w="1913" w:type="dxa"/>
            <w:vAlign w:val="center"/>
          </w:tcPr>
          <w:p w:rsidR="006B1499" w:rsidRPr="004F1F9C" w:rsidRDefault="006B1499" w:rsidP="006B1499">
            <w:pPr>
              <w:keepNext/>
              <w:keepLines/>
              <w:jc w:val="center"/>
            </w:pPr>
            <w:r w:rsidRPr="004F1F9C">
              <w:t>Units</w:t>
            </w:r>
          </w:p>
        </w:tc>
        <w:tc>
          <w:tcPr>
            <w:tcW w:w="1913" w:type="dxa"/>
            <w:vAlign w:val="center"/>
          </w:tcPr>
          <w:p w:rsidR="006B1499" w:rsidRPr="004F1F9C" w:rsidRDefault="006B1499" w:rsidP="006B1499">
            <w:pPr>
              <w:keepNext/>
              <w:keepLines/>
              <w:jc w:val="center"/>
            </w:pPr>
            <w:r>
              <w:t>Costs of new c</w:t>
            </w:r>
            <w:r w:rsidRPr="004F1F9C">
              <w:t>onstruction</w:t>
            </w:r>
          </w:p>
        </w:tc>
        <w:tc>
          <w:tcPr>
            <w:tcW w:w="1913" w:type="dxa"/>
            <w:vAlign w:val="center"/>
          </w:tcPr>
          <w:p w:rsidR="006B1499" w:rsidRPr="004F1F9C" w:rsidRDefault="006B1499" w:rsidP="006B1499">
            <w:pPr>
              <w:keepNext/>
              <w:keepLines/>
              <w:jc w:val="center"/>
            </w:pPr>
            <w:r>
              <w:t>Annual recurrent c</w:t>
            </w:r>
            <w:r w:rsidRPr="004F1F9C">
              <w:t>osts</w:t>
            </w:r>
          </w:p>
        </w:tc>
        <w:tc>
          <w:tcPr>
            <w:tcW w:w="1456" w:type="dxa"/>
            <w:vAlign w:val="center"/>
          </w:tcPr>
          <w:p w:rsidR="006B1499" w:rsidRPr="004F1F9C" w:rsidRDefault="006B1499" w:rsidP="006B1499">
            <w:pPr>
              <w:keepNext/>
              <w:keepLines/>
              <w:jc w:val="center"/>
            </w:pPr>
            <w:r>
              <w:t>Lifetime in y</w:t>
            </w:r>
            <w:r w:rsidRPr="004F1F9C">
              <w:t>ears</w:t>
            </w:r>
          </w:p>
        </w:tc>
      </w:tr>
      <w:tr w:rsidR="006B1499" w:rsidRPr="00066D77">
        <w:trPr>
          <w:trHeight w:val="354"/>
        </w:trPr>
        <w:tc>
          <w:tcPr>
            <w:tcW w:w="1913" w:type="dxa"/>
            <w:vAlign w:val="center"/>
          </w:tcPr>
          <w:p w:rsidR="006B1499" w:rsidRPr="00066D77" w:rsidRDefault="006B1499" w:rsidP="006B1499">
            <w:r w:rsidRPr="00066D77">
              <w:rPr>
                <w:szCs w:val="18"/>
              </w:rPr>
              <w:t>Yepes (2008, 7)</w:t>
            </w:r>
          </w:p>
        </w:tc>
        <w:tc>
          <w:tcPr>
            <w:tcW w:w="1913" w:type="dxa"/>
            <w:vAlign w:val="center"/>
          </w:tcPr>
          <w:p w:rsidR="006B1499" w:rsidRPr="00066D77" w:rsidRDefault="006B1499" w:rsidP="006B1499">
            <w:pPr>
              <w:jc w:val="center"/>
            </w:pPr>
            <w:r w:rsidRPr="00066D77">
              <w:rPr>
                <w:szCs w:val="18"/>
              </w:rPr>
              <w:t>Constant $US 2005, per person</w:t>
            </w:r>
          </w:p>
        </w:tc>
        <w:tc>
          <w:tcPr>
            <w:tcW w:w="1913" w:type="dxa"/>
            <w:vAlign w:val="center"/>
          </w:tcPr>
          <w:p w:rsidR="006B1499" w:rsidRPr="00066D77" w:rsidRDefault="006B1499" w:rsidP="006B1499">
            <w:pPr>
              <w:jc w:val="center"/>
              <w:rPr>
                <w:szCs w:val="18"/>
              </w:rPr>
            </w:pPr>
            <w:r w:rsidRPr="00066D77">
              <w:rPr>
                <w:szCs w:val="18"/>
              </w:rPr>
              <w:t>120</w:t>
            </w:r>
          </w:p>
        </w:tc>
        <w:tc>
          <w:tcPr>
            <w:tcW w:w="1913" w:type="dxa"/>
            <w:vAlign w:val="center"/>
          </w:tcPr>
          <w:p w:rsidR="006B1499" w:rsidRPr="00066D77" w:rsidRDefault="006B1499" w:rsidP="006B1499">
            <w:pPr>
              <w:jc w:val="center"/>
              <w:rPr>
                <w:szCs w:val="18"/>
              </w:rPr>
            </w:pPr>
            <w:r w:rsidRPr="00066D77">
              <w:rPr>
                <w:szCs w:val="18"/>
              </w:rPr>
              <w:t>3% of stock value</w:t>
            </w:r>
          </w:p>
        </w:tc>
        <w:tc>
          <w:tcPr>
            <w:tcW w:w="1456" w:type="dxa"/>
            <w:vAlign w:val="center"/>
          </w:tcPr>
          <w:p w:rsidR="006B1499" w:rsidRPr="00066D77" w:rsidRDefault="006B1499" w:rsidP="006B1499">
            <w:pPr>
              <w:jc w:val="center"/>
              <w:rPr>
                <w:szCs w:val="18"/>
              </w:rPr>
            </w:pPr>
          </w:p>
        </w:tc>
      </w:tr>
      <w:tr w:rsidR="006B1499" w:rsidRPr="00066D77">
        <w:trPr>
          <w:trHeight w:val="343"/>
        </w:trPr>
        <w:tc>
          <w:tcPr>
            <w:tcW w:w="1913" w:type="dxa"/>
            <w:vAlign w:val="center"/>
          </w:tcPr>
          <w:p w:rsidR="006B1499" w:rsidRPr="00066D77" w:rsidRDefault="006B1499" w:rsidP="006B1499">
            <w:pPr>
              <w:rPr>
                <w:szCs w:val="18"/>
              </w:rPr>
            </w:pPr>
            <w:r w:rsidRPr="00066D77">
              <w:rPr>
                <w:szCs w:val="18"/>
              </w:rPr>
              <w:t>Us at the moment</w:t>
            </w:r>
          </w:p>
        </w:tc>
        <w:tc>
          <w:tcPr>
            <w:tcW w:w="1913" w:type="dxa"/>
            <w:vAlign w:val="center"/>
          </w:tcPr>
          <w:p w:rsidR="006B1499" w:rsidRPr="00066D77" w:rsidRDefault="006B1499" w:rsidP="006B1499">
            <w:pPr>
              <w:jc w:val="center"/>
              <w:rPr>
                <w:szCs w:val="18"/>
              </w:rPr>
            </w:pPr>
            <w:r w:rsidRPr="00066D77">
              <w:rPr>
                <w:szCs w:val="18"/>
              </w:rPr>
              <w:t>constant $2000 per connection</w:t>
            </w:r>
          </w:p>
        </w:tc>
        <w:tc>
          <w:tcPr>
            <w:tcW w:w="1913" w:type="dxa"/>
            <w:vAlign w:val="center"/>
          </w:tcPr>
          <w:p w:rsidR="006B1499" w:rsidRPr="00066D77" w:rsidRDefault="006B1499" w:rsidP="006B1499">
            <w:pPr>
              <w:jc w:val="center"/>
              <w:rPr>
                <w:szCs w:val="18"/>
              </w:rPr>
            </w:pPr>
            <w:r w:rsidRPr="00066D77">
              <w:rPr>
                <w:szCs w:val="18"/>
              </w:rPr>
              <w:t>120</w:t>
            </w:r>
          </w:p>
        </w:tc>
        <w:tc>
          <w:tcPr>
            <w:tcW w:w="1913" w:type="dxa"/>
            <w:vAlign w:val="center"/>
          </w:tcPr>
          <w:p w:rsidR="006B1499" w:rsidRPr="00066D77" w:rsidRDefault="006B1499" w:rsidP="006B1499">
            <w:pPr>
              <w:jc w:val="center"/>
              <w:rPr>
                <w:szCs w:val="18"/>
              </w:rPr>
            </w:pPr>
          </w:p>
        </w:tc>
        <w:tc>
          <w:tcPr>
            <w:tcW w:w="1456" w:type="dxa"/>
            <w:vAlign w:val="center"/>
          </w:tcPr>
          <w:p w:rsidR="006B1499" w:rsidRPr="00066D77" w:rsidRDefault="006B1499" w:rsidP="006B1499">
            <w:pPr>
              <w:jc w:val="center"/>
              <w:rPr>
                <w:szCs w:val="18"/>
              </w:rPr>
            </w:pPr>
            <w:r w:rsidRPr="00066D77">
              <w:rPr>
                <w:szCs w:val="18"/>
              </w:rPr>
              <w:t>30</w:t>
            </w:r>
          </w:p>
        </w:tc>
      </w:tr>
      <w:tr w:rsidR="006B1499" w:rsidRPr="00066D77">
        <w:trPr>
          <w:trHeight w:val="394"/>
        </w:trPr>
        <w:tc>
          <w:tcPr>
            <w:tcW w:w="9108" w:type="dxa"/>
            <w:gridSpan w:val="5"/>
            <w:tcBorders>
              <w:bottom w:val="single" w:sz="4" w:space="0" w:color="000000" w:themeColor="text1"/>
            </w:tcBorders>
          </w:tcPr>
          <w:p w:rsidR="006B1499" w:rsidRPr="00066D77" w:rsidRDefault="006B1499" w:rsidP="006B1499">
            <w:pPr>
              <w:jc w:val="center"/>
              <w:rPr>
                <w:szCs w:val="18"/>
              </w:rPr>
            </w:pPr>
          </w:p>
        </w:tc>
      </w:tr>
    </w:tbl>
    <w:p w:rsidR="006B1499" w:rsidRPr="00066D77" w:rsidRDefault="006B1499" w:rsidP="006B1499"/>
    <w:tbl>
      <w:tblPr>
        <w:tblStyle w:val="TableGrid"/>
        <w:tblW w:w="0" w:type="auto"/>
        <w:tblLook w:val="04A0"/>
      </w:tblPr>
      <w:tblGrid>
        <w:gridCol w:w="1915"/>
        <w:gridCol w:w="1915"/>
        <w:gridCol w:w="1915"/>
        <w:gridCol w:w="1915"/>
        <w:gridCol w:w="1448"/>
      </w:tblGrid>
      <w:tr w:rsidR="006B1499" w:rsidRPr="00066D77">
        <w:tc>
          <w:tcPr>
            <w:tcW w:w="9108" w:type="dxa"/>
            <w:gridSpan w:val="5"/>
          </w:tcPr>
          <w:p w:rsidR="006B1499" w:rsidRPr="00066D77" w:rsidRDefault="006B1499" w:rsidP="006B1499">
            <w:pPr>
              <w:rPr>
                <w:b/>
              </w:rPr>
            </w:pPr>
            <w:r>
              <w:rPr>
                <w:b/>
              </w:rPr>
              <w:t>Table 4.6 Unit costs and lifetimes for irrigation from other s</w:t>
            </w:r>
            <w:r w:rsidRPr="00066D77">
              <w:rPr>
                <w:b/>
              </w:rPr>
              <w:t>tudies</w:t>
            </w:r>
          </w:p>
        </w:tc>
      </w:tr>
      <w:tr w:rsidR="006B1499" w:rsidRPr="00066D77">
        <w:tc>
          <w:tcPr>
            <w:tcW w:w="1915" w:type="dxa"/>
            <w:vAlign w:val="bottom"/>
          </w:tcPr>
          <w:p w:rsidR="006B1499" w:rsidRPr="00066D77" w:rsidRDefault="006B1499" w:rsidP="006B1499">
            <w:r w:rsidRPr="00066D77">
              <w:t>Study</w:t>
            </w:r>
          </w:p>
        </w:tc>
        <w:tc>
          <w:tcPr>
            <w:tcW w:w="1915" w:type="dxa"/>
            <w:vAlign w:val="center"/>
          </w:tcPr>
          <w:p w:rsidR="006B1499" w:rsidRPr="004F1F9C" w:rsidRDefault="006B1499" w:rsidP="006B1499">
            <w:pPr>
              <w:keepNext/>
              <w:keepLines/>
              <w:jc w:val="center"/>
            </w:pPr>
            <w:r w:rsidRPr="004F1F9C">
              <w:t>Units</w:t>
            </w:r>
          </w:p>
        </w:tc>
        <w:tc>
          <w:tcPr>
            <w:tcW w:w="1915" w:type="dxa"/>
            <w:vAlign w:val="center"/>
          </w:tcPr>
          <w:p w:rsidR="006B1499" w:rsidRPr="004F1F9C" w:rsidRDefault="006B1499" w:rsidP="006B1499">
            <w:pPr>
              <w:keepNext/>
              <w:keepLines/>
              <w:jc w:val="center"/>
            </w:pPr>
            <w:r>
              <w:t>Costs of new c</w:t>
            </w:r>
            <w:r w:rsidRPr="004F1F9C">
              <w:t>onstruction</w:t>
            </w:r>
          </w:p>
        </w:tc>
        <w:tc>
          <w:tcPr>
            <w:tcW w:w="1915" w:type="dxa"/>
            <w:vAlign w:val="center"/>
          </w:tcPr>
          <w:p w:rsidR="006B1499" w:rsidRPr="004F1F9C" w:rsidRDefault="006B1499" w:rsidP="006B1499">
            <w:pPr>
              <w:keepNext/>
              <w:keepLines/>
              <w:jc w:val="center"/>
            </w:pPr>
            <w:r>
              <w:t>Annual recurrent c</w:t>
            </w:r>
            <w:r w:rsidRPr="004F1F9C">
              <w:t>osts</w:t>
            </w:r>
          </w:p>
        </w:tc>
        <w:tc>
          <w:tcPr>
            <w:tcW w:w="1448" w:type="dxa"/>
            <w:vAlign w:val="center"/>
          </w:tcPr>
          <w:p w:rsidR="006B1499" w:rsidRPr="004F1F9C" w:rsidRDefault="006B1499" w:rsidP="006B1499">
            <w:pPr>
              <w:keepNext/>
              <w:keepLines/>
              <w:jc w:val="center"/>
            </w:pPr>
            <w:r>
              <w:t>Lifetime in y</w:t>
            </w:r>
            <w:r w:rsidRPr="004F1F9C">
              <w:t>ears</w:t>
            </w:r>
          </w:p>
        </w:tc>
      </w:tr>
      <w:tr w:rsidR="006B1499" w:rsidRPr="00066D77">
        <w:tc>
          <w:tcPr>
            <w:tcW w:w="1915" w:type="dxa"/>
            <w:vAlign w:val="center"/>
          </w:tcPr>
          <w:p w:rsidR="006B1499" w:rsidRPr="00066D77" w:rsidRDefault="006B1499" w:rsidP="006B1499">
            <w:pPr>
              <w:rPr>
                <w:szCs w:val="18"/>
              </w:rPr>
            </w:pPr>
            <w:r w:rsidRPr="00066D77">
              <w:rPr>
                <w:szCs w:val="18"/>
              </w:rPr>
              <w:t xml:space="preserve">Inocencio et al </w:t>
            </w:r>
            <w:r w:rsidR="00F7383F" w:rsidRPr="00066D77">
              <w:rPr>
                <w:szCs w:val="18"/>
              </w:rPr>
              <w:fldChar w:fldCharType="begin"/>
            </w:r>
            <w:r>
              <w:rPr>
                <w:szCs w:val="18"/>
              </w:rPr>
              <w:instrText xml:space="preserve"> ADDIN ZOTERO_ITEM CSL_CITATION {"citationID":"ESrxAQzA","properties":{"formattedCitation":"(2007, 18)","plainCitation":"(2007, 18)"},"citationItems":[{"id":1045,"uris":["http://zotero.org/groups/4482/items/U256GQZN"],"uri":["http://zotero.org/groups/4482/items/U256GQZN"],"itemData":{"id":1045,"type":"manuscript","title":"Costs and Performance of Irrigation Projects: A Comparison of Sub-Saharan Africa and Other Developing Regions","publisher-place":"Colombo, Sri Lanka","event-place":"Colombo, Sri Lanka","URL":"http://www.ifad.org/events/hs/doc/irrigation_projects.pdf","call-number":"0030","note":"International Water Management Institute","author":[{"family":"Inocencio","given":"Arlene"},{"family":"Kikuchi","given":"Masao"},{"family":"Tonosaki","given":"Manabu"},{"family":"Maruyama","given":"Atsushi"},{"family":"Merrey","given":"Douglas"},{"family":"Sally","given":"Hilmy"},{"family":"de Jong","given":"Ijsbrand"}],"issued":{"year":2007}},"locator":"18","label":"page","suppress-author":true}],"schema":"https://github.com/citation-style-language/schema/raw/master/csl-citation.json"} </w:instrText>
            </w:r>
            <w:r w:rsidR="00F7383F" w:rsidRPr="00066D77">
              <w:rPr>
                <w:szCs w:val="18"/>
              </w:rPr>
              <w:fldChar w:fldCharType="separate"/>
            </w:r>
            <w:r w:rsidRPr="00066D77">
              <w:rPr>
                <w:rFonts w:cs="Calibri"/>
                <w:szCs w:val="18"/>
              </w:rPr>
              <w:t>(2007, 18)</w:t>
            </w:r>
            <w:r w:rsidR="00F7383F" w:rsidRPr="00066D77">
              <w:rPr>
                <w:szCs w:val="18"/>
              </w:rPr>
              <w:fldChar w:fldCharType="end"/>
            </w:r>
            <w:r w:rsidRPr="00066D77">
              <w:rPr>
                <w:szCs w:val="18"/>
              </w:rPr>
              <w:t>*</w:t>
            </w:r>
          </w:p>
        </w:tc>
        <w:tc>
          <w:tcPr>
            <w:tcW w:w="1915" w:type="dxa"/>
            <w:vAlign w:val="center"/>
          </w:tcPr>
          <w:p w:rsidR="006B1499" w:rsidRPr="00066D77" w:rsidRDefault="006B1499" w:rsidP="006B1499">
            <w:pPr>
              <w:jc w:val="center"/>
              <w:rPr>
                <w:szCs w:val="18"/>
              </w:rPr>
            </w:pPr>
            <w:r w:rsidRPr="00066D77">
              <w:rPr>
                <w:szCs w:val="18"/>
              </w:rPr>
              <w:t>$US2000 per ha</w:t>
            </w:r>
          </w:p>
        </w:tc>
        <w:tc>
          <w:tcPr>
            <w:tcW w:w="1915" w:type="dxa"/>
            <w:vAlign w:val="center"/>
          </w:tcPr>
          <w:p w:rsidR="006B1499" w:rsidRPr="00066D77" w:rsidRDefault="006B1499" w:rsidP="006B1499">
            <w:pPr>
              <w:jc w:val="center"/>
              <w:rPr>
                <w:szCs w:val="18"/>
              </w:rPr>
            </w:pPr>
            <w:r w:rsidRPr="00066D77">
              <w:rPr>
                <w:szCs w:val="18"/>
              </w:rPr>
              <w:t>ALL: 8,213 (4,785)</w:t>
            </w:r>
          </w:p>
          <w:p w:rsidR="006B1499" w:rsidRPr="00066D77" w:rsidRDefault="006B1499" w:rsidP="006B1499">
            <w:pPr>
              <w:jc w:val="center"/>
              <w:rPr>
                <w:szCs w:val="18"/>
              </w:rPr>
            </w:pPr>
            <w:r w:rsidRPr="00066D77">
              <w:rPr>
                <w:szCs w:val="18"/>
              </w:rPr>
              <w:t>SSA: 14,455 (5,726)</w:t>
            </w:r>
          </w:p>
          <w:p w:rsidR="006B1499" w:rsidRPr="00066D77" w:rsidRDefault="006B1499" w:rsidP="006B1499">
            <w:pPr>
              <w:jc w:val="center"/>
              <w:rPr>
                <w:szCs w:val="18"/>
              </w:rPr>
            </w:pPr>
            <w:r w:rsidRPr="00066D77">
              <w:rPr>
                <w:szCs w:val="18"/>
              </w:rPr>
              <w:t>MENA: 6,590 (8,464)</w:t>
            </w:r>
          </w:p>
          <w:p w:rsidR="006B1499" w:rsidRPr="00066D77" w:rsidRDefault="006B1499" w:rsidP="006B1499">
            <w:pPr>
              <w:jc w:val="center"/>
              <w:rPr>
                <w:szCs w:val="18"/>
              </w:rPr>
            </w:pPr>
            <w:r w:rsidRPr="00066D77">
              <w:rPr>
                <w:szCs w:val="18"/>
              </w:rPr>
              <w:t>South Asia: 3,393 (2,526)</w:t>
            </w:r>
          </w:p>
          <w:p w:rsidR="006B1499" w:rsidRPr="00066D77" w:rsidRDefault="006B1499" w:rsidP="006B1499">
            <w:pPr>
              <w:jc w:val="center"/>
              <w:rPr>
                <w:szCs w:val="18"/>
              </w:rPr>
            </w:pPr>
            <w:r w:rsidRPr="00066D77">
              <w:rPr>
                <w:szCs w:val="18"/>
              </w:rPr>
              <w:t>SE Asia: 9,709 (3,861)</w:t>
            </w:r>
          </w:p>
          <w:p w:rsidR="006B1499" w:rsidRPr="00066D77" w:rsidRDefault="006B1499" w:rsidP="006B1499">
            <w:pPr>
              <w:jc w:val="center"/>
              <w:rPr>
                <w:szCs w:val="18"/>
              </w:rPr>
            </w:pPr>
            <w:r w:rsidRPr="00066D77">
              <w:rPr>
                <w:szCs w:val="18"/>
              </w:rPr>
              <w:t>East Asia: 8,221 (4,101)</w:t>
            </w:r>
          </w:p>
          <w:p w:rsidR="006B1499" w:rsidRPr="00066D77" w:rsidRDefault="006B1499" w:rsidP="006B1499">
            <w:pPr>
              <w:jc w:val="center"/>
              <w:rPr>
                <w:szCs w:val="18"/>
              </w:rPr>
            </w:pPr>
            <w:r w:rsidRPr="00066D77">
              <w:rPr>
                <w:szCs w:val="18"/>
              </w:rPr>
              <w:t>LAC: 4,903 (3,663)</w:t>
            </w:r>
          </w:p>
        </w:tc>
        <w:tc>
          <w:tcPr>
            <w:tcW w:w="1915" w:type="dxa"/>
            <w:vAlign w:val="center"/>
          </w:tcPr>
          <w:p w:rsidR="006B1499" w:rsidRPr="00066D77" w:rsidRDefault="006B1499" w:rsidP="006B1499">
            <w:pPr>
              <w:jc w:val="center"/>
              <w:rPr>
                <w:szCs w:val="18"/>
              </w:rPr>
            </w:pPr>
          </w:p>
        </w:tc>
        <w:tc>
          <w:tcPr>
            <w:tcW w:w="1448" w:type="dxa"/>
            <w:vAlign w:val="center"/>
          </w:tcPr>
          <w:p w:rsidR="006B1499" w:rsidRPr="00066D77" w:rsidRDefault="006B1499" w:rsidP="006B1499">
            <w:pPr>
              <w:jc w:val="center"/>
              <w:rPr>
                <w:szCs w:val="18"/>
              </w:rPr>
            </w:pPr>
          </w:p>
        </w:tc>
      </w:tr>
      <w:tr w:rsidR="006B1499" w:rsidRPr="00066D77">
        <w:tc>
          <w:tcPr>
            <w:tcW w:w="1915" w:type="dxa"/>
            <w:vAlign w:val="center"/>
          </w:tcPr>
          <w:p w:rsidR="006B1499" w:rsidRPr="00066D77" w:rsidRDefault="006B1499" w:rsidP="006B1499">
            <w:pPr>
              <w:rPr>
                <w:szCs w:val="18"/>
              </w:rPr>
            </w:pPr>
            <w:r w:rsidRPr="00066D77">
              <w:rPr>
                <w:szCs w:val="18"/>
              </w:rPr>
              <w:t>AICD</w:t>
            </w:r>
          </w:p>
        </w:tc>
        <w:tc>
          <w:tcPr>
            <w:tcW w:w="1915" w:type="dxa"/>
            <w:vAlign w:val="center"/>
          </w:tcPr>
          <w:p w:rsidR="006B1499" w:rsidRPr="00066D77" w:rsidRDefault="006B1499" w:rsidP="006B1499">
            <w:pPr>
              <w:jc w:val="center"/>
              <w:rPr>
                <w:szCs w:val="18"/>
              </w:rPr>
            </w:pPr>
          </w:p>
        </w:tc>
        <w:tc>
          <w:tcPr>
            <w:tcW w:w="1915" w:type="dxa"/>
            <w:vAlign w:val="center"/>
          </w:tcPr>
          <w:p w:rsidR="006B1499" w:rsidRPr="00066D77" w:rsidRDefault="006B1499" w:rsidP="006B1499">
            <w:pPr>
              <w:jc w:val="center"/>
              <w:rPr>
                <w:szCs w:val="18"/>
              </w:rPr>
            </w:pPr>
          </w:p>
        </w:tc>
        <w:tc>
          <w:tcPr>
            <w:tcW w:w="1915" w:type="dxa"/>
            <w:vAlign w:val="center"/>
          </w:tcPr>
          <w:p w:rsidR="006B1499" w:rsidRPr="00066D77" w:rsidRDefault="006B1499" w:rsidP="006B1499">
            <w:pPr>
              <w:jc w:val="center"/>
              <w:rPr>
                <w:szCs w:val="18"/>
              </w:rPr>
            </w:pPr>
          </w:p>
        </w:tc>
        <w:tc>
          <w:tcPr>
            <w:tcW w:w="1448" w:type="dxa"/>
            <w:vAlign w:val="center"/>
          </w:tcPr>
          <w:p w:rsidR="006B1499" w:rsidRPr="00066D77" w:rsidRDefault="006B1499" w:rsidP="006B1499">
            <w:pPr>
              <w:jc w:val="center"/>
              <w:rPr>
                <w:szCs w:val="18"/>
              </w:rPr>
            </w:pPr>
          </w:p>
        </w:tc>
      </w:tr>
      <w:tr w:rsidR="006B1499" w:rsidRPr="00066D77">
        <w:tc>
          <w:tcPr>
            <w:tcW w:w="1915" w:type="dxa"/>
            <w:vAlign w:val="center"/>
          </w:tcPr>
          <w:p w:rsidR="006B1499" w:rsidRPr="00066D77" w:rsidRDefault="006B1499" w:rsidP="006B1499">
            <w:pPr>
              <w:rPr>
                <w:szCs w:val="18"/>
              </w:rPr>
            </w:pPr>
            <w:r w:rsidRPr="00066D77">
              <w:rPr>
                <w:szCs w:val="18"/>
              </w:rPr>
              <w:t>Us at the moment</w:t>
            </w:r>
          </w:p>
        </w:tc>
        <w:tc>
          <w:tcPr>
            <w:tcW w:w="1915" w:type="dxa"/>
            <w:vAlign w:val="center"/>
          </w:tcPr>
          <w:p w:rsidR="006B1499" w:rsidRPr="00066D77" w:rsidRDefault="006B1499" w:rsidP="006B1499">
            <w:pPr>
              <w:jc w:val="center"/>
              <w:rPr>
                <w:szCs w:val="18"/>
              </w:rPr>
            </w:pPr>
            <w:r w:rsidRPr="00066D77">
              <w:rPr>
                <w:szCs w:val="18"/>
              </w:rPr>
              <w:t>Constant $2000 per ha</w:t>
            </w:r>
          </w:p>
        </w:tc>
        <w:tc>
          <w:tcPr>
            <w:tcW w:w="1915" w:type="dxa"/>
            <w:vAlign w:val="center"/>
          </w:tcPr>
          <w:p w:rsidR="006B1499" w:rsidRPr="00066D77" w:rsidRDefault="006B1499" w:rsidP="006B1499">
            <w:pPr>
              <w:jc w:val="center"/>
              <w:rPr>
                <w:szCs w:val="18"/>
              </w:rPr>
            </w:pPr>
            <w:r w:rsidRPr="00066D77">
              <w:rPr>
                <w:szCs w:val="18"/>
              </w:rPr>
              <w:t>6,000</w:t>
            </w:r>
          </w:p>
        </w:tc>
        <w:tc>
          <w:tcPr>
            <w:tcW w:w="1915" w:type="dxa"/>
            <w:vAlign w:val="center"/>
          </w:tcPr>
          <w:p w:rsidR="006B1499" w:rsidRPr="00066D77" w:rsidRDefault="006B1499" w:rsidP="006B1499">
            <w:pPr>
              <w:jc w:val="center"/>
              <w:rPr>
                <w:szCs w:val="18"/>
              </w:rPr>
            </w:pPr>
          </w:p>
        </w:tc>
        <w:tc>
          <w:tcPr>
            <w:tcW w:w="1448" w:type="dxa"/>
            <w:vAlign w:val="center"/>
          </w:tcPr>
          <w:p w:rsidR="006B1499" w:rsidRPr="00066D77" w:rsidRDefault="006B1499" w:rsidP="006B1499">
            <w:pPr>
              <w:jc w:val="center"/>
              <w:rPr>
                <w:szCs w:val="18"/>
              </w:rPr>
            </w:pPr>
            <w:r w:rsidRPr="00066D77">
              <w:rPr>
                <w:szCs w:val="18"/>
              </w:rPr>
              <w:t>40</w:t>
            </w:r>
          </w:p>
        </w:tc>
      </w:tr>
      <w:tr w:rsidR="006B1499" w:rsidRPr="00066D77">
        <w:tc>
          <w:tcPr>
            <w:tcW w:w="9108" w:type="dxa"/>
            <w:gridSpan w:val="5"/>
          </w:tcPr>
          <w:p w:rsidR="006B1499" w:rsidRPr="00066D77" w:rsidRDefault="006B1499" w:rsidP="006B1499">
            <w:r w:rsidRPr="00066D77">
              <w:t>* values in parentheses are for</w:t>
            </w:r>
            <w:r>
              <w:t xml:space="preserve"> </w:t>
            </w:r>
            <w:r w:rsidRPr="00066D77">
              <w:t>‘success’ projects, where success defined by the economic internal rate of return; they also looked in some detail at what influences unit costs—among their basic findings was that unit costs for new construction have not changed over time, but they have declined for rehabilitation; larger projects have a lower unit cost; more government support leads to lower unit costs; and higher GDP per capita leads to higher unit costs (but is also associated with greater failure of projects)</w:t>
            </w:r>
          </w:p>
        </w:tc>
      </w:tr>
    </w:tbl>
    <w:p w:rsidR="006B1499" w:rsidRPr="004F1F9C" w:rsidRDefault="006B1499" w:rsidP="006B1499"/>
    <w:p w:rsidR="006B1499" w:rsidRPr="004F1F9C" w:rsidRDefault="006B1499" w:rsidP="006B1499">
      <w:pPr>
        <w:pStyle w:val="Heading4"/>
      </w:pPr>
      <w:bookmarkStart w:id="101" w:name="_Toc197147852"/>
      <w:bookmarkStart w:id="102" w:name="_Toc200095293"/>
      <w:r w:rsidRPr="004F1F9C">
        <w:t>4.3.2.3 Summary of unit cost data for electricity</w:t>
      </w:r>
      <w:bookmarkEnd w:id="101"/>
      <w:bookmarkEnd w:id="102"/>
    </w:p>
    <w:p w:rsidR="00A84F12" w:rsidRDefault="006B1499" w:rsidP="006B1499">
      <w:r w:rsidRPr="004F1F9C">
        <w:t>Unit costs for electricity generating capacity include both the cost of actually generating a kilowatt of electricity and the cost of distributing that kilowatt via associated transmission networks to households and businesses across the country. The exact breakdown used varies slightly by study, but in general, most studies, like Chatterton and Puerto (2006) and Kohli and Basil (2011) assume a 70/30 split, with generation representing 70 percent of the overall unit cost and distribution 30 percent. Fay and Yepes (2003, 10) went a step further, suggesting that the breakdown depends on technology used and population density of the area in question. But their general rule of thumb is to assume that generation makes up 60 percent of the unit cost, distribution 30 percent and transmission 10 percent.</w:t>
      </w:r>
      <w:r>
        <w:t xml:space="preserve"> </w:t>
      </w:r>
      <w:r w:rsidRPr="004F1F9C">
        <w:t xml:space="preserve"> </w:t>
      </w:r>
    </w:p>
    <w:p w:rsidR="006B1499" w:rsidRPr="004F1F9C" w:rsidRDefault="006B1499" w:rsidP="006B1499"/>
    <w:tbl>
      <w:tblPr>
        <w:tblStyle w:val="TableGrid"/>
        <w:tblW w:w="0" w:type="auto"/>
        <w:tblLook w:val="04A0"/>
      </w:tblPr>
      <w:tblGrid>
        <w:gridCol w:w="1915"/>
        <w:gridCol w:w="1915"/>
        <w:gridCol w:w="1915"/>
        <w:gridCol w:w="1915"/>
        <w:gridCol w:w="1448"/>
      </w:tblGrid>
      <w:tr w:rsidR="006B1499" w:rsidRPr="004F1F9C">
        <w:tc>
          <w:tcPr>
            <w:tcW w:w="9108" w:type="dxa"/>
            <w:gridSpan w:val="5"/>
          </w:tcPr>
          <w:p w:rsidR="006B1499" w:rsidRPr="004F1F9C" w:rsidRDefault="006B1499" w:rsidP="006B1499">
            <w:pPr>
              <w:rPr>
                <w:b/>
              </w:rPr>
            </w:pPr>
            <w:r>
              <w:rPr>
                <w:b/>
              </w:rPr>
              <w:t>Table 4.7 Unit costs and lifetimes for electricity generating capacity from other s</w:t>
            </w:r>
            <w:r w:rsidRPr="004F1F9C">
              <w:rPr>
                <w:b/>
              </w:rPr>
              <w:t>tudies</w:t>
            </w:r>
          </w:p>
        </w:tc>
      </w:tr>
      <w:tr w:rsidR="006B1499" w:rsidRPr="004F1F9C">
        <w:tc>
          <w:tcPr>
            <w:tcW w:w="1915" w:type="dxa"/>
            <w:vAlign w:val="bottom"/>
          </w:tcPr>
          <w:p w:rsidR="006B1499" w:rsidRPr="004F1F9C" w:rsidRDefault="006B1499" w:rsidP="006B1499">
            <w:r w:rsidRPr="004F1F9C">
              <w:t>Study</w:t>
            </w:r>
          </w:p>
        </w:tc>
        <w:tc>
          <w:tcPr>
            <w:tcW w:w="1915" w:type="dxa"/>
            <w:vAlign w:val="center"/>
          </w:tcPr>
          <w:p w:rsidR="006B1499" w:rsidRPr="004F1F9C" w:rsidRDefault="006B1499" w:rsidP="006B1499">
            <w:pPr>
              <w:keepNext/>
              <w:keepLines/>
              <w:jc w:val="center"/>
            </w:pPr>
            <w:r w:rsidRPr="004F1F9C">
              <w:t>Units</w:t>
            </w:r>
          </w:p>
        </w:tc>
        <w:tc>
          <w:tcPr>
            <w:tcW w:w="1915" w:type="dxa"/>
            <w:vAlign w:val="center"/>
          </w:tcPr>
          <w:p w:rsidR="006B1499" w:rsidRPr="004F1F9C" w:rsidRDefault="006B1499" w:rsidP="006B1499">
            <w:pPr>
              <w:keepNext/>
              <w:keepLines/>
              <w:jc w:val="center"/>
            </w:pPr>
            <w:r>
              <w:t>Costs of new c</w:t>
            </w:r>
            <w:r w:rsidRPr="004F1F9C">
              <w:t>onstruction</w:t>
            </w:r>
          </w:p>
        </w:tc>
        <w:tc>
          <w:tcPr>
            <w:tcW w:w="1915" w:type="dxa"/>
            <w:vAlign w:val="center"/>
          </w:tcPr>
          <w:p w:rsidR="006B1499" w:rsidRPr="004F1F9C" w:rsidRDefault="006B1499" w:rsidP="006B1499">
            <w:pPr>
              <w:keepNext/>
              <w:keepLines/>
              <w:jc w:val="center"/>
            </w:pPr>
            <w:r>
              <w:t>Annual recurrent c</w:t>
            </w:r>
            <w:r w:rsidRPr="004F1F9C">
              <w:t>osts</w:t>
            </w:r>
          </w:p>
        </w:tc>
        <w:tc>
          <w:tcPr>
            <w:tcW w:w="1448" w:type="dxa"/>
            <w:vAlign w:val="center"/>
          </w:tcPr>
          <w:p w:rsidR="006B1499" w:rsidRPr="004F1F9C" w:rsidRDefault="006B1499" w:rsidP="006B1499">
            <w:pPr>
              <w:keepNext/>
              <w:keepLines/>
              <w:jc w:val="center"/>
            </w:pPr>
            <w:r>
              <w:t>Lifetime in y</w:t>
            </w:r>
            <w:r w:rsidRPr="004F1F9C">
              <w:t>ears</w:t>
            </w:r>
          </w:p>
        </w:tc>
      </w:tr>
      <w:tr w:rsidR="006B1499" w:rsidRPr="004F1F9C">
        <w:tc>
          <w:tcPr>
            <w:tcW w:w="1915" w:type="dxa"/>
            <w:vAlign w:val="center"/>
          </w:tcPr>
          <w:p w:rsidR="006B1499" w:rsidRPr="004F1F9C" w:rsidRDefault="006B1499" w:rsidP="006B1499">
            <w:pPr>
              <w:rPr>
                <w:szCs w:val="18"/>
              </w:rPr>
            </w:pPr>
            <w:r w:rsidRPr="004F1F9C">
              <w:rPr>
                <w:szCs w:val="18"/>
              </w:rPr>
              <w:t xml:space="preserve">Fay </w:t>
            </w:r>
            <w:r w:rsidR="00F7383F" w:rsidRPr="004F1F9C">
              <w:rPr>
                <w:szCs w:val="18"/>
              </w:rPr>
              <w:fldChar w:fldCharType="begin"/>
            </w:r>
            <w:r>
              <w:rPr>
                <w:szCs w:val="18"/>
              </w:rPr>
              <w:instrText xml:space="preserve"> ADDIN ZOTERO_ITEM CSL_CITATION {"citationID":"48ZxCFGb","properties":{"formattedCitation":"(2001, 11)","plainCitation":"(2001, 11)"},"citationItems":[{"id":480,"uris":["http://zotero.org/groups/4482/items/KQS277CN"],"uri":["http://zotero.org/groups/4482/items/KQS277CN"],"itemData":{"id":480,"type":"manuscript","title":"Financing the Future: Infrastructure Needs in Latin America, 2000-05","publisher-place":"Washington, DC","genre":"Policy Research Working Paper no. 2545","event-place":"Washington, DC","URL":"http://elibrary.worldbank.org/docserver/download/2545.pdf?expires=1311613909&amp;id=id&amp;accname=guest&amp;checksum=ACB78371906738C5C8D3387D4EEAA8ED","note":"World Bank","shortTitle":"Financing the Future","author":[{"family":"Fay","given":"Marianne"}],"issued":{"year":2001}},"locator":"11","label":"page","suppress-author":true}],"schema":"https://github.com/citation-style-language/schema/raw/master/csl-citation.json"} </w:instrText>
            </w:r>
            <w:r w:rsidR="00F7383F" w:rsidRPr="004F1F9C">
              <w:rPr>
                <w:szCs w:val="18"/>
              </w:rPr>
              <w:fldChar w:fldCharType="separate"/>
            </w:r>
            <w:r w:rsidRPr="004F1F9C">
              <w:rPr>
                <w:rFonts w:cs="Calibri"/>
              </w:rPr>
              <w:t>(2001, 11)</w:t>
            </w:r>
            <w:r w:rsidR="00F7383F" w:rsidRPr="004F1F9C">
              <w:rPr>
                <w:szCs w:val="18"/>
              </w:rPr>
              <w:fldChar w:fldCharType="end"/>
            </w:r>
          </w:p>
        </w:tc>
        <w:tc>
          <w:tcPr>
            <w:tcW w:w="1915" w:type="dxa"/>
            <w:vAlign w:val="center"/>
          </w:tcPr>
          <w:p w:rsidR="006B1499" w:rsidRPr="004F1F9C" w:rsidRDefault="006B1499" w:rsidP="006B1499">
            <w:pPr>
              <w:jc w:val="center"/>
              <w:rPr>
                <w:szCs w:val="18"/>
              </w:rPr>
            </w:pPr>
            <w:r w:rsidRPr="004F1F9C">
              <w:rPr>
                <w:szCs w:val="18"/>
              </w:rPr>
              <w:t>Constant 1995$US per KW</w:t>
            </w:r>
          </w:p>
        </w:tc>
        <w:tc>
          <w:tcPr>
            <w:tcW w:w="1915" w:type="dxa"/>
            <w:vAlign w:val="center"/>
          </w:tcPr>
          <w:p w:rsidR="006B1499" w:rsidRPr="004F1F9C" w:rsidRDefault="006B1499" w:rsidP="006B1499">
            <w:pPr>
              <w:jc w:val="center"/>
              <w:rPr>
                <w:szCs w:val="18"/>
              </w:rPr>
            </w:pPr>
            <w:r w:rsidRPr="004F1F9C">
              <w:rPr>
                <w:szCs w:val="18"/>
              </w:rPr>
              <w:t>1500</w:t>
            </w:r>
          </w:p>
        </w:tc>
        <w:tc>
          <w:tcPr>
            <w:tcW w:w="1915" w:type="dxa"/>
            <w:vAlign w:val="center"/>
          </w:tcPr>
          <w:p w:rsidR="006B1499" w:rsidRPr="004F1F9C" w:rsidRDefault="006B1499" w:rsidP="006B1499">
            <w:pPr>
              <w:jc w:val="center"/>
              <w:rPr>
                <w:szCs w:val="18"/>
              </w:rPr>
            </w:pPr>
          </w:p>
        </w:tc>
        <w:tc>
          <w:tcPr>
            <w:tcW w:w="1448" w:type="dxa"/>
            <w:vAlign w:val="center"/>
          </w:tcPr>
          <w:p w:rsidR="006B1499" w:rsidRPr="004F1F9C" w:rsidRDefault="006B1499" w:rsidP="006B1499">
            <w:pPr>
              <w:jc w:val="center"/>
              <w:rPr>
                <w:szCs w:val="18"/>
              </w:rPr>
            </w:pPr>
          </w:p>
        </w:tc>
      </w:tr>
      <w:tr w:rsidR="006B1499" w:rsidRPr="004F1F9C">
        <w:tc>
          <w:tcPr>
            <w:tcW w:w="1915" w:type="dxa"/>
            <w:vAlign w:val="center"/>
          </w:tcPr>
          <w:p w:rsidR="006B1499" w:rsidRPr="004F1F9C" w:rsidRDefault="006B1499" w:rsidP="006B1499">
            <w:pPr>
              <w:rPr>
                <w:szCs w:val="18"/>
              </w:rPr>
            </w:pPr>
            <w:r w:rsidRPr="004F1F9C">
              <w:rPr>
                <w:szCs w:val="18"/>
              </w:rPr>
              <w:t xml:space="preserve">Fay and Yepes </w:t>
            </w:r>
            <w:r w:rsidR="00F7383F" w:rsidRPr="004F1F9C">
              <w:rPr>
                <w:szCs w:val="18"/>
              </w:rPr>
              <w:fldChar w:fldCharType="begin"/>
            </w:r>
            <w:r>
              <w:rPr>
                <w:szCs w:val="18"/>
              </w:rPr>
              <w:instrText xml:space="preserve"> ADDIN ZOTERO_ITEM CSL_CITATION {"citationID":"Kt0cAGmy","properties":{"formattedCitation":"(2003, 10)","plainCitation":"(2003, 10)"},"citationItems":[{"id":1138,"uris":["http://zotero.org/groups/4482/items/4BPWRAEZ"],"uri":["http://zotero.org/groups/4482/items/4BPWRAEZ"],"itemData":{"id":1138,"type":"manuscript","title":"Investing in Infrastructure: What Is Needed from 2000 to 2010?","publisher-place":"Washington, DC","genre":"Policy Research Working Paper no. 3102","archive":"RePEc","event-place":"Washington, DC","URL":"http://ideas.repec.org/p/wbk/wbrwps/3102.html","call-number":"0154","note":"World Bank","shortTitle":"Investing in Infrastructure","author":[{"family":"Fay","given":"Marianne"},{"family":"Yepes","given":"Tito"}],"issued":{"year":2003},"accessed":{"year":2009,"month":11,"day":23}},"locator":"10","label":"page","suppress-author":true}],"schema":"https://github.com/citation-style-language/schema/raw/master/csl-citation.json"} </w:instrText>
            </w:r>
            <w:r w:rsidR="00F7383F" w:rsidRPr="004F1F9C">
              <w:rPr>
                <w:szCs w:val="18"/>
              </w:rPr>
              <w:fldChar w:fldCharType="separate"/>
            </w:r>
            <w:r w:rsidRPr="004F1F9C">
              <w:t>(2003, 10)</w:t>
            </w:r>
            <w:r w:rsidR="00F7383F" w:rsidRPr="004F1F9C">
              <w:rPr>
                <w:szCs w:val="18"/>
              </w:rPr>
              <w:fldChar w:fldCharType="end"/>
            </w:r>
          </w:p>
        </w:tc>
        <w:tc>
          <w:tcPr>
            <w:tcW w:w="1915" w:type="dxa"/>
            <w:vAlign w:val="center"/>
          </w:tcPr>
          <w:p w:rsidR="006B1499" w:rsidRPr="004F1F9C" w:rsidRDefault="006B1499" w:rsidP="006B1499">
            <w:pPr>
              <w:jc w:val="center"/>
              <w:rPr>
                <w:szCs w:val="18"/>
              </w:rPr>
            </w:pPr>
            <w:r w:rsidRPr="004F1F9C">
              <w:rPr>
                <w:szCs w:val="18"/>
              </w:rPr>
              <w:t>Constant 1995$US per KW</w:t>
            </w:r>
          </w:p>
        </w:tc>
        <w:tc>
          <w:tcPr>
            <w:tcW w:w="1915" w:type="dxa"/>
            <w:vAlign w:val="center"/>
          </w:tcPr>
          <w:p w:rsidR="006B1499" w:rsidRPr="004F1F9C" w:rsidRDefault="006B1499" w:rsidP="006B1499">
            <w:pPr>
              <w:jc w:val="center"/>
              <w:rPr>
                <w:szCs w:val="18"/>
              </w:rPr>
            </w:pPr>
            <w:r w:rsidRPr="004F1F9C">
              <w:rPr>
                <w:szCs w:val="18"/>
              </w:rPr>
              <w:t>1900</w:t>
            </w:r>
          </w:p>
        </w:tc>
        <w:tc>
          <w:tcPr>
            <w:tcW w:w="1915" w:type="dxa"/>
            <w:vAlign w:val="center"/>
          </w:tcPr>
          <w:p w:rsidR="006B1499" w:rsidRPr="004F1F9C" w:rsidRDefault="006B1499" w:rsidP="006B1499">
            <w:pPr>
              <w:jc w:val="center"/>
              <w:rPr>
                <w:szCs w:val="18"/>
              </w:rPr>
            </w:pPr>
            <w:r w:rsidRPr="004F1F9C">
              <w:rPr>
                <w:szCs w:val="18"/>
              </w:rPr>
              <w:t>2% of unit replacement cost</w:t>
            </w:r>
          </w:p>
        </w:tc>
        <w:tc>
          <w:tcPr>
            <w:tcW w:w="1448" w:type="dxa"/>
            <w:vAlign w:val="center"/>
          </w:tcPr>
          <w:p w:rsidR="006B1499" w:rsidRPr="004F1F9C" w:rsidRDefault="006B1499" w:rsidP="006B1499">
            <w:pPr>
              <w:jc w:val="center"/>
              <w:rPr>
                <w:szCs w:val="18"/>
              </w:rPr>
            </w:pPr>
          </w:p>
        </w:tc>
      </w:tr>
      <w:tr w:rsidR="006B1499" w:rsidRPr="004F1F9C">
        <w:tc>
          <w:tcPr>
            <w:tcW w:w="1915" w:type="dxa"/>
            <w:vAlign w:val="center"/>
          </w:tcPr>
          <w:p w:rsidR="006B1499" w:rsidRPr="004F1F9C" w:rsidRDefault="006B1499" w:rsidP="006B1499">
            <w:pPr>
              <w:rPr>
                <w:szCs w:val="18"/>
              </w:rPr>
            </w:pPr>
            <w:r w:rsidRPr="004F1F9C">
              <w:rPr>
                <w:szCs w:val="18"/>
              </w:rPr>
              <w:t xml:space="preserve">Yepes </w:t>
            </w:r>
            <w:r w:rsidR="00F7383F" w:rsidRPr="004F1F9C">
              <w:rPr>
                <w:szCs w:val="18"/>
              </w:rPr>
              <w:fldChar w:fldCharType="begin"/>
            </w:r>
            <w:r>
              <w:rPr>
                <w:szCs w:val="18"/>
              </w:rPr>
              <w:instrText xml:space="preserve"> ADDIN ZOTERO_ITEM CSL_CITATION {"citationID":"DUJHJWlG","properties":{"formattedCitation":"(2005, no page number)","plainCitation":"(2005, no page number)"},"citationItems":[{"id":904,"uris":["http://zotero.org/groups/4482/items/TXS9JSZB"],"uri":["http://zotero.org/groups/4482/items/TXS9JSZB"],"itemData":{"id":904,"type":"report","title":"Expenditure on Infrastructure in East Asia Region, 2006–2010","collection-title":"East Asia Pacific Infrastructure Flagship Study","publisher":"Asian Development Bank (ADB), Japan Bank for International Cooperation (JBIC), World Bank","publisher-place":"Manila","event-place":"Manila","author":[{"family":"Yepes","given":"Tito"}],"issued":{"year":2005}},"locator":"no page number","label":"page","suppress-author":true}],"schema":"https://github.com/citation-style-language/schema/raw/master/csl-citation.json"} </w:instrText>
            </w:r>
            <w:r w:rsidR="00F7383F" w:rsidRPr="004F1F9C">
              <w:rPr>
                <w:szCs w:val="18"/>
              </w:rPr>
              <w:fldChar w:fldCharType="separate"/>
            </w:r>
            <w:r w:rsidRPr="004F1F9C">
              <w:rPr>
                <w:szCs w:val="21"/>
              </w:rPr>
              <w:t>(2005, no page number)</w:t>
            </w:r>
            <w:r w:rsidR="00F7383F" w:rsidRPr="004F1F9C">
              <w:rPr>
                <w:szCs w:val="18"/>
              </w:rPr>
              <w:fldChar w:fldCharType="end"/>
            </w:r>
          </w:p>
        </w:tc>
        <w:tc>
          <w:tcPr>
            <w:tcW w:w="1915" w:type="dxa"/>
            <w:vAlign w:val="center"/>
          </w:tcPr>
          <w:p w:rsidR="006B1499" w:rsidRPr="004F1F9C" w:rsidRDefault="006B1499" w:rsidP="006B1499">
            <w:pPr>
              <w:jc w:val="center"/>
              <w:rPr>
                <w:szCs w:val="18"/>
              </w:rPr>
            </w:pPr>
            <w:r w:rsidRPr="004F1F9C">
              <w:rPr>
                <w:szCs w:val="18"/>
              </w:rPr>
              <w:t>Constant $US, year not stated, per KW</w:t>
            </w:r>
          </w:p>
        </w:tc>
        <w:tc>
          <w:tcPr>
            <w:tcW w:w="1915" w:type="dxa"/>
            <w:vAlign w:val="center"/>
          </w:tcPr>
          <w:p w:rsidR="006B1499" w:rsidRPr="004F1F9C" w:rsidRDefault="006B1499" w:rsidP="006B1499">
            <w:pPr>
              <w:jc w:val="center"/>
              <w:rPr>
                <w:szCs w:val="18"/>
              </w:rPr>
            </w:pPr>
            <w:r w:rsidRPr="004F1F9C">
              <w:rPr>
                <w:szCs w:val="18"/>
              </w:rPr>
              <w:t>1900</w:t>
            </w:r>
          </w:p>
        </w:tc>
        <w:tc>
          <w:tcPr>
            <w:tcW w:w="1915" w:type="dxa"/>
            <w:vAlign w:val="center"/>
          </w:tcPr>
          <w:p w:rsidR="006B1499" w:rsidRPr="004F1F9C" w:rsidRDefault="006B1499" w:rsidP="006B1499">
            <w:pPr>
              <w:jc w:val="center"/>
              <w:rPr>
                <w:szCs w:val="18"/>
              </w:rPr>
            </w:pPr>
            <w:r w:rsidRPr="004F1F9C">
              <w:rPr>
                <w:szCs w:val="18"/>
              </w:rPr>
              <w:t>2% of stock value</w:t>
            </w:r>
          </w:p>
        </w:tc>
        <w:tc>
          <w:tcPr>
            <w:tcW w:w="1448" w:type="dxa"/>
            <w:vAlign w:val="center"/>
          </w:tcPr>
          <w:p w:rsidR="006B1499" w:rsidRPr="004F1F9C" w:rsidRDefault="006B1499" w:rsidP="006B1499">
            <w:pPr>
              <w:jc w:val="center"/>
              <w:rPr>
                <w:szCs w:val="18"/>
              </w:rPr>
            </w:pPr>
            <w:r w:rsidRPr="004F1F9C">
              <w:rPr>
                <w:szCs w:val="18"/>
              </w:rPr>
              <w:t>35</w:t>
            </w:r>
          </w:p>
        </w:tc>
      </w:tr>
      <w:tr w:rsidR="006B1499" w:rsidRPr="004F1F9C">
        <w:tc>
          <w:tcPr>
            <w:tcW w:w="1915" w:type="dxa"/>
            <w:vAlign w:val="center"/>
          </w:tcPr>
          <w:p w:rsidR="006B1499" w:rsidRPr="004F1F9C" w:rsidRDefault="006B1499" w:rsidP="006B1499">
            <w:r w:rsidRPr="004F1F9C">
              <w:rPr>
                <w:szCs w:val="18"/>
              </w:rPr>
              <w:t xml:space="preserve">Chatterton and Puerto </w:t>
            </w:r>
            <w:r w:rsidR="00F7383F" w:rsidRPr="004F1F9C">
              <w:rPr>
                <w:szCs w:val="18"/>
              </w:rPr>
              <w:fldChar w:fldCharType="begin"/>
            </w:r>
            <w:r>
              <w:rPr>
                <w:szCs w:val="18"/>
              </w:rPr>
              <w:instrText xml:space="preserve"> ADDIN ZOTERO_ITEM CSL_CITATION {"citationID":"GBp64Nhl","properties":{"formattedCitation":"{\\rtf (2006, 7, 9\\uc0\\u8211{}10)}","plainCitation":"(2006, 7, 9–10)"},"citationItems":[{"id":903,"uris":["http://zotero.org/groups/4482/items/8BCTKHKI"],"uri":["http://zotero.org/groups/4482/items/8BCTKHKI"],"itemData":{"id":903,"type":"report","title":"Estimation of Infrastructure Investment Needs in the South Asia Region: Executive Summary","publisher":"World Bank","publisher-place":"Washington, DC","event-place":"Washington, DC","URL":"http://0-siteresources.worldbank.org.bianca.penlib.du.edu/INTSARREGTOPTRANSPORT/Resources/Inf_Investment_Needs_IC_version4.pdf","shortTitle":"Estimation of Infrastructure Investment Needs in the South Asia Region","author":[{"family":"Chatterton","given":"Isabe"},{"family":"Puerto","given":"Olga S."}],"issued":{"year":2006}},"locator":"7, 9-10","label":"page","suppress-author":true}],"schema":"https://github.com/citation-style-language/schema/raw/master/csl-citation.json"} </w:instrText>
            </w:r>
            <w:r w:rsidR="00F7383F" w:rsidRPr="004F1F9C">
              <w:rPr>
                <w:szCs w:val="18"/>
              </w:rPr>
              <w:fldChar w:fldCharType="separate"/>
            </w:r>
            <w:r w:rsidRPr="004F1F9C">
              <w:rPr>
                <w:szCs w:val="24"/>
              </w:rPr>
              <w:t>(2006, 7, 9–10)</w:t>
            </w:r>
            <w:r w:rsidR="00F7383F" w:rsidRPr="004F1F9C">
              <w:rPr>
                <w:szCs w:val="18"/>
              </w:rPr>
              <w:fldChar w:fldCharType="end"/>
            </w:r>
          </w:p>
        </w:tc>
        <w:tc>
          <w:tcPr>
            <w:tcW w:w="1915" w:type="dxa"/>
            <w:vAlign w:val="center"/>
          </w:tcPr>
          <w:p w:rsidR="006B1499" w:rsidRPr="004F1F9C" w:rsidRDefault="006B1499" w:rsidP="006B1499">
            <w:pPr>
              <w:jc w:val="center"/>
            </w:pPr>
            <w:r w:rsidRPr="004F1F9C">
              <w:rPr>
                <w:szCs w:val="18"/>
              </w:rPr>
              <w:t>Constant $US, year not stated, per KW</w:t>
            </w:r>
          </w:p>
        </w:tc>
        <w:tc>
          <w:tcPr>
            <w:tcW w:w="1915" w:type="dxa"/>
            <w:vAlign w:val="center"/>
          </w:tcPr>
          <w:p w:rsidR="006B1499" w:rsidRPr="004F1F9C" w:rsidRDefault="006B1499" w:rsidP="006B1499">
            <w:pPr>
              <w:jc w:val="center"/>
              <w:rPr>
                <w:szCs w:val="18"/>
              </w:rPr>
            </w:pPr>
            <w:r w:rsidRPr="004F1F9C">
              <w:rPr>
                <w:szCs w:val="18"/>
              </w:rPr>
              <w:t>1900</w:t>
            </w:r>
          </w:p>
        </w:tc>
        <w:tc>
          <w:tcPr>
            <w:tcW w:w="1915" w:type="dxa"/>
            <w:vAlign w:val="center"/>
          </w:tcPr>
          <w:p w:rsidR="006B1499" w:rsidRPr="004F1F9C" w:rsidRDefault="006B1499" w:rsidP="006B1499">
            <w:pPr>
              <w:jc w:val="center"/>
              <w:rPr>
                <w:szCs w:val="18"/>
              </w:rPr>
            </w:pPr>
            <w:r w:rsidRPr="004F1F9C">
              <w:rPr>
                <w:szCs w:val="18"/>
              </w:rPr>
              <w:t>3% of replacement cost</w:t>
            </w:r>
          </w:p>
        </w:tc>
        <w:tc>
          <w:tcPr>
            <w:tcW w:w="1448" w:type="dxa"/>
            <w:vAlign w:val="center"/>
          </w:tcPr>
          <w:p w:rsidR="006B1499" w:rsidRPr="004F1F9C" w:rsidRDefault="006B1499" w:rsidP="006B1499">
            <w:pPr>
              <w:jc w:val="center"/>
              <w:rPr>
                <w:szCs w:val="18"/>
              </w:rPr>
            </w:pPr>
            <w:r w:rsidRPr="004F1F9C">
              <w:rPr>
                <w:szCs w:val="18"/>
              </w:rPr>
              <w:t>35</w:t>
            </w:r>
          </w:p>
        </w:tc>
      </w:tr>
      <w:tr w:rsidR="006B1499" w:rsidRPr="004F1F9C">
        <w:tc>
          <w:tcPr>
            <w:tcW w:w="1915" w:type="dxa"/>
            <w:vAlign w:val="center"/>
          </w:tcPr>
          <w:p w:rsidR="006B1499" w:rsidRPr="004F1F9C" w:rsidRDefault="006B1499" w:rsidP="006B1499">
            <w:r w:rsidRPr="004F1F9C">
              <w:rPr>
                <w:szCs w:val="18"/>
              </w:rPr>
              <w:t xml:space="preserve">Yepes </w:t>
            </w:r>
            <w:r w:rsidR="00F7383F" w:rsidRPr="004F1F9C">
              <w:rPr>
                <w:szCs w:val="18"/>
              </w:rPr>
              <w:fldChar w:fldCharType="begin"/>
            </w:r>
            <w:r>
              <w:rPr>
                <w:szCs w:val="18"/>
              </w:rPr>
              <w:instrText xml:space="preserve"> ADDIN ZOTERO_ITEM CSL_CITATION {"citationID":"gGRN8LLs","properties":{"formattedCitation":"(2008, 7, 10, 11, 15)","plainCitation":"(2008, 7, 10, 11, 15)"},"citationItems":[{"id":716,"uris":["http://zotero.org/groups/4482/items/6FIFS46X"],"uri":["http://zotero.org/groups/4482/items/6FIFS46X"],"itemData":{"id":716,"type":"manuscript","title":"Investment Needs for Infrastructure in Developing Countries 2008-15","publisher-place":"Washington, DC","genre":"Draft","event-place":"Washington, DC","note":"World Bank","author":[{"family":"Yepes","given":"Tito"}],"issued":{"year":2008}},"locator":"7, 10, 11, 15","label":"page","suppress-author":true}],"schema":"https://github.com/citation-style-language/schema/raw/master/csl-citation.json"} </w:instrText>
            </w:r>
            <w:r w:rsidR="00F7383F" w:rsidRPr="004F1F9C">
              <w:rPr>
                <w:szCs w:val="18"/>
              </w:rPr>
              <w:fldChar w:fldCharType="separate"/>
            </w:r>
            <w:r w:rsidRPr="004F1F9C">
              <w:rPr>
                <w:szCs w:val="21"/>
              </w:rPr>
              <w:t>(2008, 7, 10, 11, 15)</w:t>
            </w:r>
            <w:r w:rsidR="00F7383F" w:rsidRPr="004F1F9C">
              <w:rPr>
                <w:szCs w:val="18"/>
              </w:rPr>
              <w:fldChar w:fldCharType="end"/>
            </w:r>
          </w:p>
        </w:tc>
        <w:tc>
          <w:tcPr>
            <w:tcW w:w="1915" w:type="dxa"/>
            <w:vAlign w:val="center"/>
          </w:tcPr>
          <w:p w:rsidR="006B1499" w:rsidRPr="004F1F9C" w:rsidRDefault="006B1499" w:rsidP="006B1499">
            <w:pPr>
              <w:jc w:val="center"/>
            </w:pPr>
            <w:r w:rsidRPr="004F1F9C">
              <w:rPr>
                <w:szCs w:val="18"/>
              </w:rPr>
              <w:t>Constant 2005 $US per KW</w:t>
            </w:r>
          </w:p>
        </w:tc>
        <w:tc>
          <w:tcPr>
            <w:tcW w:w="1915" w:type="dxa"/>
            <w:vAlign w:val="center"/>
          </w:tcPr>
          <w:p w:rsidR="006B1499" w:rsidRPr="004F1F9C" w:rsidRDefault="006B1499" w:rsidP="006B1499">
            <w:pPr>
              <w:jc w:val="center"/>
              <w:rPr>
                <w:szCs w:val="18"/>
              </w:rPr>
            </w:pPr>
            <w:r w:rsidRPr="004F1F9C">
              <w:rPr>
                <w:szCs w:val="18"/>
              </w:rPr>
              <w:t>2000</w:t>
            </w:r>
          </w:p>
        </w:tc>
        <w:tc>
          <w:tcPr>
            <w:tcW w:w="1915" w:type="dxa"/>
            <w:vAlign w:val="center"/>
          </w:tcPr>
          <w:p w:rsidR="006B1499" w:rsidRPr="004F1F9C" w:rsidRDefault="006B1499" w:rsidP="006B1499">
            <w:pPr>
              <w:jc w:val="center"/>
              <w:rPr>
                <w:szCs w:val="18"/>
              </w:rPr>
            </w:pPr>
            <w:r w:rsidRPr="004F1F9C">
              <w:rPr>
                <w:szCs w:val="18"/>
              </w:rPr>
              <w:t>4% of stock value</w:t>
            </w:r>
          </w:p>
        </w:tc>
        <w:tc>
          <w:tcPr>
            <w:tcW w:w="1448" w:type="dxa"/>
            <w:vAlign w:val="center"/>
          </w:tcPr>
          <w:p w:rsidR="006B1499" w:rsidRPr="004F1F9C" w:rsidRDefault="006B1499" w:rsidP="006B1499">
            <w:pPr>
              <w:jc w:val="center"/>
              <w:rPr>
                <w:szCs w:val="18"/>
              </w:rPr>
            </w:pPr>
            <w:r w:rsidRPr="004F1F9C">
              <w:rPr>
                <w:szCs w:val="18"/>
              </w:rPr>
              <w:t>25</w:t>
            </w:r>
          </w:p>
        </w:tc>
      </w:tr>
      <w:tr w:rsidR="006B1499" w:rsidRPr="004F1F9C">
        <w:trPr>
          <w:trHeight w:val="1007"/>
        </w:trPr>
        <w:tc>
          <w:tcPr>
            <w:tcW w:w="1915" w:type="dxa"/>
            <w:vAlign w:val="center"/>
          </w:tcPr>
          <w:p w:rsidR="006B1499" w:rsidRPr="004F1F9C" w:rsidRDefault="006B1499" w:rsidP="006B1499">
            <w:r w:rsidRPr="004F1F9C">
              <w:rPr>
                <w:szCs w:val="18"/>
              </w:rPr>
              <w:t xml:space="preserve">Bhattacharyay for maintenance </w:t>
            </w:r>
            <w:r w:rsidR="00F7383F" w:rsidRPr="004F1F9C">
              <w:rPr>
                <w:szCs w:val="18"/>
              </w:rPr>
              <w:fldChar w:fldCharType="begin"/>
            </w:r>
            <w:r>
              <w:rPr>
                <w:szCs w:val="18"/>
              </w:rPr>
              <w:instrText xml:space="preserve"> ADDIN ZOTERO_ITEM CSL_CITATION {"citationID":"FCpDGPuL","properties":{"formattedCitation":"(2010)","plainCitation":"(2010)"},"citationItems":[{"id":1156,"uris":["http://zotero.org/groups/4482/items/MQ3EDFBR"],"uri":["http://zotero.org/groups/4482/items/MQ3EDFBR"],"itemData":{"id":1156,"type":"manuscript","title":"Estimating Demand for Infrastructure in Energy, Transport, Telecommunications, Water and Sanitation in Asia and the Pacific: 2010-2020","publisher-place":"Tokyo","genre":"Working Paper no. 248","event-place":"Tokyo","URL":"http://www.adbi.org/working-paper/2010/09/09/4062.infrastructure.demand.asia.pacific/","call-number":"0001","note":"Asian Development Bank Institute","author":[{"family":"Bhattacharyay","given":"Biswa Nath"}],"issued":{"year":2010}},"suppress-author":true}],"schema":"https://github.com/citation-style-language/schema/raw/master/csl-citation.json"} </w:instrText>
            </w:r>
            <w:r w:rsidR="00F7383F" w:rsidRPr="004F1F9C">
              <w:rPr>
                <w:szCs w:val="18"/>
              </w:rPr>
              <w:fldChar w:fldCharType="separate"/>
            </w:r>
            <w:r w:rsidRPr="004F1F9C">
              <w:rPr>
                <w:szCs w:val="21"/>
              </w:rPr>
              <w:t>(2010, 10)</w:t>
            </w:r>
            <w:r w:rsidR="00F7383F" w:rsidRPr="004F1F9C">
              <w:rPr>
                <w:szCs w:val="18"/>
              </w:rPr>
              <w:fldChar w:fldCharType="end"/>
            </w:r>
            <w:r w:rsidRPr="004F1F9C">
              <w:rPr>
                <w:szCs w:val="18"/>
              </w:rPr>
              <w:t xml:space="preserve"> unit costs from ADBI </w:t>
            </w:r>
            <w:r w:rsidR="00F7383F" w:rsidRPr="004F1F9C">
              <w:rPr>
                <w:szCs w:val="18"/>
              </w:rPr>
              <w:fldChar w:fldCharType="begin"/>
            </w:r>
            <w:r>
              <w:rPr>
                <w:szCs w:val="18"/>
              </w:rPr>
              <w:instrText xml:space="preserve"> ADDIN ZOTERO_ITEM CSL_CITATION {"citationID":"RhcQsSPi","properties":{"formattedCitation":"{\\rtf (2009, 27\\uc0\\u8211{}28)}","plainCitation":"(2009, 27–28)"},"citationItems":[{"id":1153,"uris":["http://zotero.org/groups/4482/items/3ND5HTK3"],"uri":["http://zotero.org/groups/4482/items/3ND5HTK3"],"itemData":{"id":1153,"type":"manuscript","title":"Demand for Infrastructure Financing in Asia 2010-2010","publisher-place":"Tokyo","genre":"ADBI Internal Report (prepared by Centennial Group Holdings, LLC)","event-place":"Tokyo","note":"ADBI","author":[{"family":"Asian Development Bank Institute","given":""}],"issued":{"year":2009}},"locator":"27-28","label":"page","suppress-author":true}],"schema":"https://github.com/citation-style-language/schema/raw/master/csl-citation.json"} </w:instrText>
            </w:r>
            <w:r w:rsidR="00F7383F" w:rsidRPr="004F1F9C">
              <w:rPr>
                <w:szCs w:val="18"/>
              </w:rPr>
              <w:fldChar w:fldCharType="separate"/>
            </w:r>
            <w:r w:rsidRPr="004F1F9C">
              <w:rPr>
                <w:szCs w:val="24"/>
              </w:rPr>
              <w:t>(2009, 27–28)</w:t>
            </w:r>
            <w:r w:rsidR="00F7383F" w:rsidRPr="004F1F9C">
              <w:rPr>
                <w:szCs w:val="18"/>
              </w:rPr>
              <w:fldChar w:fldCharType="end"/>
            </w:r>
          </w:p>
        </w:tc>
        <w:tc>
          <w:tcPr>
            <w:tcW w:w="1915" w:type="dxa"/>
            <w:vAlign w:val="center"/>
          </w:tcPr>
          <w:p w:rsidR="006B1499" w:rsidRPr="004F1F9C" w:rsidRDefault="006B1499" w:rsidP="006B1499">
            <w:pPr>
              <w:jc w:val="center"/>
            </w:pPr>
            <w:r w:rsidRPr="004F1F9C">
              <w:rPr>
                <w:szCs w:val="18"/>
              </w:rPr>
              <w:t>Constant 2008 $US per KW</w:t>
            </w:r>
          </w:p>
        </w:tc>
        <w:tc>
          <w:tcPr>
            <w:tcW w:w="1915" w:type="dxa"/>
            <w:vAlign w:val="center"/>
          </w:tcPr>
          <w:p w:rsidR="006B1499" w:rsidRPr="004F1F9C" w:rsidRDefault="006B1499" w:rsidP="006B1499">
            <w:pPr>
              <w:jc w:val="center"/>
              <w:rPr>
                <w:szCs w:val="18"/>
              </w:rPr>
            </w:pPr>
            <w:r w:rsidRPr="004F1F9C">
              <w:rPr>
                <w:szCs w:val="18"/>
              </w:rPr>
              <w:t>1900</w:t>
            </w:r>
          </w:p>
        </w:tc>
        <w:tc>
          <w:tcPr>
            <w:tcW w:w="1915" w:type="dxa"/>
            <w:vAlign w:val="center"/>
          </w:tcPr>
          <w:p w:rsidR="006B1499" w:rsidRPr="004F1F9C" w:rsidRDefault="006B1499" w:rsidP="006B1499">
            <w:pPr>
              <w:jc w:val="center"/>
              <w:rPr>
                <w:szCs w:val="18"/>
              </w:rPr>
            </w:pPr>
            <w:r w:rsidRPr="004F1F9C">
              <w:rPr>
                <w:szCs w:val="18"/>
              </w:rPr>
              <w:t>2% of stock value</w:t>
            </w:r>
          </w:p>
        </w:tc>
        <w:tc>
          <w:tcPr>
            <w:tcW w:w="1448" w:type="dxa"/>
            <w:vAlign w:val="center"/>
          </w:tcPr>
          <w:p w:rsidR="006B1499" w:rsidRPr="004F1F9C" w:rsidRDefault="006B1499" w:rsidP="006B1499">
            <w:pPr>
              <w:jc w:val="center"/>
              <w:rPr>
                <w:szCs w:val="18"/>
              </w:rPr>
            </w:pPr>
          </w:p>
        </w:tc>
      </w:tr>
      <w:tr w:rsidR="006B1499" w:rsidRPr="004F1F9C">
        <w:tc>
          <w:tcPr>
            <w:tcW w:w="1915" w:type="dxa"/>
            <w:vAlign w:val="center"/>
          </w:tcPr>
          <w:p w:rsidR="006B1499" w:rsidRPr="004F1F9C" w:rsidRDefault="006B1499" w:rsidP="006B1499">
            <w:r w:rsidRPr="004F1F9C">
              <w:rPr>
                <w:szCs w:val="18"/>
              </w:rPr>
              <w:t xml:space="preserve">Kohli and Basil </w:t>
            </w:r>
            <w:r w:rsidR="00F7383F" w:rsidRPr="004F1F9C">
              <w:rPr>
                <w:szCs w:val="18"/>
              </w:rPr>
              <w:fldChar w:fldCharType="begin"/>
            </w:r>
            <w:r>
              <w:rPr>
                <w:szCs w:val="18"/>
              </w:rPr>
              <w:instrText xml:space="preserve"> ADDIN ZOTERO_ITEM CSL_CITATION {"citationID":"6gGu3ZQc","properties":{"formattedCitation":"(2011, 96)","plainCitation":"(2011, 96)"},"citationItems":[{"id":1157,"uris":["http://zotero.org/groups/4482/items/PNQFGAHH"],"uri":["http://zotero.org/groups/4482/items/PNQFGAHH"],"itemData":{"id":1157,"type":"article-journal","title":"Requirements for Infrastructure Investment in Latin America Under Alternate Growth Scenarios","container-title":"Global Journal of Emerging Market Economies","page":"59 -110","volume":"3","issue":"1","abstract":"This study estimates requirements for infrastructure investment in 21 Latin American countries for the period 2011–2040 using a structural equation model. Needs total about 4 percent of GDP. Projections are provided for both a high-growth convergence scenario and a low-growth business-as-usual scenario. These costs represent minimum investments necessary to support expected economic growth. Costs are presented separately and in total for new-capacity investment and maintenance for 10 sectors: airports, electricity, fixed broadband, landlines, mobile telephony, ports, rail, paved roads, sanitation, and water. Country coverage comprises Argentina, Belize, Bolivia, Brazil, Chile, Colombia, Costa Rica, Dominican Republic, Ecuador, El Salvador, Guatemala, Guyana, Honduras, Mexico, Nicaragua, Panama, Paraguay, Peru, Suriname, Uruguay, and Venezuela. The model differs from past studies of regionwide long-term infrastructure investment needs in five features: (1) It considers alternate GDP growth scenarios; (2) It employs a structural equation model using instrumental variables to provide unbiased, consistent projections for both GDP growth scenarios (Instrumented variables are urbanization and the shares in GDP of agriculture, manufacturing, and services); (3) Mobile phone investment costs are not constant but instead vary with population density; (4) Two additional, wealthier countries are included in modeling to prevent forecasting outside the range of the independent variables’ values used to construct the model, and; (5) Timing of new-capacity investments is distributed over multiple years and varies by sector.","DOI":"10.1177/097491011000300103","call-number":"0002","author":[{"family":"Kohli","given":"Harpaul Alberto"},{"family":"Basil","given":"Phillip"}],"issued":{"year":2011},"accessed":{"year":2011,"month":7,"day":29},"page-first":"59"},"locator":"96","label":"page","suppress-author":true}],"schema":"https://github.com/citation-style-language/schema/raw/master/csl-citation.json"} </w:instrText>
            </w:r>
            <w:r w:rsidR="00F7383F" w:rsidRPr="004F1F9C">
              <w:rPr>
                <w:szCs w:val="18"/>
              </w:rPr>
              <w:fldChar w:fldCharType="separate"/>
            </w:r>
            <w:r w:rsidRPr="004F1F9C">
              <w:rPr>
                <w:szCs w:val="21"/>
              </w:rPr>
              <w:t>(2011, 96)</w:t>
            </w:r>
            <w:r w:rsidR="00F7383F" w:rsidRPr="004F1F9C">
              <w:rPr>
                <w:szCs w:val="18"/>
              </w:rPr>
              <w:fldChar w:fldCharType="end"/>
            </w:r>
          </w:p>
        </w:tc>
        <w:tc>
          <w:tcPr>
            <w:tcW w:w="1915" w:type="dxa"/>
            <w:vAlign w:val="center"/>
          </w:tcPr>
          <w:p w:rsidR="006B1499" w:rsidRPr="004F1F9C" w:rsidRDefault="006B1499" w:rsidP="006B1499">
            <w:pPr>
              <w:jc w:val="center"/>
            </w:pPr>
            <w:r w:rsidRPr="004F1F9C">
              <w:rPr>
                <w:szCs w:val="18"/>
              </w:rPr>
              <w:t>Constant 2009 $US per KW</w:t>
            </w:r>
          </w:p>
        </w:tc>
        <w:tc>
          <w:tcPr>
            <w:tcW w:w="1915" w:type="dxa"/>
            <w:vAlign w:val="center"/>
          </w:tcPr>
          <w:p w:rsidR="006B1499" w:rsidRPr="004F1F9C" w:rsidRDefault="006B1499" w:rsidP="006B1499">
            <w:pPr>
              <w:jc w:val="center"/>
              <w:rPr>
                <w:szCs w:val="18"/>
              </w:rPr>
            </w:pPr>
            <w:r w:rsidRPr="004F1F9C">
              <w:rPr>
                <w:szCs w:val="18"/>
              </w:rPr>
              <w:t>4000</w:t>
            </w:r>
          </w:p>
        </w:tc>
        <w:tc>
          <w:tcPr>
            <w:tcW w:w="1915" w:type="dxa"/>
            <w:vAlign w:val="center"/>
          </w:tcPr>
          <w:p w:rsidR="006B1499" w:rsidRPr="004F1F9C" w:rsidRDefault="006B1499" w:rsidP="006B1499">
            <w:pPr>
              <w:jc w:val="center"/>
              <w:rPr>
                <w:szCs w:val="18"/>
              </w:rPr>
            </w:pPr>
            <w:r w:rsidRPr="004F1F9C">
              <w:rPr>
                <w:szCs w:val="18"/>
              </w:rPr>
              <w:t>2% of stock value</w:t>
            </w:r>
          </w:p>
        </w:tc>
        <w:tc>
          <w:tcPr>
            <w:tcW w:w="1448" w:type="dxa"/>
            <w:vAlign w:val="center"/>
          </w:tcPr>
          <w:p w:rsidR="006B1499" w:rsidRPr="004F1F9C" w:rsidRDefault="006B1499" w:rsidP="006B1499">
            <w:pPr>
              <w:jc w:val="center"/>
              <w:rPr>
                <w:szCs w:val="18"/>
              </w:rPr>
            </w:pPr>
          </w:p>
        </w:tc>
      </w:tr>
      <w:tr w:rsidR="006B1499" w:rsidRPr="004F1F9C">
        <w:tc>
          <w:tcPr>
            <w:tcW w:w="1915" w:type="dxa"/>
            <w:vAlign w:val="center"/>
          </w:tcPr>
          <w:p w:rsidR="006B1499" w:rsidRPr="004F1F9C" w:rsidRDefault="006B1499" w:rsidP="006B1499">
            <w:pPr>
              <w:rPr>
                <w:szCs w:val="18"/>
              </w:rPr>
            </w:pPr>
            <w:r w:rsidRPr="004F1F9C">
              <w:rPr>
                <w:szCs w:val="18"/>
              </w:rPr>
              <w:t xml:space="preserve">Hughes, Chinowsky, and Strzepek </w:t>
            </w:r>
            <w:r w:rsidR="00F7383F" w:rsidRPr="004F1F9C">
              <w:rPr>
                <w:szCs w:val="18"/>
              </w:rPr>
              <w:fldChar w:fldCharType="begin"/>
            </w:r>
            <w:r>
              <w:rPr>
                <w:szCs w:val="18"/>
              </w:rPr>
              <w:instrText xml:space="preserve"> ADDIN ZOTERO_ITEM CSL_CITATION {"citationID":"TW19fTdt","properties":{"formattedCitation":"(2009)","plainCitation":"(2009)"},"citationItems":[{"id":975,"uris":["http://zotero.org/groups/4482/items/ZNDAXGEG"],"uri":["http://zotero.org/groups/4482/items/ZNDAXGEG"],"itemData":{"id":975,"type":"manuscript","title":"The Costs of Adapting to Climate Change for Infrastructure","publisher-place":"Washington, DC","genre":"Economics of Adaptation to Climate Change Discussion Paper no. 2","event-place":"Washington, DC","note":"World Bank","author":[{"family":"Hughes","given":"Gordon"},{"family":"Chinowsky","given":"Paul"},{"family":"Strzepek","given":"Ken"}],"issued":{"year":2009}},"suppress-author":true}],"schema":"https://github.com/citation-style-language/schema/raw/master/csl-citation.json"} </w:instrText>
            </w:r>
            <w:r w:rsidR="00F7383F" w:rsidRPr="004F1F9C">
              <w:rPr>
                <w:szCs w:val="18"/>
              </w:rPr>
              <w:fldChar w:fldCharType="separate"/>
            </w:r>
            <w:r w:rsidRPr="004F1F9C">
              <w:rPr>
                <w:rFonts w:cs="Calibri"/>
                <w:szCs w:val="21"/>
              </w:rPr>
              <w:t>(2009)</w:t>
            </w:r>
            <w:r w:rsidR="00F7383F" w:rsidRPr="004F1F9C">
              <w:rPr>
                <w:szCs w:val="18"/>
              </w:rPr>
              <w:fldChar w:fldCharType="end"/>
            </w:r>
            <w:r w:rsidRPr="004F1F9C">
              <w:rPr>
                <w:szCs w:val="18"/>
              </w:rPr>
              <w:t>*</w:t>
            </w:r>
          </w:p>
        </w:tc>
        <w:tc>
          <w:tcPr>
            <w:tcW w:w="1915" w:type="dxa"/>
            <w:vAlign w:val="center"/>
          </w:tcPr>
          <w:p w:rsidR="006B1499" w:rsidRPr="004F1F9C" w:rsidRDefault="006B1499" w:rsidP="006B1499">
            <w:pPr>
              <w:jc w:val="center"/>
              <w:rPr>
                <w:szCs w:val="18"/>
              </w:rPr>
            </w:pPr>
            <w:r w:rsidRPr="004F1F9C">
              <w:rPr>
                <w:szCs w:val="18"/>
              </w:rPr>
              <w:t>Constant $2005 US PPP per KW</w:t>
            </w:r>
          </w:p>
        </w:tc>
        <w:tc>
          <w:tcPr>
            <w:tcW w:w="1915" w:type="dxa"/>
            <w:vAlign w:val="center"/>
          </w:tcPr>
          <w:p w:rsidR="006B1499" w:rsidRPr="004F1F9C" w:rsidRDefault="006B1499" w:rsidP="006B1499">
            <w:pPr>
              <w:jc w:val="center"/>
              <w:rPr>
                <w:szCs w:val="18"/>
              </w:rPr>
            </w:pPr>
            <w:r w:rsidRPr="004F1F9C">
              <w:rPr>
                <w:szCs w:val="18"/>
              </w:rPr>
              <w:t>1500</w:t>
            </w:r>
          </w:p>
        </w:tc>
        <w:tc>
          <w:tcPr>
            <w:tcW w:w="1915" w:type="dxa"/>
            <w:vAlign w:val="center"/>
          </w:tcPr>
          <w:p w:rsidR="006B1499" w:rsidRPr="004F1F9C" w:rsidRDefault="006B1499" w:rsidP="006B1499">
            <w:pPr>
              <w:jc w:val="center"/>
              <w:rPr>
                <w:szCs w:val="18"/>
              </w:rPr>
            </w:pPr>
            <w:r w:rsidRPr="004F1F9C">
              <w:rPr>
                <w:szCs w:val="18"/>
              </w:rPr>
              <w:t>2.9%</w:t>
            </w:r>
          </w:p>
        </w:tc>
        <w:tc>
          <w:tcPr>
            <w:tcW w:w="1448" w:type="dxa"/>
            <w:vAlign w:val="center"/>
          </w:tcPr>
          <w:p w:rsidR="006B1499" w:rsidRPr="004F1F9C" w:rsidRDefault="006B1499" w:rsidP="006B1499">
            <w:pPr>
              <w:jc w:val="center"/>
              <w:rPr>
                <w:szCs w:val="18"/>
              </w:rPr>
            </w:pPr>
            <w:r w:rsidRPr="004F1F9C">
              <w:rPr>
                <w:szCs w:val="18"/>
              </w:rPr>
              <w:t>40</w:t>
            </w:r>
          </w:p>
        </w:tc>
      </w:tr>
      <w:tr w:rsidR="006B1499" w:rsidRPr="004F1F9C">
        <w:tc>
          <w:tcPr>
            <w:tcW w:w="1915" w:type="dxa"/>
            <w:vAlign w:val="center"/>
          </w:tcPr>
          <w:p w:rsidR="006B1499" w:rsidRPr="004F1F9C" w:rsidRDefault="006B1499" w:rsidP="006B1499">
            <w:pPr>
              <w:rPr>
                <w:szCs w:val="18"/>
              </w:rPr>
            </w:pPr>
            <w:r w:rsidRPr="004F1F9C">
              <w:rPr>
                <w:szCs w:val="18"/>
              </w:rPr>
              <w:t>Us at the moment</w:t>
            </w:r>
          </w:p>
        </w:tc>
        <w:tc>
          <w:tcPr>
            <w:tcW w:w="1915" w:type="dxa"/>
            <w:vAlign w:val="center"/>
          </w:tcPr>
          <w:p w:rsidR="006B1499" w:rsidRPr="004F1F9C" w:rsidRDefault="006B1499" w:rsidP="006B1499">
            <w:pPr>
              <w:jc w:val="center"/>
              <w:rPr>
                <w:szCs w:val="18"/>
              </w:rPr>
            </w:pPr>
            <w:r w:rsidRPr="004F1F9C">
              <w:rPr>
                <w:szCs w:val="18"/>
              </w:rPr>
              <w:t>Constant $2000 per KW</w:t>
            </w:r>
          </w:p>
        </w:tc>
        <w:tc>
          <w:tcPr>
            <w:tcW w:w="1915" w:type="dxa"/>
            <w:vAlign w:val="center"/>
          </w:tcPr>
          <w:p w:rsidR="006B1499" w:rsidRPr="004F1F9C" w:rsidRDefault="006B1499" w:rsidP="006B1499">
            <w:pPr>
              <w:jc w:val="center"/>
              <w:rPr>
                <w:szCs w:val="18"/>
              </w:rPr>
            </w:pPr>
            <w:r w:rsidRPr="004F1F9C">
              <w:rPr>
                <w:szCs w:val="18"/>
              </w:rPr>
              <w:t>1,000 below 3K income, rising to 2,000 above 13K</w:t>
            </w:r>
          </w:p>
        </w:tc>
        <w:tc>
          <w:tcPr>
            <w:tcW w:w="1915" w:type="dxa"/>
            <w:vAlign w:val="center"/>
          </w:tcPr>
          <w:p w:rsidR="006B1499" w:rsidRPr="004F1F9C" w:rsidRDefault="006B1499" w:rsidP="006B1499">
            <w:pPr>
              <w:jc w:val="center"/>
              <w:rPr>
                <w:szCs w:val="18"/>
              </w:rPr>
            </w:pPr>
          </w:p>
        </w:tc>
        <w:tc>
          <w:tcPr>
            <w:tcW w:w="1448" w:type="dxa"/>
            <w:vAlign w:val="center"/>
          </w:tcPr>
          <w:p w:rsidR="006B1499" w:rsidRPr="004F1F9C" w:rsidRDefault="006B1499" w:rsidP="006B1499">
            <w:pPr>
              <w:jc w:val="center"/>
              <w:rPr>
                <w:szCs w:val="18"/>
              </w:rPr>
            </w:pPr>
            <w:r w:rsidRPr="004F1F9C">
              <w:rPr>
                <w:szCs w:val="18"/>
              </w:rPr>
              <w:t>30</w:t>
            </w:r>
          </w:p>
        </w:tc>
      </w:tr>
      <w:tr w:rsidR="006B1499" w:rsidRPr="004F1F9C">
        <w:tc>
          <w:tcPr>
            <w:tcW w:w="9108" w:type="dxa"/>
            <w:gridSpan w:val="5"/>
          </w:tcPr>
          <w:p w:rsidR="006B1499" w:rsidRPr="004F1F9C" w:rsidRDefault="006B1499" w:rsidP="006B1499"/>
        </w:tc>
      </w:tr>
    </w:tbl>
    <w:p w:rsidR="006B1499" w:rsidRPr="004F1F9C" w:rsidRDefault="006B1499" w:rsidP="006B1499"/>
    <w:tbl>
      <w:tblPr>
        <w:tblStyle w:val="TableGrid"/>
        <w:tblW w:w="0" w:type="auto"/>
        <w:tblLook w:val="04A0"/>
      </w:tblPr>
      <w:tblGrid>
        <w:gridCol w:w="1915"/>
        <w:gridCol w:w="1915"/>
        <w:gridCol w:w="1915"/>
        <w:gridCol w:w="1915"/>
        <w:gridCol w:w="1448"/>
      </w:tblGrid>
      <w:tr w:rsidR="006B1499" w:rsidRPr="004F1F9C">
        <w:tc>
          <w:tcPr>
            <w:tcW w:w="9108" w:type="dxa"/>
            <w:gridSpan w:val="5"/>
          </w:tcPr>
          <w:p w:rsidR="006B1499" w:rsidRPr="004F1F9C" w:rsidRDefault="006B1499" w:rsidP="006B1499">
            <w:pPr>
              <w:rPr>
                <w:b/>
              </w:rPr>
            </w:pPr>
            <w:r w:rsidRPr="004F1F9C">
              <w:rPr>
                <w:b/>
              </w:rPr>
              <w:t>Table 4.8</w:t>
            </w:r>
            <w:r>
              <w:rPr>
                <w:b/>
              </w:rPr>
              <w:t xml:space="preserve"> Unit costs and lifetimes for e</w:t>
            </w:r>
            <w:r w:rsidRPr="004F1F9C">
              <w:rPr>
                <w:b/>
              </w:rPr>
              <w:t>lectricity</w:t>
            </w:r>
            <w:r>
              <w:rPr>
                <w:b/>
              </w:rPr>
              <w:t xml:space="preserve"> access from other s</w:t>
            </w:r>
            <w:r w:rsidRPr="004F1F9C">
              <w:rPr>
                <w:b/>
              </w:rPr>
              <w:t>tudies</w:t>
            </w:r>
          </w:p>
        </w:tc>
      </w:tr>
      <w:tr w:rsidR="006B1499" w:rsidRPr="004F1F9C">
        <w:tc>
          <w:tcPr>
            <w:tcW w:w="1915" w:type="dxa"/>
            <w:vAlign w:val="bottom"/>
          </w:tcPr>
          <w:p w:rsidR="006B1499" w:rsidRPr="004F1F9C" w:rsidRDefault="006B1499" w:rsidP="006B1499">
            <w:r w:rsidRPr="004F1F9C">
              <w:t>Study</w:t>
            </w:r>
          </w:p>
        </w:tc>
        <w:tc>
          <w:tcPr>
            <w:tcW w:w="1915" w:type="dxa"/>
            <w:vAlign w:val="center"/>
          </w:tcPr>
          <w:p w:rsidR="006B1499" w:rsidRPr="004F1F9C" w:rsidRDefault="006B1499" w:rsidP="006B1499">
            <w:pPr>
              <w:keepNext/>
              <w:keepLines/>
              <w:jc w:val="center"/>
            </w:pPr>
            <w:r w:rsidRPr="004F1F9C">
              <w:t>Units</w:t>
            </w:r>
          </w:p>
        </w:tc>
        <w:tc>
          <w:tcPr>
            <w:tcW w:w="1915" w:type="dxa"/>
            <w:vAlign w:val="center"/>
          </w:tcPr>
          <w:p w:rsidR="006B1499" w:rsidRPr="004F1F9C" w:rsidRDefault="006B1499" w:rsidP="006B1499">
            <w:pPr>
              <w:keepNext/>
              <w:keepLines/>
              <w:jc w:val="center"/>
            </w:pPr>
            <w:r>
              <w:t>Costs of new c</w:t>
            </w:r>
            <w:r w:rsidRPr="004F1F9C">
              <w:t>onstruction</w:t>
            </w:r>
          </w:p>
        </w:tc>
        <w:tc>
          <w:tcPr>
            <w:tcW w:w="1915" w:type="dxa"/>
            <w:vAlign w:val="center"/>
          </w:tcPr>
          <w:p w:rsidR="006B1499" w:rsidRPr="004F1F9C" w:rsidRDefault="006B1499" w:rsidP="006B1499">
            <w:pPr>
              <w:keepNext/>
              <w:keepLines/>
              <w:jc w:val="center"/>
            </w:pPr>
            <w:r>
              <w:t>Annual recurrent c</w:t>
            </w:r>
            <w:r w:rsidRPr="004F1F9C">
              <w:t>osts</w:t>
            </w:r>
          </w:p>
        </w:tc>
        <w:tc>
          <w:tcPr>
            <w:tcW w:w="1448" w:type="dxa"/>
            <w:vAlign w:val="center"/>
          </w:tcPr>
          <w:p w:rsidR="006B1499" w:rsidRPr="004F1F9C" w:rsidRDefault="006B1499" w:rsidP="006B1499">
            <w:pPr>
              <w:keepNext/>
              <w:keepLines/>
              <w:jc w:val="center"/>
            </w:pPr>
            <w:r>
              <w:t>Lifetime in y</w:t>
            </w:r>
            <w:r w:rsidRPr="004F1F9C">
              <w:t>ears</w:t>
            </w:r>
          </w:p>
        </w:tc>
      </w:tr>
      <w:tr w:rsidR="006B1499" w:rsidRPr="004F1F9C">
        <w:tc>
          <w:tcPr>
            <w:tcW w:w="1915" w:type="dxa"/>
            <w:vAlign w:val="center"/>
          </w:tcPr>
          <w:p w:rsidR="006B1499" w:rsidRPr="004F1F9C" w:rsidRDefault="006B1499" w:rsidP="006B1499">
            <w:pPr>
              <w:rPr>
                <w:szCs w:val="18"/>
              </w:rPr>
            </w:pPr>
            <w:r w:rsidRPr="004F1F9C">
              <w:rPr>
                <w:szCs w:val="18"/>
              </w:rPr>
              <w:t xml:space="preserve">Hughes, Chinowsky, and Strzepek </w:t>
            </w:r>
            <w:r w:rsidR="00F7383F" w:rsidRPr="004F1F9C">
              <w:rPr>
                <w:szCs w:val="18"/>
              </w:rPr>
              <w:fldChar w:fldCharType="begin"/>
            </w:r>
            <w:r>
              <w:rPr>
                <w:szCs w:val="18"/>
              </w:rPr>
              <w:instrText xml:space="preserve"> ADDIN ZOTERO_ITEM CSL_CITATION {"citationID":"eTCSvV90","properties":{"formattedCitation":"(2009)","plainCitation":"(2009)"},"citationItems":[{"id":975,"uris":["http://zotero.org/groups/4482/items/ZNDAXGEG"],"uri":["http://zotero.org/groups/4482/items/ZNDAXGEG"],"itemData":{"id":975,"type":"manuscript","title":"The Costs of Adapting to Climate Change for Infrastructure","publisher-place":"Washington, DC","genre":"Economics of Adaptation to Climate Change Discussion Paper no. 2","event-place":"Washington, DC","note":"World Bank","author":[{"family":"Hughes","given":"Gordon"},{"family":"Chinowsky","given":"Paul"},{"family":"Strzepek","given":"Ken"}],"issued":{"year":2009}},"suppress-author":true}],"schema":"https://github.com/citation-style-language/schema/raw/master/csl-citation.json"} </w:instrText>
            </w:r>
            <w:r w:rsidR="00F7383F" w:rsidRPr="004F1F9C">
              <w:rPr>
                <w:szCs w:val="18"/>
              </w:rPr>
              <w:fldChar w:fldCharType="separate"/>
            </w:r>
            <w:r w:rsidRPr="004F1F9C">
              <w:rPr>
                <w:rFonts w:cs="Calibri"/>
                <w:szCs w:val="21"/>
              </w:rPr>
              <w:t>(2009)</w:t>
            </w:r>
            <w:r w:rsidR="00F7383F" w:rsidRPr="004F1F9C">
              <w:rPr>
                <w:szCs w:val="18"/>
              </w:rPr>
              <w:fldChar w:fldCharType="end"/>
            </w:r>
            <w:r w:rsidRPr="004F1F9C">
              <w:rPr>
                <w:szCs w:val="18"/>
              </w:rPr>
              <w:t>*</w:t>
            </w:r>
          </w:p>
        </w:tc>
        <w:tc>
          <w:tcPr>
            <w:tcW w:w="1915" w:type="dxa"/>
            <w:vAlign w:val="center"/>
          </w:tcPr>
          <w:p w:rsidR="006B1499" w:rsidRPr="004F1F9C" w:rsidRDefault="006B1499" w:rsidP="006B1499">
            <w:pPr>
              <w:jc w:val="center"/>
              <w:rPr>
                <w:szCs w:val="18"/>
              </w:rPr>
            </w:pPr>
            <w:r w:rsidRPr="004F1F9C">
              <w:rPr>
                <w:szCs w:val="18"/>
              </w:rPr>
              <w:t>Constant $2005 US PPP per connection</w:t>
            </w:r>
          </w:p>
        </w:tc>
        <w:tc>
          <w:tcPr>
            <w:tcW w:w="1915" w:type="dxa"/>
            <w:vAlign w:val="center"/>
          </w:tcPr>
          <w:p w:rsidR="006B1499" w:rsidRPr="004F1F9C" w:rsidRDefault="006B1499" w:rsidP="006B1499">
            <w:pPr>
              <w:jc w:val="center"/>
              <w:rPr>
                <w:szCs w:val="18"/>
              </w:rPr>
            </w:pPr>
            <w:r w:rsidRPr="004F1F9C">
              <w:rPr>
                <w:szCs w:val="18"/>
              </w:rPr>
              <w:t>Urban: 850</w:t>
            </w:r>
          </w:p>
          <w:p w:rsidR="006B1499" w:rsidRPr="004F1F9C" w:rsidRDefault="006B1499" w:rsidP="006B1499">
            <w:pPr>
              <w:jc w:val="center"/>
              <w:rPr>
                <w:szCs w:val="18"/>
              </w:rPr>
            </w:pPr>
            <w:r w:rsidRPr="004F1F9C">
              <w:rPr>
                <w:szCs w:val="18"/>
              </w:rPr>
              <w:t>Rural: 1,750</w:t>
            </w:r>
          </w:p>
        </w:tc>
        <w:tc>
          <w:tcPr>
            <w:tcW w:w="1915" w:type="dxa"/>
            <w:vAlign w:val="center"/>
          </w:tcPr>
          <w:p w:rsidR="006B1499" w:rsidRPr="004F1F9C" w:rsidRDefault="006B1499" w:rsidP="006B1499">
            <w:pPr>
              <w:jc w:val="center"/>
              <w:rPr>
                <w:szCs w:val="18"/>
              </w:rPr>
            </w:pPr>
            <w:r w:rsidRPr="004F1F9C">
              <w:rPr>
                <w:szCs w:val="18"/>
              </w:rPr>
              <w:t>1.33%</w:t>
            </w:r>
          </w:p>
        </w:tc>
        <w:tc>
          <w:tcPr>
            <w:tcW w:w="1448" w:type="dxa"/>
            <w:vAlign w:val="center"/>
          </w:tcPr>
          <w:p w:rsidR="006B1499" w:rsidRPr="004F1F9C" w:rsidRDefault="006B1499" w:rsidP="006B1499">
            <w:pPr>
              <w:jc w:val="center"/>
              <w:rPr>
                <w:szCs w:val="18"/>
              </w:rPr>
            </w:pPr>
            <w:r w:rsidRPr="004F1F9C">
              <w:rPr>
                <w:szCs w:val="18"/>
              </w:rPr>
              <w:t>40</w:t>
            </w:r>
          </w:p>
        </w:tc>
      </w:tr>
      <w:tr w:rsidR="006B1499" w:rsidRPr="004F1F9C">
        <w:tc>
          <w:tcPr>
            <w:tcW w:w="1915" w:type="dxa"/>
            <w:vAlign w:val="center"/>
          </w:tcPr>
          <w:p w:rsidR="006B1499" w:rsidRPr="004F1F9C" w:rsidRDefault="006B1499" w:rsidP="006B1499">
            <w:pPr>
              <w:rPr>
                <w:szCs w:val="18"/>
              </w:rPr>
            </w:pPr>
            <w:r w:rsidRPr="004F1F9C">
              <w:rPr>
                <w:szCs w:val="18"/>
              </w:rPr>
              <w:t>Us at the moment</w:t>
            </w:r>
          </w:p>
        </w:tc>
        <w:tc>
          <w:tcPr>
            <w:tcW w:w="1915" w:type="dxa"/>
            <w:vAlign w:val="center"/>
          </w:tcPr>
          <w:p w:rsidR="006B1499" w:rsidRPr="004F1F9C" w:rsidRDefault="006B1499" w:rsidP="006B1499">
            <w:pPr>
              <w:jc w:val="center"/>
              <w:rPr>
                <w:szCs w:val="18"/>
              </w:rPr>
            </w:pPr>
            <w:r w:rsidRPr="004F1F9C">
              <w:rPr>
                <w:szCs w:val="18"/>
              </w:rPr>
              <w:t>Constant $2000 per connection</w:t>
            </w:r>
          </w:p>
        </w:tc>
        <w:tc>
          <w:tcPr>
            <w:tcW w:w="1915" w:type="dxa"/>
            <w:vAlign w:val="center"/>
          </w:tcPr>
          <w:p w:rsidR="006B1499" w:rsidRPr="004F1F9C" w:rsidRDefault="006B1499" w:rsidP="006B1499">
            <w:pPr>
              <w:jc w:val="center"/>
              <w:rPr>
                <w:szCs w:val="18"/>
              </w:rPr>
            </w:pPr>
            <w:r w:rsidRPr="004F1F9C">
              <w:rPr>
                <w:szCs w:val="18"/>
              </w:rPr>
              <w:t>Urban: 850</w:t>
            </w:r>
          </w:p>
          <w:p w:rsidR="006B1499" w:rsidRPr="004F1F9C" w:rsidRDefault="006B1499" w:rsidP="006B1499">
            <w:pPr>
              <w:jc w:val="center"/>
              <w:rPr>
                <w:szCs w:val="18"/>
              </w:rPr>
            </w:pPr>
            <w:r w:rsidRPr="004F1F9C">
              <w:rPr>
                <w:szCs w:val="18"/>
              </w:rPr>
              <w:t>Rural: 1,750</w:t>
            </w:r>
          </w:p>
        </w:tc>
        <w:tc>
          <w:tcPr>
            <w:tcW w:w="1915" w:type="dxa"/>
            <w:vAlign w:val="center"/>
          </w:tcPr>
          <w:p w:rsidR="006B1499" w:rsidRPr="004F1F9C" w:rsidRDefault="006B1499" w:rsidP="006B1499">
            <w:pPr>
              <w:jc w:val="center"/>
              <w:rPr>
                <w:szCs w:val="18"/>
              </w:rPr>
            </w:pPr>
          </w:p>
        </w:tc>
        <w:tc>
          <w:tcPr>
            <w:tcW w:w="1448" w:type="dxa"/>
            <w:vAlign w:val="center"/>
          </w:tcPr>
          <w:p w:rsidR="006B1499" w:rsidRPr="004F1F9C" w:rsidRDefault="006B1499" w:rsidP="006B1499">
            <w:pPr>
              <w:jc w:val="center"/>
              <w:rPr>
                <w:szCs w:val="18"/>
              </w:rPr>
            </w:pPr>
            <w:r w:rsidRPr="004F1F9C">
              <w:rPr>
                <w:szCs w:val="18"/>
              </w:rPr>
              <w:t>40</w:t>
            </w:r>
          </w:p>
        </w:tc>
      </w:tr>
      <w:tr w:rsidR="006B1499" w:rsidRPr="004F1F9C">
        <w:tc>
          <w:tcPr>
            <w:tcW w:w="9108" w:type="dxa"/>
            <w:gridSpan w:val="5"/>
          </w:tcPr>
          <w:p w:rsidR="006B1499" w:rsidRPr="004F1F9C" w:rsidRDefault="006B1499" w:rsidP="006B1499"/>
        </w:tc>
      </w:tr>
    </w:tbl>
    <w:p w:rsidR="006B1499" w:rsidRPr="004F1F9C" w:rsidRDefault="006B1499" w:rsidP="006B1499"/>
    <w:p w:rsidR="006B1499" w:rsidRPr="004F1F9C" w:rsidRDefault="006B1499" w:rsidP="006B1499">
      <w:pPr>
        <w:pStyle w:val="Heading4"/>
        <w:spacing w:before="0" w:after="0"/>
      </w:pPr>
      <w:bookmarkStart w:id="103" w:name="_Toc197147853"/>
      <w:bookmarkStart w:id="104" w:name="_Toc200095294"/>
      <w:r w:rsidRPr="004F1F9C">
        <w:t>4.3.2.4 Summary of unit cost data for ICT</w:t>
      </w:r>
      <w:bookmarkEnd w:id="103"/>
      <w:bookmarkEnd w:id="104"/>
    </w:p>
    <w:tbl>
      <w:tblPr>
        <w:tblStyle w:val="TableGrid"/>
        <w:tblW w:w="0" w:type="auto"/>
        <w:tblLook w:val="04A0"/>
      </w:tblPr>
      <w:tblGrid>
        <w:gridCol w:w="1915"/>
        <w:gridCol w:w="1915"/>
        <w:gridCol w:w="1915"/>
        <w:gridCol w:w="1915"/>
        <w:gridCol w:w="1448"/>
      </w:tblGrid>
      <w:tr w:rsidR="006B1499" w:rsidRPr="004F1F9C">
        <w:tc>
          <w:tcPr>
            <w:tcW w:w="9108" w:type="dxa"/>
            <w:gridSpan w:val="5"/>
          </w:tcPr>
          <w:p w:rsidR="006B1499" w:rsidRPr="004F1F9C" w:rsidRDefault="006B1499" w:rsidP="006B1499">
            <w:pPr>
              <w:rPr>
                <w:b/>
              </w:rPr>
            </w:pPr>
            <w:r>
              <w:rPr>
                <w:b/>
              </w:rPr>
              <w:t>Table 4.9 Unit costs and lifetimes for fixed phones from other s</w:t>
            </w:r>
            <w:r w:rsidRPr="004F1F9C">
              <w:rPr>
                <w:b/>
              </w:rPr>
              <w:t>tudies</w:t>
            </w:r>
          </w:p>
        </w:tc>
      </w:tr>
      <w:tr w:rsidR="006B1499" w:rsidRPr="004F1F9C">
        <w:tc>
          <w:tcPr>
            <w:tcW w:w="1915" w:type="dxa"/>
            <w:vAlign w:val="bottom"/>
          </w:tcPr>
          <w:p w:rsidR="006B1499" w:rsidRPr="004F1F9C" w:rsidRDefault="006B1499" w:rsidP="006B1499">
            <w:r w:rsidRPr="004F1F9C">
              <w:t>Study</w:t>
            </w:r>
          </w:p>
        </w:tc>
        <w:tc>
          <w:tcPr>
            <w:tcW w:w="1915" w:type="dxa"/>
            <w:vAlign w:val="center"/>
          </w:tcPr>
          <w:p w:rsidR="006B1499" w:rsidRPr="004F1F9C" w:rsidRDefault="006B1499" w:rsidP="006B1499">
            <w:pPr>
              <w:keepNext/>
              <w:keepLines/>
              <w:jc w:val="center"/>
            </w:pPr>
            <w:r w:rsidRPr="004F1F9C">
              <w:t>Units</w:t>
            </w:r>
          </w:p>
        </w:tc>
        <w:tc>
          <w:tcPr>
            <w:tcW w:w="1915" w:type="dxa"/>
            <w:vAlign w:val="center"/>
          </w:tcPr>
          <w:p w:rsidR="006B1499" w:rsidRPr="004F1F9C" w:rsidRDefault="006B1499" w:rsidP="006B1499">
            <w:pPr>
              <w:keepNext/>
              <w:keepLines/>
              <w:jc w:val="center"/>
            </w:pPr>
            <w:r>
              <w:t>Costs of new c</w:t>
            </w:r>
            <w:r w:rsidRPr="004F1F9C">
              <w:t>onstruction</w:t>
            </w:r>
          </w:p>
        </w:tc>
        <w:tc>
          <w:tcPr>
            <w:tcW w:w="1915" w:type="dxa"/>
            <w:vAlign w:val="center"/>
          </w:tcPr>
          <w:p w:rsidR="006B1499" w:rsidRPr="004F1F9C" w:rsidRDefault="006B1499" w:rsidP="006B1499">
            <w:pPr>
              <w:keepNext/>
              <w:keepLines/>
              <w:jc w:val="center"/>
            </w:pPr>
            <w:r>
              <w:t>Annual recurrent c</w:t>
            </w:r>
            <w:r w:rsidRPr="004F1F9C">
              <w:t>osts</w:t>
            </w:r>
          </w:p>
        </w:tc>
        <w:tc>
          <w:tcPr>
            <w:tcW w:w="1448" w:type="dxa"/>
            <w:vAlign w:val="center"/>
          </w:tcPr>
          <w:p w:rsidR="006B1499" w:rsidRPr="004F1F9C" w:rsidRDefault="006B1499" w:rsidP="006B1499">
            <w:pPr>
              <w:keepNext/>
              <w:keepLines/>
              <w:jc w:val="center"/>
            </w:pPr>
            <w:r>
              <w:t>Lifetime in y</w:t>
            </w:r>
            <w:r w:rsidRPr="004F1F9C">
              <w:t>ears</w:t>
            </w:r>
          </w:p>
        </w:tc>
      </w:tr>
      <w:tr w:rsidR="006B1499" w:rsidRPr="004F1F9C">
        <w:tc>
          <w:tcPr>
            <w:tcW w:w="1915" w:type="dxa"/>
            <w:vAlign w:val="center"/>
          </w:tcPr>
          <w:p w:rsidR="006B1499" w:rsidRPr="004F1F9C" w:rsidRDefault="006B1499" w:rsidP="006B1499">
            <w:pPr>
              <w:rPr>
                <w:szCs w:val="18"/>
              </w:rPr>
            </w:pPr>
            <w:r w:rsidRPr="004F1F9C">
              <w:rPr>
                <w:szCs w:val="18"/>
              </w:rPr>
              <w:t xml:space="preserve">Fay </w:t>
            </w:r>
            <w:r w:rsidR="00F7383F" w:rsidRPr="004F1F9C">
              <w:rPr>
                <w:szCs w:val="18"/>
              </w:rPr>
              <w:fldChar w:fldCharType="begin"/>
            </w:r>
            <w:r>
              <w:rPr>
                <w:szCs w:val="18"/>
              </w:rPr>
              <w:instrText xml:space="preserve"> ADDIN ZOTERO_ITEM CSL_CITATION {"citationID":"1VrrVMGB","properties":{"formattedCitation":"(2001, 11)","plainCitation":"(2001, 11)"},"citationItems":[{"id":480,"uris":["http://zotero.org/groups/4482/items/KQS277CN"],"uri":["http://zotero.org/groups/4482/items/KQS277CN"],"itemData":{"id":480,"type":"manuscript","title":"Financing the Future: Infrastructure Needs in Latin America, 2000-05","publisher-place":"Washington, DC","genre":"Policy Research Working Paper no. 2545","event-place":"Washington, DC","URL":"http://elibrary.worldbank.org/docserver/download/2545.pdf?expires=1311613909&amp;id=id&amp;accname=guest&amp;checksum=ACB78371906738C5C8D3387D4EEAA8ED","note":"World Bank","shortTitle":"Financing the Future","author":[{"family":"Fay","given":"Marianne"}],"issued":{"year":2001}},"locator":"11","label":"page","suppress-author":true}],"schema":"https://github.com/citation-style-language/schema/raw/master/csl-citation.json"} </w:instrText>
            </w:r>
            <w:r w:rsidR="00F7383F" w:rsidRPr="004F1F9C">
              <w:rPr>
                <w:szCs w:val="18"/>
              </w:rPr>
              <w:fldChar w:fldCharType="separate"/>
            </w:r>
            <w:r w:rsidRPr="004F1F9C">
              <w:rPr>
                <w:rFonts w:cs="Calibri"/>
              </w:rPr>
              <w:t>(2001, 11)</w:t>
            </w:r>
            <w:r w:rsidR="00F7383F" w:rsidRPr="004F1F9C">
              <w:rPr>
                <w:szCs w:val="18"/>
              </w:rPr>
              <w:fldChar w:fldCharType="end"/>
            </w:r>
          </w:p>
        </w:tc>
        <w:tc>
          <w:tcPr>
            <w:tcW w:w="1915" w:type="dxa"/>
            <w:vAlign w:val="center"/>
          </w:tcPr>
          <w:p w:rsidR="006B1499" w:rsidRPr="004F1F9C" w:rsidRDefault="006B1499" w:rsidP="006B1499">
            <w:pPr>
              <w:jc w:val="center"/>
              <w:rPr>
                <w:szCs w:val="18"/>
              </w:rPr>
            </w:pPr>
            <w:r w:rsidRPr="004F1F9C">
              <w:rPr>
                <w:szCs w:val="18"/>
              </w:rPr>
              <w:t>Constant 1995$US per KW</w:t>
            </w:r>
          </w:p>
        </w:tc>
        <w:tc>
          <w:tcPr>
            <w:tcW w:w="1915" w:type="dxa"/>
            <w:vAlign w:val="center"/>
          </w:tcPr>
          <w:p w:rsidR="006B1499" w:rsidRPr="004F1F9C" w:rsidRDefault="006B1499" w:rsidP="006B1499">
            <w:pPr>
              <w:jc w:val="center"/>
              <w:rPr>
                <w:szCs w:val="18"/>
              </w:rPr>
            </w:pPr>
            <w:r w:rsidRPr="004F1F9C">
              <w:rPr>
                <w:szCs w:val="18"/>
              </w:rPr>
              <w:t>1,000</w:t>
            </w:r>
          </w:p>
        </w:tc>
        <w:tc>
          <w:tcPr>
            <w:tcW w:w="1915" w:type="dxa"/>
            <w:vAlign w:val="center"/>
          </w:tcPr>
          <w:p w:rsidR="006B1499" w:rsidRPr="004F1F9C" w:rsidRDefault="006B1499" w:rsidP="006B1499">
            <w:pPr>
              <w:jc w:val="center"/>
              <w:rPr>
                <w:szCs w:val="18"/>
              </w:rPr>
            </w:pPr>
          </w:p>
        </w:tc>
        <w:tc>
          <w:tcPr>
            <w:tcW w:w="1448" w:type="dxa"/>
            <w:vAlign w:val="center"/>
          </w:tcPr>
          <w:p w:rsidR="006B1499" w:rsidRPr="004F1F9C" w:rsidRDefault="006B1499" w:rsidP="006B1499">
            <w:pPr>
              <w:jc w:val="center"/>
              <w:rPr>
                <w:szCs w:val="18"/>
              </w:rPr>
            </w:pPr>
          </w:p>
        </w:tc>
      </w:tr>
      <w:tr w:rsidR="006B1499" w:rsidRPr="004F1F9C">
        <w:tc>
          <w:tcPr>
            <w:tcW w:w="1915" w:type="dxa"/>
            <w:vAlign w:val="center"/>
          </w:tcPr>
          <w:p w:rsidR="006B1499" w:rsidRPr="004F1F9C" w:rsidRDefault="006B1499" w:rsidP="006B1499">
            <w:pPr>
              <w:rPr>
                <w:szCs w:val="18"/>
              </w:rPr>
            </w:pPr>
            <w:r w:rsidRPr="004F1F9C">
              <w:rPr>
                <w:szCs w:val="18"/>
              </w:rPr>
              <w:t xml:space="preserve">Fay and Yepes </w:t>
            </w:r>
            <w:r w:rsidR="00F7383F" w:rsidRPr="004F1F9C">
              <w:rPr>
                <w:szCs w:val="18"/>
              </w:rPr>
              <w:fldChar w:fldCharType="begin"/>
            </w:r>
            <w:r>
              <w:rPr>
                <w:szCs w:val="18"/>
              </w:rPr>
              <w:instrText xml:space="preserve"> ADDIN ZOTERO_ITEM CSL_CITATION {"citationID":"PrgVkhFq","properties":{"formattedCitation":"(2003, 10)","plainCitation":"(2003, 10)"},"citationItems":[{"id":1138,"uris":["http://zotero.org/groups/4482/items/4BPWRAEZ"],"uri":["http://zotero.org/groups/4482/items/4BPWRAEZ"],"itemData":{"id":1138,"type":"manuscript","title":"Investing in Infrastructure: What Is Needed from 2000 to 2010?","publisher-place":"Washington, DC","genre":"Policy Research Working Paper no. 3102","archive":"RePEc","event-place":"Washington, DC","URL":"http://ideas.repec.org/p/wbk/wbrwps/3102.html","call-number":"0154","note":"World Bank","shortTitle":"Investing in Infrastructure","author":[{"family":"Fay","given":"Marianne"},{"family":"Yepes","given":"Tito"}],"issued":{"year":2003},"accessed":{"year":2009,"month":11,"day":23}},"locator":"10","label":"page","suppress-author":true}],"schema":"https://github.com/citation-style-language/schema/raw/master/csl-citation.json"} </w:instrText>
            </w:r>
            <w:r w:rsidR="00F7383F" w:rsidRPr="004F1F9C">
              <w:rPr>
                <w:szCs w:val="18"/>
              </w:rPr>
              <w:fldChar w:fldCharType="separate"/>
            </w:r>
            <w:r w:rsidRPr="004F1F9C">
              <w:t>(2003, 10)</w:t>
            </w:r>
            <w:r w:rsidR="00F7383F" w:rsidRPr="004F1F9C">
              <w:rPr>
                <w:szCs w:val="18"/>
              </w:rPr>
              <w:fldChar w:fldCharType="end"/>
            </w:r>
          </w:p>
        </w:tc>
        <w:tc>
          <w:tcPr>
            <w:tcW w:w="1915" w:type="dxa"/>
            <w:vAlign w:val="center"/>
          </w:tcPr>
          <w:p w:rsidR="006B1499" w:rsidRPr="004F1F9C" w:rsidRDefault="006B1499" w:rsidP="006B1499">
            <w:pPr>
              <w:jc w:val="center"/>
              <w:rPr>
                <w:szCs w:val="18"/>
              </w:rPr>
            </w:pPr>
            <w:r w:rsidRPr="004F1F9C">
              <w:rPr>
                <w:szCs w:val="18"/>
              </w:rPr>
              <w:t>Constant 1995$US per subscription</w:t>
            </w:r>
          </w:p>
        </w:tc>
        <w:tc>
          <w:tcPr>
            <w:tcW w:w="1915" w:type="dxa"/>
            <w:vAlign w:val="center"/>
          </w:tcPr>
          <w:p w:rsidR="006B1499" w:rsidRPr="004F1F9C" w:rsidRDefault="006B1499" w:rsidP="006B1499">
            <w:pPr>
              <w:jc w:val="center"/>
              <w:rPr>
                <w:szCs w:val="18"/>
              </w:rPr>
            </w:pPr>
            <w:r w:rsidRPr="004F1F9C">
              <w:rPr>
                <w:szCs w:val="18"/>
              </w:rPr>
              <w:t>400</w:t>
            </w:r>
          </w:p>
        </w:tc>
        <w:tc>
          <w:tcPr>
            <w:tcW w:w="1915" w:type="dxa"/>
            <w:vAlign w:val="center"/>
          </w:tcPr>
          <w:p w:rsidR="006B1499" w:rsidRPr="004F1F9C" w:rsidRDefault="006B1499" w:rsidP="006B1499">
            <w:pPr>
              <w:jc w:val="center"/>
              <w:rPr>
                <w:szCs w:val="18"/>
              </w:rPr>
            </w:pPr>
            <w:r w:rsidRPr="004F1F9C">
              <w:rPr>
                <w:szCs w:val="18"/>
              </w:rPr>
              <w:t>8% of unit replacement cost</w:t>
            </w:r>
          </w:p>
        </w:tc>
        <w:tc>
          <w:tcPr>
            <w:tcW w:w="1448" w:type="dxa"/>
            <w:vAlign w:val="center"/>
          </w:tcPr>
          <w:p w:rsidR="006B1499" w:rsidRPr="004F1F9C" w:rsidRDefault="006B1499" w:rsidP="006B1499">
            <w:pPr>
              <w:jc w:val="center"/>
              <w:rPr>
                <w:szCs w:val="18"/>
              </w:rPr>
            </w:pPr>
          </w:p>
        </w:tc>
      </w:tr>
      <w:tr w:rsidR="006B1499" w:rsidRPr="004F1F9C">
        <w:tc>
          <w:tcPr>
            <w:tcW w:w="1915" w:type="dxa"/>
            <w:vAlign w:val="center"/>
          </w:tcPr>
          <w:p w:rsidR="006B1499" w:rsidRPr="004F1F9C" w:rsidRDefault="006B1499" w:rsidP="006B1499">
            <w:pPr>
              <w:rPr>
                <w:szCs w:val="18"/>
              </w:rPr>
            </w:pPr>
            <w:r w:rsidRPr="004F1F9C">
              <w:rPr>
                <w:szCs w:val="18"/>
              </w:rPr>
              <w:t xml:space="preserve">Yepes </w:t>
            </w:r>
            <w:r w:rsidR="00F7383F" w:rsidRPr="004F1F9C">
              <w:rPr>
                <w:szCs w:val="18"/>
              </w:rPr>
              <w:fldChar w:fldCharType="begin"/>
            </w:r>
            <w:r>
              <w:rPr>
                <w:szCs w:val="18"/>
              </w:rPr>
              <w:instrText xml:space="preserve"> ADDIN ZOTERO_ITEM CSL_CITATION {"citationID":"NGHlsDGH","properties":{"formattedCitation":"(2005, no page number)","plainCitation":"(2005, no page number)"},"citationItems":[{"id":904,"uris":["http://zotero.org/groups/4482/items/TXS9JSZB"],"uri":["http://zotero.org/groups/4482/items/TXS9JSZB"],"itemData":{"id":904,"type":"report","title":"Expenditure on Infrastructure in East Asia Region, 2006–2010","collection-title":"East Asia Pacific Infrastructure Flagship Study","publisher":"Asian Development Bank (ADB), Japan Bank for International Cooperation (JBIC), World Bank","publisher-place":"Manila","event-place":"Manila","author":[{"family":"Yepes","given":"Tito"}],"issued":{"year":2005}},"locator":"no page number","label":"page","suppress-author":true}],"schema":"https://github.com/citation-style-language/schema/raw/master/csl-citation.json"} </w:instrText>
            </w:r>
            <w:r w:rsidR="00F7383F" w:rsidRPr="004F1F9C">
              <w:rPr>
                <w:szCs w:val="18"/>
              </w:rPr>
              <w:fldChar w:fldCharType="separate"/>
            </w:r>
            <w:r w:rsidRPr="004F1F9C">
              <w:rPr>
                <w:szCs w:val="21"/>
              </w:rPr>
              <w:t>(2005, no page number)</w:t>
            </w:r>
            <w:r w:rsidR="00F7383F" w:rsidRPr="004F1F9C">
              <w:rPr>
                <w:szCs w:val="18"/>
              </w:rPr>
              <w:fldChar w:fldCharType="end"/>
            </w:r>
          </w:p>
        </w:tc>
        <w:tc>
          <w:tcPr>
            <w:tcW w:w="1915" w:type="dxa"/>
            <w:vAlign w:val="center"/>
          </w:tcPr>
          <w:p w:rsidR="006B1499" w:rsidRPr="004F1F9C" w:rsidRDefault="006B1499" w:rsidP="006B1499">
            <w:pPr>
              <w:jc w:val="center"/>
              <w:rPr>
                <w:szCs w:val="18"/>
              </w:rPr>
            </w:pPr>
            <w:r w:rsidRPr="004F1F9C">
              <w:rPr>
                <w:szCs w:val="18"/>
              </w:rPr>
              <w:t>Constant $US, year not stated, per subscription</w:t>
            </w:r>
          </w:p>
        </w:tc>
        <w:tc>
          <w:tcPr>
            <w:tcW w:w="1915" w:type="dxa"/>
            <w:vAlign w:val="center"/>
          </w:tcPr>
          <w:p w:rsidR="006B1499" w:rsidRPr="004F1F9C" w:rsidRDefault="006B1499" w:rsidP="006B1499">
            <w:pPr>
              <w:jc w:val="center"/>
              <w:rPr>
                <w:szCs w:val="18"/>
              </w:rPr>
            </w:pPr>
            <w:r w:rsidRPr="004F1F9C">
              <w:rPr>
                <w:szCs w:val="18"/>
              </w:rPr>
              <w:t>China: 451 in 2000, 210 in 2005, 96 in 2010</w:t>
            </w:r>
          </w:p>
          <w:p w:rsidR="006B1499" w:rsidRPr="004F1F9C" w:rsidRDefault="006B1499" w:rsidP="006B1499">
            <w:pPr>
              <w:jc w:val="center"/>
              <w:rPr>
                <w:szCs w:val="18"/>
              </w:rPr>
            </w:pPr>
            <w:r w:rsidRPr="004F1F9C">
              <w:rPr>
                <w:szCs w:val="18"/>
              </w:rPr>
              <w:t>Rest: 451 in 2000, 280 in 2005, 127 in 2010</w:t>
            </w:r>
          </w:p>
        </w:tc>
        <w:tc>
          <w:tcPr>
            <w:tcW w:w="1915" w:type="dxa"/>
            <w:vAlign w:val="center"/>
          </w:tcPr>
          <w:p w:rsidR="006B1499" w:rsidRPr="004F1F9C" w:rsidRDefault="006B1499" w:rsidP="006B1499">
            <w:pPr>
              <w:jc w:val="center"/>
              <w:rPr>
                <w:szCs w:val="18"/>
              </w:rPr>
            </w:pPr>
            <w:r w:rsidRPr="004F1F9C">
              <w:rPr>
                <w:szCs w:val="18"/>
              </w:rPr>
              <w:t>8% of stock value</w:t>
            </w:r>
          </w:p>
        </w:tc>
        <w:tc>
          <w:tcPr>
            <w:tcW w:w="1448" w:type="dxa"/>
            <w:vAlign w:val="center"/>
          </w:tcPr>
          <w:p w:rsidR="006B1499" w:rsidRPr="004F1F9C" w:rsidRDefault="006B1499" w:rsidP="006B1499">
            <w:pPr>
              <w:jc w:val="center"/>
              <w:rPr>
                <w:szCs w:val="18"/>
              </w:rPr>
            </w:pPr>
          </w:p>
        </w:tc>
      </w:tr>
      <w:tr w:rsidR="006B1499" w:rsidRPr="004F1F9C">
        <w:tc>
          <w:tcPr>
            <w:tcW w:w="1915" w:type="dxa"/>
            <w:vAlign w:val="center"/>
          </w:tcPr>
          <w:p w:rsidR="006B1499" w:rsidRPr="004F1F9C" w:rsidRDefault="006B1499" w:rsidP="006B1499">
            <w:r w:rsidRPr="004F1F9C">
              <w:rPr>
                <w:szCs w:val="18"/>
              </w:rPr>
              <w:t xml:space="preserve">Chatterton and Puerto </w:t>
            </w:r>
            <w:r w:rsidR="00F7383F" w:rsidRPr="004F1F9C">
              <w:rPr>
                <w:szCs w:val="18"/>
              </w:rPr>
              <w:fldChar w:fldCharType="begin"/>
            </w:r>
            <w:r>
              <w:rPr>
                <w:szCs w:val="18"/>
              </w:rPr>
              <w:instrText xml:space="preserve"> ADDIN ZOTERO_ITEM CSL_CITATION {"citationID":"VweuWEMn","properties":{"formattedCitation":"{\\rtf (2006, 7, 9\\uc0\\u8211{}10)}","plainCitation":"(2006, 7, 9–10)"},"citationItems":[{"id":903,"uris":["http://zotero.org/groups/4482/items/8BCTKHKI"],"uri":["http://zotero.org/groups/4482/items/8BCTKHKI"],"itemData":{"id":903,"type":"report","title":"Estimation of Infrastructure Investment Needs in the South Asia Region: Executive Summary","publisher":"World Bank","publisher-place":"Washington, DC","event-place":"Washington, DC","URL":"http://0-siteresources.worldbank.org.bianca.penlib.du.edu/INTSARREGTOPTRANSPORT/Resources/Inf_Investment_Needs_IC_version4.pdf","shortTitle":"Estimation of Infrastructure Investment Needs in the South Asia Region","author":[{"family":"Chatterton","given":"Isabe"},{"family":"Puerto","given":"Olga S."}],"issued":{"year":2006}},"locator":"7, 9-10","label":"page","suppress-author":true}],"schema":"https://github.com/citation-style-language/schema/raw/master/csl-citation.json"} </w:instrText>
            </w:r>
            <w:r w:rsidR="00F7383F" w:rsidRPr="004F1F9C">
              <w:rPr>
                <w:szCs w:val="18"/>
              </w:rPr>
              <w:fldChar w:fldCharType="separate"/>
            </w:r>
            <w:r w:rsidRPr="004F1F9C">
              <w:rPr>
                <w:szCs w:val="24"/>
              </w:rPr>
              <w:t>(2006, 7, 9–10)</w:t>
            </w:r>
            <w:r w:rsidR="00F7383F" w:rsidRPr="004F1F9C">
              <w:rPr>
                <w:szCs w:val="18"/>
              </w:rPr>
              <w:fldChar w:fldCharType="end"/>
            </w:r>
          </w:p>
        </w:tc>
        <w:tc>
          <w:tcPr>
            <w:tcW w:w="1915" w:type="dxa"/>
            <w:vAlign w:val="center"/>
          </w:tcPr>
          <w:p w:rsidR="006B1499" w:rsidRPr="004F1F9C" w:rsidRDefault="006B1499" w:rsidP="006B1499">
            <w:pPr>
              <w:jc w:val="center"/>
            </w:pPr>
            <w:r w:rsidRPr="004F1F9C">
              <w:rPr>
                <w:szCs w:val="18"/>
              </w:rPr>
              <w:t>Constant $US, year not stated, per subscription</w:t>
            </w:r>
          </w:p>
        </w:tc>
        <w:tc>
          <w:tcPr>
            <w:tcW w:w="1915" w:type="dxa"/>
            <w:vAlign w:val="center"/>
          </w:tcPr>
          <w:p w:rsidR="006B1499" w:rsidRPr="004F1F9C" w:rsidRDefault="006B1499" w:rsidP="006B1499">
            <w:pPr>
              <w:jc w:val="center"/>
              <w:rPr>
                <w:szCs w:val="18"/>
              </w:rPr>
            </w:pPr>
            <w:r w:rsidRPr="004F1F9C">
              <w:rPr>
                <w:szCs w:val="18"/>
              </w:rPr>
              <w:t>400 for 2000-2004, 280 for 2005-2009, 261 for 2010 onward</w:t>
            </w:r>
          </w:p>
        </w:tc>
        <w:tc>
          <w:tcPr>
            <w:tcW w:w="1915" w:type="dxa"/>
            <w:vAlign w:val="center"/>
          </w:tcPr>
          <w:p w:rsidR="006B1499" w:rsidRPr="004F1F9C" w:rsidRDefault="006B1499" w:rsidP="006B1499">
            <w:pPr>
              <w:jc w:val="center"/>
              <w:rPr>
                <w:szCs w:val="18"/>
              </w:rPr>
            </w:pPr>
            <w:r w:rsidRPr="004F1F9C">
              <w:rPr>
                <w:szCs w:val="18"/>
              </w:rPr>
              <w:t>8% of replacement cost</w:t>
            </w:r>
          </w:p>
        </w:tc>
        <w:tc>
          <w:tcPr>
            <w:tcW w:w="1448" w:type="dxa"/>
            <w:vAlign w:val="center"/>
          </w:tcPr>
          <w:p w:rsidR="006B1499" w:rsidRPr="004F1F9C" w:rsidRDefault="006B1499" w:rsidP="006B1499">
            <w:pPr>
              <w:jc w:val="center"/>
              <w:rPr>
                <w:szCs w:val="18"/>
              </w:rPr>
            </w:pPr>
          </w:p>
        </w:tc>
      </w:tr>
      <w:tr w:rsidR="006B1499" w:rsidRPr="004F1F9C">
        <w:tc>
          <w:tcPr>
            <w:tcW w:w="1915" w:type="dxa"/>
            <w:vAlign w:val="center"/>
          </w:tcPr>
          <w:p w:rsidR="006B1499" w:rsidRPr="004F1F9C" w:rsidRDefault="006B1499" w:rsidP="006B1499">
            <w:r w:rsidRPr="004F1F9C">
              <w:rPr>
                <w:szCs w:val="18"/>
              </w:rPr>
              <w:t xml:space="preserve">Yepes </w:t>
            </w:r>
            <w:r w:rsidR="00F7383F" w:rsidRPr="004F1F9C">
              <w:rPr>
                <w:szCs w:val="18"/>
              </w:rPr>
              <w:fldChar w:fldCharType="begin"/>
            </w:r>
            <w:r>
              <w:rPr>
                <w:szCs w:val="18"/>
              </w:rPr>
              <w:instrText xml:space="preserve"> ADDIN ZOTERO_ITEM CSL_CITATION {"citationID":"JB4JWFTT","properties":{"formattedCitation":"(2008, 7, 10, 11, 15)","plainCitation":"(2008, 7, 10, 11, 15)"},"citationItems":[{"id":716,"uris":["http://zotero.org/groups/4482/items/6FIFS46X"],"uri":["http://zotero.org/groups/4482/items/6FIFS46X"],"itemData":{"id":716,"type":"manuscript","title":"Investment Needs for Infrastructure in Developing Countries 2008-15","publisher-place":"Washington, DC","genre":"Draft","event-place":"Washington, DC","note":"World Bank","author":[{"family":"Yepes","given":"Tito"}],"issued":{"year":2008}},"locator":"7, 10, 11, 15","label":"page","suppress-author":true}],"schema":"https://github.com/citation-style-language/schema/raw/master/csl-citation.json"} </w:instrText>
            </w:r>
            <w:r w:rsidR="00F7383F" w:rsidRPr="004F1F9C">
              <w:rPr>
                <w:szCs w:val="18"/>
              </w:rPr>
              <w:fldChar w:fldCharType="separate"/>
            </w:r>
            <w:r w:rsidRPr="004F1F9C">
              <w:rPr>
                <w:szCs w:val="21"/>
              </w:rPr>
              <w:t>(2008, 7, 10, 11, 15)</w:t>
            </w:r>
            <w:r w:rsidR="00F7383F" w:rsidRPr="004F1F9C">
              <w:rPr>
                <w:szCs w:val="18"/>
              </w:rPr>
              <w:fldChar w:fldCharType="end"/>
            </w:r>
          </w:p>
        </w:tc>
        <w:tc>
          <w:tcPr>
            <w:tcW w:w="1915" w:type="dxa"/>
            <w:vAlign w:val="center"/>
          </w:tcPr>
          <w:p w:rsidR="006B1499" w:rsidRPr="004F1F9C" w:rsidRDefault="006B1499" w:rsidP="006B1499">
            <w:pPr>
              <w:jc w:val="center"/>
            </w:pPr>
            <w:r w:rsidRPr="004F1F9C">
              <w:rPr>
                <w:szCs w:val="18"/>
              </w:rPr>
              <w:t>Constant 2005 $US per subscription</w:t>
            </w:r>
          </w:p>
        </w:tc>
        <w:tc>
          <w:tcPr>
            <w:tcW w:w="1915" w:type="dxa"/>
            <w:vAlign w:val="center"/>
          </w:tcPr>
          <w:p w:rsidR="006B1499" w:rsidRPr="004F1F9C" w:rsidRDefault="006B1499" w:rsidP="006B1499">
            <w:pPr>
              <w:jc w:val="center"/>
              <w:rPr>
                <w:szCs w:val="18"/>
              </w:rPr>
            </w:pPr>
            <w:r w:rsidRPr="004F1F9C">
              <w:rPr>
                <w:szCs w:val="18"/>
              </w:rPr>
              <w:t>127-580 (varies by region)</w:t>
            </w:r>
          </w:p>
        </w:tc>
        <w:tc>
          <w:tcPr>
            <w:tcW w:w="1915" w:type="dxa"/>
            <w:vAlign w:val="center"/>
          </w:tcPr>
          <w:p w:rsidR="006B1499" w:rsidRPr="004F1F9C" w:rsidRDefault="006B1499" w:rsidP="006B1499">
            <w:pPr>
              <w:jc w:val="center"/>
              <w:rPr>
                <w:szCs w:val="18"/>
              </w:rPr>
            </w:pPr>
          </w:p>
        </w:tc>
        <w:tc>
          <w:tcPr>
            <w:tcW w:w="1448" w:type="dxa"/>
            <w:vAlign w:val="center"/>
          </w:tcPr>
          <w:p w:rsidR="006B1499" w:rsidRPr="004F1F9C" w:rsidRDefault="006B1499" w:rsidP="006B1499">
            <w:pPr>
              <w:jc w:val="center"/>
              <w:rPr>
                <w:szCs w:val="18"/>
              </w:rPr>
            </w:pPr>
          </w:p>
        </w:tc>
      </w:tr>
      <w:tr w:rsidR="006B1499" w:rsidRPr="004F1F9C">
        <w:tc>
          <w:tcPr>
            <w:tcW w:w="1915" w:type="dxa"/>
            <w:vAlign w:val="center"/>
          </w:tcPr>
          <w:p w:rsidR="006B1499" w:rsidRPr="004F1F9C" w:rsidRDefault="006B1499" w:rsidP="006B1499">
            <w:r w:rsidRPr="004F1F9C">
              <w:rPr>
                <w:szCs w:val="18"/>
              </w:rPr>
              <w:t xml:space="preserve">Bhattacharyay for maintenance </w:t>
            </w:r>
            <w:r w:rsidR="00F7383F" w:rsidRPr="004F1F9C">
              <w:rPr>
                <w:szCs w:val="18"/>
              </w:rPr>
              <w:fldChar w:fldCharType="begin"/>
            </w:r>
            <w:r>
              <w:rPr>
                <w:szCs w:val="18"/>
              </w:rPr>
              <w:instrText xml:space="preserve"> ADDIN ZOTERO_ITEM CSL_CITATION {"citationID":"IFVqGDx2","properties":{"formattedCitation":"(2010)","plainCitation":"(2010)"},"citationItems":[{"id":1156,"uris":["http://zotero.org/groups/4482/items/MQ3EDFBR"],"uri":["http://zotero.org/groups/4482/items/MQ3EDFBR"],"itemData":{"id":1156,"type":"manuscript","title":"Estimating Demand for Infrastructure in Energy, Transport, Telecommunications, Water and Sanitation in Asia and the Pacific: 2010-2020","publisher-place":"Tokyo","genre":"Working Paper no. 248","event-place":"Tokyo","URL":"http://www.adbi.org/working-paper/2010/09/09/4062.infrastructure.demand.asia.pacific/","call-number":"0001","note":"Asian Development Bank Institute","author":[{"family":"Bhattacharyay","given":"Biswa Nath"}],"issued":{"year":2010}},"suppress-author":true}],"schema":"https://github.com/citation-style-language/schema/raw/master/csl-citation.json"} </w:instrText>
            </w:r>
            <w:r w:rsidR="00F7383F" w:rsidRPr="004F1F9C">
              <w:rPr>
                <w:szCs w:val="18"/>
              </w:rPr>
              <w:fldChar w:fldCharType="separate"/>
            </w:r>
            <w:r w:rsidRPr="004F1F9C">
              <w:rPr>
                <w:szCs w:val="21"/>
              </w:rPr>
              <w:t>(2010, 10)</w:t>
            </w:r>
            <w:r w:rsidR="00F7383F" w:rsidRPr="004F1F9C">
              <w:rPr>
                <w:szCs w:val="18"/>
              </w:rPr>
              <w:fldChar w:fldCharType="end"/>
            </w:r>
            <w:r w:rsidRPr="004F1F9C">
              <w:rPr>
                <w:szCs w:val="18"/>
              </w:rPr>
              <w:t xml:space="preserve"> unit costs from ADBI </w:t>
            </w:r>
            <w:r w:rsidR="00F7383F" w:rsidRPr="004F1F9C">
              <w:rPr>
                <w:szCs w:val="18"/>
              </w:rPr>
              <w:fldChar w:fldCharType="begin"/>
            </w:r>
            <w:r>
              <w:rPr>
                <w:szCs w:val="18"/>
              </w:rPr>
              <w:instrText xml:space="preserve"> ADDIN ZOTERO_ITEM CSL_CITATION {"citationID":"rpXOsroB","properties":{"formattedCitation":"{\\rtf (2009, 27\\uc0\\u8211{}28)}","plainCitation":"(2009, 27–28)"},"citationItems":[{"id":1153,"uris":["http://zotero.org/groups/4482/items/3ND5HTK3"],"uri":["http://zotero.org/groups/4482/items/3ND5HTK3"],"itemData":{"id":1153,"type":"manuscript","title":"Demand for Infrastructure Financing in Asia 2010-2010","publisher-place":"Tokyo","genre":"ADBI Internal Report (prepared by Centennial Group Holdings, LLC)","event-place":"Tokyo","note":"ADBI","author":[{"family":"Asian Development Bank Institute","given":""}],"issued":{"year":2009}},"locator":"27-28","label":"page","suppress-author":true}],"schema":"https://github.com/citation-style-language/schema/raw/master/csl-citation.json"} </w:instrText>
            </w:r>
            <w:r w:rsidR="00F7383F" w:rsidRPr="004F1F9C">
              <w:rPr>
                <w:szCs w:val="18"/>
              </w:rPr>
              <w:fldChar w:fldCharType="separate"/>
            </w:r>
            <w:r w:rsidRPr="004F1F9C">
              <w:rPr>
                <w:szCs w:val="24"/>
              </w:rPr>
              <w:t>(2009, 27–28)</w:t>
            </w:r>
            <w:r w:rsidR="00F7383F" w:rsidRPr="004F1F9C">
              <w:rPr>
                <w:szCs w:val="18"/>
              </w:rPr>
              <w:fldChar w:fldCharType="end"/>
            </w:r>
          </w:p>
        </w:tc>
        <w:tc>
          <w:tcPr>
            <w:tcW w:w="1915" w:type="dxa"/>
            <w:vAlign w:val="center"/>
          </w:tcPr>
          <w:p w:rsidR="006B1499" w:rsidRPr="004F1F9C" w:rsidRDefault="006B1499" w:rsidP="006B1499">
            <w:pPr>
              <w:jc w:val="center"/>
            </w:pPr>
            <w:r w:rsidRPr="004F1F9C">
              <w:rPr>
                <w:szCs w:val="18"/>
              </w:rPr>
              <w:t>Constant 2008 $US per subscription</w:t>
            </w:r>
          </w:p>
        </w:tc>
        <w:tc>
          <w:tcPr>
            <w:tcW w:w="1915" w:type="dxa"/>
            <w:vAlign w:val="center"/>
          </w:tcPr>
          <w:p w:rsidR="006B1499" w:rsidRPr="004F1F9C" w:rsidRDefault="006B1499" w:rsidP="006B1499">
            <w:pPr>
              <w:jc w:val="center"/>
              <w:rPr>
                <w:szCs w:val="18"/>
              </w:rPr>
            </w:pPr>
            <w:r w:rsidRPr="004F1F9C">
              <w:rPr>
                <w:szCs w:val="18"/>
              </w:rPr>
              <w:t>280 for 2006-2010, 261 for 2011-2015</w:t>
            </w:r>
          </w:p>
        </w:tc>
        <w:tc>
          <w:tcPr>
            <w:tcW w:w="1915" w:type="dxa"/>
            <w:vAlign w:val="center"/>
          </w:tcPr>
          <w:p w:rsidR="006B1499" w:rsidRPr="004F1F9C" w:rsidRDefault="006B1499" w:rsidP="006B1499">
            <w:pPr>
              <w:jc w:val="center"/>
              <w:rPr>
                <w:szCs w:val="18"/>
              </w:rPr>
            </w:pPr>
            <w:r w:rsidRPr="004F1F9C">
              <w:rPr>
                <w:szCs w:val="18"/>
              </w:rPr>
              <w:t>8% of stock value</w:t>
            </w:r>
          </w:p>
        </w:tc>
        <w:tc>
          <w:tcPr>
            <w:tcW w:w="1448" w:type="dxa"/>
            <w:vAlign w:val="center"/>
          </w:tcPr>
          <w:p w:rsidR="006B1499" w:rsidRPr="004F1F9C" w:rsidRDefault="006B1499" w:rsidP="006B1499">
            <w:pPr>
              <w:jc w:val="center"/>
              <w:rPr>
                <w:szCs w:val="18"/>
              </w:rPr>
            </w:pPr>
          </w:p>
        </w:tc>
      </w:tr>
      <w:tr w:rsidR="006B1499" w:rsidRPr="004F1F9C">
        <w:tc>
          <w:tcPr>
            <w:tcW w:w="1915" w:type="dxa"/>
            <w:vAlign w:val="center"/>
          </w:tcPr>
          <w:p w:rsidR="006B1499" w:rsidRPr="004F1F9C" w:rsidRDefault="006B1499" w:rsidP="006B1499">
            <w:r w:rsidRPr="004F1F9C">
              <w:rPr>
                <w:szCs w:val="18"/>
              </w:rPr>
              <w:t xml:space="preserve">Kohli and Basil </w:t>
            </w:r>
            <w:r w:rsidR="00F7383F" w:rsidRPr="004F1F9C">
              <w:rPr>
                <w:szCs w:val="18"/>
              </w:rPr>
              <w:fldChar w:fldCharType="begin"/>
            </w:r>
            <w:r>
              <w:rPr>
                <w:szCs w:val="18"/>
              </w:rPr>
              <w:instrText xml:space="preserve"> ADDIN ZOTERO_ITEM CSL_CITATION {"citationID":"H0TrTD64","properties":{"formattedCitation":"(2011, 96)","plainCitation":"(2011, 96)"},"citationItems":[{"id":1157,"uris":["http://zotero.org/groups/4482/items/PNQFGAHH"],"uri":["http://zotero.org/groups/4482/items/PNQFGAHH"],"itemData":{"id":1157,"type":"article-journal","title":"Requirements for Infrastructure Investment in Latin America Under Alternate Growth Scenarios","container-title":"Global Journal of Emerging Market Economies","page":"59 -110","volume":"3","issue":"1","abstract":"This study estimates requirements for infrastructure investment in 21 Latin American countries for the period 2011–2040 using a structural equation model. Needs total about 4 percent of GDP. Projections are provided for both a high-growth convergence scenario and a low-growth business-as-usual scenario. These costs represent minimum investments necessary to support expected economic growth. Costs are presented separately and in total for new-capacity investment and maintenance for 10 sectors: airports, electricity, fixed broadband, landlines, mobile telephony, ports, rail, paved roads, sanitation, and water. Country coverage comprises Argentina, Belize, Bolivia, Brazil, Chile, Colombia, Costa Rica, Dominican Republic, Ecuador, El Salvador, Guatemala, Guyana, Honduras, Mexico, Nicaragua, Panama, Paraguay, Peru, Suriname, Uruguay, and Venezuela. The model differs from past studies of regionwide long-term infrastructure investment needs in five features: (1) It considers alternate GDP growth scenarios; (2) It employs a structural equation model using instrumental variables to provide unbiased, consistent projections for both GDP growth scenarios (Instrumented variables are urbanization and the shares in GDP of agriculture, manufacturing, and services); (3) Mobile phone investment costs are not constant but instead vary with population density; (4) Two additional, wealthier countries are included in modeling to prevent forecasting outside the range of the independent variables’ values used to construct the model, and; (5) Timing of new-capacity investments is distributed over multiple years and varies by sector.","DOI":"10.1177/097491011000300103","call-number":"0002","author":[{"family":"Kohli","given":"Harpaul Alberto"},{"family":"Basil","given":"Phillip"}],"issued":{"year":2011},"accessed":{"year":2011,"month":7,"day":29},"page-first":"59"},"locator":"96","label":"page","suppress-author":true}],"schema":"https://github.com/citation-style-language/schema/raw/master/csl-citation.json"} </w:instrText>
            </w:r>
            <w:r w:rsidR="00F7383F" w:rsidRPr="004F1F9C">
              <w:rPr>
                <w:szCs w:val="18"/>
              </w:rPr>
              <w:fldChar w:fldCharType="separate"/>
            </w:r>
            <w:r w:rsidRPr="004F1F9C">
              <w:rPr>
                <w:szCs w:val="21"/>
              </w:rPr>
              <w:t>(2011, 96)</w:t>
            </w:r>
            <w:r w:rsidR="00F7383F" w:rsidRPr="004F1F9C">
              <w:rPr>
                <w:szCs w:val="18"/>
              </w:rPr>
              <w:fldChar w:fldCharType="end"/>
            </w:r>
          </w:p>
        </w:tc>
        <w:tc>
          <w:tcPr>
            <w:tcW w:w="1915" w:type="dxa"/>
            <w:vAlign w:val="center"/>
          </w:tcPr>
          <w:p w:rsidR="006B1499" w:rsidRPr="004F1F9C" w:rsidRDefault="006B1499" w:rsidP="006B1499">
            <w:pPr>
              <w:jc w:val="center"/>
            </w:pPr>
            <w:r w:rsidRPr="004F1F9C">
              <w:rPr>
                <w:szCs w:val="18"/>
              </w:rPr>
              <w:t>Constant 2009 $US per subscription</w:t>
            </w:r>
          </w:p>
        </w:tc>
        <w:tc>
          <w:tcPr>
            <w:tcW w:w="1915" w:type="dxa"/>
            <w:vAlign w:val="center"/>
          </w:tcPr>
          <w:p w:rsidR="006B1499" w:rsidRPr="004F1F9C" w:rsidRDefault="006B1499" w:rsidP="006B1499">
            <w:pPr>
              <w:jc w:val="center"/>
              <w:rPr>
                <w:szCs w:val="18"/>
              </w:rPr>
            </w:pPr>
            <w:r w:rsidRPr="004F1F9C">
              <w:rPr>
                <w:szCs w:val="18"/>
              </w:rPr>
              <w:t>160</w:t>
            </w:r>
          </w:p>
        </w:tc>
        <w:tc>
          <w:tcPr>
            <w:tcW w:w="1915" w:type="dxa"/>
            <w:vAlign w:val="center"/>
          </w:tcPr>
          <w:p w:rsidR="006B1499" w:rsidRPr="004F1F9C" w:rsidRDefault="006B1499" w:rsidP="006B1499">
            <w:pPr>
              <w:jc w:val="center"/>
              <w:rPr>
                <w:szCs w:val="18"/>
              </w:rPr>
            </w:pPr>
            <w:r w:rsidRPr="004F1F9C">
              <w:rPr>
                <w:szCs w:val="18"/>
              </w:rPr>
              <w:t>8% of stock value</w:t>
            </w:r>
          </w:p>
        </w:tc>
        <w:tc>
          <w:tcPr>
            <w:tcW w:w="1448" w:type="dxa"/>
            <w:vAlign w:val="center"/>
          </w:tcPr>
          <w:p w:rsidR="006B1499" w:rsidRPr="004F1F9C" w:rsidRDefault="006B1499" w:rsidP="006B1499">
            <w:pPr>
              <w:jc w:val="center"/>
              <w:rPr>
                <w:szCs w:val="18"/>
              </w:rPr>
            </w:pPr>
          </w:p>
        </w:tc>
      </w:tr>
      <w:tr w:rsidR="006B1499" w:rsidRPr="004F1F9C">
        <w:tc>
          <w:tcPr>
            <w:tcW w:w="1915" w:type="dxa"/>
            <w:vAlign w:val="center"/>
          </w:tcPr>
          <w:p w:rsidR="006B1499" w:rsidRPr="004F1F9C" w:rsidRDefault="006B1499" w:rsidP="006B1499">
            <w:pPr>
              <w:rPr>
                <w:szCs w:val="18"/>
              </w:rPr>
            </w:pPr>
            <w:r w:rsidRPr="004F1F9C">
              <w:rPr>
                <w:szCs w:val="18"/>
              </w:rPr>
              <w:t xml:space="preserve">Hughes, Chinowsky, and Strzepek </w:t>
            </w:r>
            <w:r w:rsidR="00F7383F" w:rsidRPr="004F1F9C">
              <w:rPr>
                <w:szCs w:val="18"/>
              </w:rPr>
              <w:fldChar w:fldCharType="begin"/>
            </w:r>
            <w:r>
              <w:rPr>
                <w:szCs w:val="18"/>
              </w:rPr>
              <w:instrText xml:space="preserve"> ADDIN ZOTERO_ITEM CSL_CITATION {"citationID":"AO5nlvXa","properties":{"formattedCitation":"(2009)","plainCitation":"(2009)"},"citationItems":[{"id":975,"uris":["http://zotero.org/groups/4482/items/ZNDAXGEG"],"uri":["http://zotero.org/groups/4482/items/ZNDAXGEG"],"itemData":{"id":975,"type":"manuscript","title":"The Costs of Adapting to Climate Change for Infrastructure","publisher-place":"Washington, DC","genre":"Economics of Adaptation to Climate Change Discussion Paper no. 2","event-place":"Washington, DC","note":"World Bank","author":[{"family":"Hughes","given":"Gordon"},{"family":"Chinowsky","given":"Paul"},{"family":"Strzepek","given":"Ken"}],"issued":{"year":2009}},"suppress-author":true}],"schema":"https://github.com/citation-style-language/schema/raw/master/csl-citation.json"} </w:instrText>
            </w:r>
            <w:r w:rsidR="00F7383F" w:rsidRPr="004F1F9C">
              <w:rPr>
                <w:szCs w:val="18"/>
              </w:rPr>
              <w:fldChar w:fldCharType="separate"/>
            </w:r>
            <w:r w:rsidRPr="004F1F9C">
              <w:rPr>
                <w:rFonts w:cs="Calibri"/>
                <w:szCs w:val="21"/>
              </w:rPr>
              <w:t>(2009)</w:t>
            </w:r>
            <w:r w:rsidR="00F7383F" w:rsidRPr="004F1F9C">
              <w:rPr>
                <w:szCs w:val="18"/>
              </w:rPr>
              <w:fldChar w:fldCharType="end"/>
            </w:r>
            <w:r w:rsidRPr="004F1F9C">
              <w:rPr>
                <w:szCs w:val="18"/>
              </w:rPr>
              <w:t>*</w:t>
            </w:r>
          </w:p>
        </w:tc>
        <w:tc>
          <w:tcPr>
            <w:tcW w:w="1915" w:type="dxa"/>
            <w:vAlign w:val="center"/>
          </w:tcPr>
          <w:p w:rsidR="006B1499" w:rsidRPr="004F1F9C" w:rsidRDefault="006B1499" w:rsidP="006B1499">
            <w:pPr>
              <w:jc w:val="center"/>
              <w:rPr>
                <w:szCs w:val="18"/>
              </w:rPr>
            </w:pPr>
            <w:r w:rsidRPr="004F1F9C">
              <w:rPr>
                <w:szCs w:val="18"/>
              </w:rPr>
              <w:t>Constant $2005 US PPP per connection</w:t>
            </w:r>
          </w:p>
        </w:tc>
        <w:tc>
          <w:tcPr>
            <w:tcW w:w="1915" w:type="dxa"/>
            <w:vAlign w:val="center"/>
          </w:tcPr>
          <w:p w:rsidR="006B1499" w:rsidRPr="004F1F9C" w:rsidRDefault="006B1499" w:rsidP="006B1499">
            <w:pPr>
              <w:jc w:val="center"/>
              <w:rPr>
                <w:szCs w:val="18"/>
              </w:rPr>
            </w:pPr>
            <w:r w:rsidRPr="004F1F9C">
              <w:rPr>
                <w:szCs w:val="18"/>
              </w:rPr>
              <w:t>2,000</w:t>
            </w:r>
          </w:p>
        </w:tc>
        <w:tc>
          <w:tcPr>
            <w:tcW w:w="1915" w:type="dxa"/>
            <w:vAlign w:val="center"/>
          </w:tcPr>
          <w:p w:rsidR="006B1499" w:rsidRPr="004F1F9C" w:rsidRDefault="006B1499" w:rsidP="006B1499">
            <w:pPr>
              <w:jc w:val="center"/>
              <w:rPr>
                <w:szCs w:val="18"/>
              </w:rPr>
            </w:pPr>
            <w:r w:rsidRPr="004F1F9C">
              <w:rPr>
                <w:szCs w:val="18"/>
              </w:rPr>
              <w:t>1.33%</w:t>
            </w:r>
          </w:p>
        </w:tc>
        <w:tc>
          <w:tcPr>
            <w:tcW w:w="1448" w:type="dxa"/>
            <w:vAlign w:val="center"/>
          </w:tcPr>
          <w:p w:rsidR="006B1499" w:rsidRPr="004F1F9C" w:rsidRDefault="006B1499" w:rsidP="006B1499">
            <w:pPr>
              <w:jc w:val="center"/>
              <w:rPr>
                <w:szCs w:val="18"/>
              </w:rPr>
            </w:pPr>
            <w:r w:rsidRPr="004F1F9C">
              <w:rPr>
                <w:szCs w:val="18"/>
              </w:rPr>
              <w:t>40</w:t>
            </w:r>
          </w:p>
        </w:tc>
      </w:tr>
      <w:tr w:rsidR="006B1499" w:rsidRPr="004F1F9C">
        <w:tc>
          <w:tcPr>
            <w:tcW w:w="1915" w:type="dxa"/>
            <w:vAlign w:val="center"/>
          </w:tcPr>
          <w:p w:rsidR="006B1499" w:rsidRPr="004F1F9C" w:rsidRDefault="006B1499" w:rsidP="006B1499">
            <w:pPr>
              <w:rPr>
                <w:szCs w:val="18"/>
              </w:rPr>
            </w:pPr>
            <w:r w:rsidRPr="004F1F9C">
              <w:rPr>
                <w:szCs w:val="18"/>
              </w:rPr>
              <w:t>Us at the moment</w:t>
            </w:r>
          </w:p>
        </w:tc>
        <w:tc>
          <w:tcPr>
            <w:tcW w:w="1915" w:type="dxa"/>
            <w:vAlign w:val="center"/>
          </w:tcPr>
          <w:p w:rsidR="006B1499" w:rsidRPr="004F1F9C" w:rsidRDefault="006B1499" w:rsidP="006B1499">
            <w:pPr>
              <w:jc w:val="center"/>
              <w:rPr>
                <w:szCs w:val="18"/>
              </w:rPr>
            </w:pPr>
            <w:r w:rsidRPr="004F1F9C">
              <w:rPr>
                <w:szCs w:val="18"/>
              </w:rPr>
              <w:t>Constant $2000 per subscription</w:t>
            </w:r>
          </w:p>
        </w:tc>
        <w:tc>
          <w:tcPr>
            <w:tcW w:w="1915" w:type="dxa"/>
            <w:vAlign w:val="center"/>
          </w:tcPr>
          <w:p w:rsidR="006B1499" w:rsidRPr="004F1F9C" w:rsidRDefault="006B1499" w:rsidP="006B1499">
            <w:pPr>
              <w:jc w:val="center"/>
              <w:rPr>
                <w:szCs w:val="18"/>
              </w:rPr>
            </w:pPr>
            <w:r w:rsidRPr="004F1F9C">
              <w:rPr>
                <w:szCs w:val="18"/>
              </w:rPr>
              <w:t>400 below 5K income, falling to 300 above 10K</w:t>
            </w:r>
          </w:p>
        </w:tc>
        <w:tc>
          <w:tcPr>
            <w:tcW w:w="1915" w:type="dxa"/>
            <w:vAlign w:val="center"/>
          </w:tcPr>
          <w:p w:rsidR="006B1499" w:rsidRPr="004F1F9C" w:rsidRDefault="006B1499" w:rsidP="006B1499">
            <w:pPr>
              <w:jc w:val="center"/>
              <w:rPr>
                <w:szCs w:val="18"/>
              </w:rPr>
            </w:pPr>
          </w:p>
        </w:tc>
        <w:tc>
          <w:tcPr>
            <w:tcW w:w="1448" w:type="dxa"/>
            <w:vAlign w:val="center"/>
          </w:tcPr>
          <w:p w:rsidR="006B1499" w:rsidRPr="004F1F9C" w:rsidRDefault="006B1499" w:rsidP="006B1499">
            <w:pPr>
              <w:jc w:val="center"/>
              <w:rPr>
                <w:szCs w:val="18"/>
              </w:rPr>
            </w:pPr>
            <w:r w:rsidRPr="004F1F9C">
              <w:rPr>
                <w:szCs w:val="18"/>
              </w:rPr>
              <w:t>30</w:t>
            </w:r>
          </w:p>
        </w:tc>
      </w:tr>
      <w:tr w:rsidR="006B1499" w:rsidRPr="004F1F9C">
        <w:tc>
          <w:tcPr>
            <w:tcW w:w="9108" w:type="dxa"/>
            <w:gridSpan w:val="5"/>
          </w:tcPr>
          <w:p w:rsidR="006B1499" w:rsidRPr="004F1F9C" w:rsidRDefault="006B1499" w:rsidP="006B1499"/>
        </w:tc>
      </w:tr>
    </w:tbl>
    <w:p w:rsidR="006B1499" w:rsidRPr="004F1F9C" w:rsidRDefault="006B1499" w:rsidP="006B1499"/>
    <w:tbl>
      <w:tblPr>
        <w:tblStyle w:val="TableGrid"/>
        <w:tblW w:w="0" w:type="auto"/>
        <w:tblLook w:val="04A0"/>
      </w:tblPr>
      <w:tblGrid>
        <w:gridCol w:w="1915"/>
        <w:gridCol w:w="1915"/>
        <w:gridCol w:w="1915"/>
        <w:gridCol w:w="1915"/>
        <w:gridCol w:w="1448"/>
      </w:tblGrid>
      <w:tr w:rsidR="006B1499" w:rsidRPr="004F1F9C">
        <w:tc>
          <w:tcPr>
            <w:tcW w:w="9108" w:type="dxa"/>
            <w:gridSpan w:val="5"/>
          </w:tcPr>
          <w:p w:rsidR="006B1499" w:rsidRPr="004F1F9C" w:rsidRDefault="006B1499" w:rsidP="006B1499">
            <w:pPr>
              <w:rPr>
                <w:b/>
              </w:rPr>
            </w:pPr>
            <w:r>
              <w:rPr>
                <w:b/>
              </w:rPr>
              <w:t>Table 4.10 Unit costs and lifetimes for fixed broadband access from other s</w:t>
            </w:r>
            <w:r w:rsidRPr="004F1F9C">
              <w:rPr>
                <w:b/>
              </w:rPr>
              <w:t>tudies</w:t>
            </w:r>
          </w:p>
        </w:tc>
      </w:tr>
      <w:tr w:rsidR="006B1499" w:rsidRPr="004F1F9C">
        <w:tc>
          <w:tcPr>
            <w:tcW w:w="1915" w:type="dxa"/>
            <w:vAlign w:val="bottom"/>
          </w:tcPr>
          <w:p w:rsidR="006B1499" w:rsidRPr="004F1F9C" w:rsidRDefault="006B1499" w:rsidP="006B1499">
            <w:r w:rsidRPr="004F1F9C">
              <w:t>Study</w:t>
            </w:r>
          </w:p>
        </w:tc>
        <w:tc>
          <w:tcPr>
            <w:tcW w:w="1915" w:type="dxa"/>
            <w:vAlign w:val="center"/>
          </w:tcPr>
          <w:p w:rsidR="006B1499" w:rsidRPr="004F1F9C" w:rsidRDefault="006B1499" w:rsidP="006B1499">
            <w:pPr>
              <w:keepNext/>
              <w:keepLines/>
              <w:jc w:val="center"/>
            </w:pPr>
            <w:r w:rsidRPr="004F1F9C">
              <w:t>Units</w:t>
            </w:r>
          </w:p>
        </w:tc>
        <w:tc>
          <w:tcPr>
            <w:tcW w:w="1915" w:type="dxa"/>
            <w:vAlign w:val="center"/>
          </w:tcPr>
          <w:p w:rsidR="006B1499" w:rsidRPr="004F1F9C" w:rsidRDefault="006B1499" w:rsidP="006B1499">
            <w:pPr>
              <w:keepNext/>
              <w:keepLines/>
              <w:jc w:val="center"/>
            </w:pPr>
            <w:r>
              <w:t>Costs of new c</w:t>
            </w:r>
            <w:r w:rsidRPr="004F1F9C">
              <w:t>onstruction</w:t>
            </w:r>
          </w:p>
        </w:tc>
        <w:tc>
          <w:tcPr>
            <w:tcW w:w="1915" w:type="dxa"/>
            <w:vAlign w:val="center"/>
          </w:tcPr>
          <w:p w:rsidR="006B1499" w:rsidRPr="004F1F9C" w:rsidRDefault="006B1499" w:rsidP="006B1499">
            <w:pPr>
              <w:keepNext/>
              <w:keepLines/>
              <w:jc w:val="center"/>
            </w:pPr>
            <w:r>
              <w:t>Annual recurrent c</w:t>
            </w:r>
            <w:r w:rsidRPr="004F1F9C">
              <w:t>osts</w:t>
            </w:r>
          </w:p>
        </w:tc>
        <w:tc>
          <w:tcPr>
            <w:tcW w:w="1448" w:type="dxa"/>
            <w:vAlign w:val="center"/>
          </w:tcPr>
          <w:p w:rsidR="006B1499" w:rsidRPr="004F1F9C" w:rsidRDefault="006B1499" w:rsidP="006B1499">
            <w:pPr>
              <w:keepNext/>
              <w:keepLines/>
              <w:jc w:val="center"/>
            </w:pPr>
            <w:r>
              <w:t>Lifetime in y</w:t>
            </w:r>
            <w:r w:rsidRPr="004F1F9C">
              <w:t>ears</w:t>
            </w:r>
          </w:p>
        </w:tc>
      </w:tr>
      <w:tr w:rsidR="006B1499" w:rsidRPr="004F1F9C">
        <w:tc>
          <w:tcPr>
            <w:tcW w:w="1915" w:type="dxa"/>
            <w:vAlign w:val="center"/>
          </w:tcPr>
          <w:p w:rsidR="006B1499" w:rsidRPr="004F1F9C" w:rsidRDefault="006B1499" w:rsidP="006B1499">
            <w:r w:rsidRPr="004F1F9C">
              <w:rPr>
                <w:szCs w:val="18"/>
              </w:rPr>
              <w:t xml:space="preserve">Chatterton and Puerto </w:t>
            </w:r>
            <w:r w:rsidR="00F7383F" w:rsidRPr="004F1F9C">
              <w:rPr>
                <w:szCs w:val="18"/>
              </w:rPr>
              <w:fldChar w:fldCharType="begin"/>
            </w:r>
            <w:r>
              <w:rPr>
                <w:szCs w:val="18"/>
              </w:rPr>
              <w:instrText xml:space="preserve"> ADDIN ZOTERO_ITEM CSL_CITATION {"citationID":"xJapKx7X","properties":{"formattedCitation":"{\\rtf (2006, 7, 9\\uc0\\u8211{}10)}","plainCitation":"(2006, 7, 9–10)"},"citationItems":[{"id":903,"uris":["http://zotero.org/groups/4482/items/8BCTKHKI"],"uri":["http://zotero.org/groups/4482/items/8BCTKHKI"],"itemData":{"id":903,"type":"report","title":"Estimation of Infrastructure Investment Needs in the South Asia Region: Executive Summary","publisher":"World Bank","publisher-place":"Washington, DC","event-place":"Washington, DC","URL":"http://0-siteresources.worldbank.org.bianca.penlib.du.edu/INTSARREGTOPTRANSPORT/Resources/Inf_Investment_Needs_IC_version4.pdf","shortTitle":"Estimation of Infrastructure Investment Needs in the South Asia Region","author":[{"family":"Chatterton","given":"Isabe"},{"family":"Puerto","given":"Olga S."}],"issued":{"year":2006}},"locator":"7, 9-10","label":"page","suppress-author":true}],"schema":"https://github.com/citation-style-language/schema/raw/master/csl-citation.json"} </w:instrText>
            </w:r>
            <w:r w:rsidR="00F7383F" w:rsidRPr="004F1F9C">
              <w:rPr>
                <w:szCs w:val="18"/>
              </w:rPr>
              <w:fldChar w:fldCharType="separate"/>
            </w:r>
            <w:r w:rsidRPr="004F1F9C">
              <w:rPr>
                <w:szCs w:val="24"/>
              </w:rPr>
              <w:t>(2006, 7, 9–10)</w:t>
            </w:r>
            <w:r w:rsidR="00F7383F" w:rsidRPr="004F1F9C">
              <w:rPr>
                <w:szCs w:val="18"/>
              </w:rPr>
              <w:fldChar w:fldCharType="end"/>
            </w:r>
          </w:p>
        </w:tc>
        <w:tc>
          <w:tcPr>
            <w:tcW w:w="1915" w:type="dxa"/>
            <w:vAlign w:val="center"/>
          </w:tcPr>
          <w:p w:rsidR="006B1499" w:rsidRPr="004F1F9C" w:rsidRDefault="006B1499" w:rsidP="006B1499">
            <w:pPr>
              <w:jc w:val="center"/>
            </w:pPr>
            <w:r w:rsidRPr="004F1F9C">
              <w:rPr>
                <w:szCs w:val="18"/>
              </w:rPr>
              <w:t>Constant $US, year not stated, per subscription</w:t>
            </w:r>
          </w:p>
        </w:tc>
        <w:tc>
          <w:tcPr>
            <w:tcW w:w="1915" w:type="dxa"/>
            <w:vAlign w:val="center"/>
          </w:tcPr>
          <w:p w:rsidR="006B1499" w:rsidRPr="004F1F9C" w:rsidRDefault="006B1499" w:rsidP="006B1499">
            <w:pPr>
              <w:jc w:val="center"/>
              <w:rPr>
                <w:szCs w:val="18"/>
              </w:rPr>
            </w:pPr>
            <w:r w:rsidRPr="004F1F9C">
              <w:rPr>
                <w:szCs w:val="18"/>
              </w:rPr>
              <w:t>40</w:t>
            </w:r>
          </w:p>
        </w:tc>
        <w:tc>
          <w:tcPr>
            <w:tcW w:w="1915" w:type="dxa"/>
            <w:vAlign w:val="center"/>
          </w:tcPr>
          <w:p w:rsidR="006B1499" w:rsidRPr="004F1F9C" w:rsidRDefault="006B1499" w:rsidP="006B1499">
            <w:pPr>
              <w:jc w:val="center"/>
              <w:rPr>
                <w:szCs w:val="18"/>
              </w:rPr>
            </w:pPr>
          </w:p>
        </w:tc>
        <w:tc>
          <w:tcPr>
            <w:tcW w:w="1448" w:type="dxa"/>
            <w:vAlign w:val="center"/>
          </w:tcPr>
          <w:p w:rsidR="006B1499" w:rsidRPr="004F1F9C" w:rsidRDefault="006B1499" w:rsidP="006B1499">
            <w:pPr>
              <w:jc w:val="center"/>
              <w:rPr>
                <w:szCs w:val="18"/>
              </w:rPr>
            </w:pPr>
          </w:p>
        </w:tc>
      </w:tr>
      <w:tr w:rsidR="006B1499" w:rsidRPr="004F1F9C">
        <w:tc>
          <w:tcPr>
            <w:tcW w:w="1915" w:type="dxa"/>
            <w:vAlign w:val="center"/>
          </w:tcPr>
          <w:p w:rsidR="006B1499" w:rsidRPr="004F1F9C" w:rsidRDefault="006B1499" w:rsidP="006B1499">
            <w:r w:rsidRPr="004F1F9C">
              <w:rPr>
                <w:szCs w:val="18"/>
              </w:rPr>
              <w:t xml:space="preserve">Kohli and Basil </w:t>
            </w:r>
            <w:r w:rsidR="00F7383F" w:rsidRPr="004F1F9C">
              <w:rPr>
                <w:szCs w:val="18"/>
              </w:rPr>
              <w:fldChar w:fldCharType="begin"/>
            </w:r>
            <w:r>
              <w:rPr>
                <w:szCs w:val="18"/>
              </w:rPr>
              <w:instrText xml:space="preserve"> ADDIN ZOTERO_ITEM CSL_CITATION {"citationID":"ursm6Oyn","properties":{"formattedCitation":"(2011, 96)","plainCitation":"(2011, 96)"},"citationItems":[{"id":1157,"uris":["http://zotero.org/groups/4482/items/PNQFGAHH"],"uri":["http://zotero.org/groups/4482/items/PNQFGAHH"],"itemData":{"id":1157,"type":"article-journal","title":"Requirements for Infrastructure Investment in Latin America Under Alternate Growth Scenarios","container-title":"Global Journal of Emerging Market Economies","page":"59 -110","volume":"3","issue":"1","abstract":"This study estimates requirements for infrastructure investment in 21 Latin American countries for the period 2011–2040 using a structural equation model. Needs total about 4 percent of GDP. Projections are provided for both a high-growth convergence scenario and a low-growth business-as-usual scenario. These costs represent minimum investments necessary to support expected economic growth. Costs are presented separately and in total for new-capacity investment and maintenance for 10 sectors: airports, electricity, fixed broadband, landlines, mobile telephony, ports, rail, paved roads, sanitation, and water. Country coverage comprises Argentina, Belize, Bolivia, Brazil, Chile, Colombia, Costa Rica, Dominican Republic, Ecuador, El Salvador, Guatemala, Guyana, Honduras, Mexico, Nicaragua, Panama, Paraguay, Peru, Suriname, Uruguay, and Venezuela. The model differs from past studies of regionwide long-term infrastructure investment needs in five features: (1) It considers alternate GDP growth scenarios; (2) It employs a structural equation model using instrumental variables to provide unbiased, consistent projections for both GDP growth scenarios (Instrumented variables are urbanization and the shares in GDP of agriculture, manufacturing, and services); (3) Mobile phone investment costs are not constant but instead vary with population density; (4) Two additional, wealthier countries are included in modeling to prevent forecasting outside the range of the independent variables’ values used to construct the model, and; (5) Timing of new-capacity investments is distributed over multiple years and varies by sector.","DOI":"10.1177/097491011000300103","call-number":"0002","author":[{"family":"Kohli","given":"Harpaul Alberto"},{"family":"Basil","given":"Phillip"}],"issued":{"year":2011},"accessed":{"year":2011,"month":7,"day":29},"page-first":"59"},"locator":"96","label":"page","suppress-author":true}],"schema":"https://github.com/citation-style-language/schema/raw/master/csl-citation.json"} </w:instrText>
            </w:r>
            <w:r w:rsidR="00F7383F" w:rsidRPr="004F1F9C">
              <w:rPr>
                <w:szCs w:val="18"/>
              </w:rPr>
              <w:fldChar w:fldCharType="separate"/>
            </w:r>
            <w:r w:rsidRPr="004F1F9C">
              <w:rPr>
                <w:szCs w:val="21"/>
              </w:rPr>
              <w:t>(2011, 96)</w:t>
            </w:r>
            <w:r w:rsidR="00F7383F" w:rsidRPr="004F1F9C">
              <w:rPr>
                <w:szCs w:val="18"/>
              </w:rPr>
              <w:fldChar w:fldCharType="end"/>
            </w:r>
          </w:p>
        </w:tc>
        <w:tc>
          <w:tcPr>
            <w:tcW w:w="1915" w:type="dxa"/>
            <w:vAlign w:val="center"/>
          </w:tcPr>
          <w:p w:rsidR="006B1499" w:rsidRPr="004F1F9C" w:rsidRDefault="006B1499" w:rsidP="006B1499">
            <w:pPr>
              <w:jc w:val="center"/>
            </w:pPr>
            <w:r w:rsidRPr="004F1F9C">
              <w:rPr>
                <w:szCs w:val="18"/>
              </w:rPr>
              <w:t>Constant 2009 $US per subscription</w:t>
            </w:r>
          </w:p>
        </w:tc>
        <w:tc>
          <w:tcPr>
            <w:tcW w:w="1915" w:type="dxa"/>
            <w:vAlign w:val="center"/>
          </w:tcPr>
          <w:p w:rsidR="006B1499" w:rsidRPr="004F1F9C" w:rsidRDefault="006B1499" w:rsidP="006B1499">
            <w:pPr>
              <w:jc w:val="center"/>
              <w:rPr>
                <w:szCs w:val="18"/>
              </w:rPr>
            </w:pPr>
            <w:r w:rsidRPr="004F1F9C">
              <w:rPr>
                <w:szCs w:val="18"/>
              </w:rPr>
              <w:t>40</w:t>
            </w:r>
          </w:p>
        </w:tc>
        <w:tc>
          <w:tcPr>
            <w:tcW w:w="1915" w:type="dxa"/>
            <w:vAlign w:val="center"/>
          </w:tcPr>
          <w:p w:rsidR="006B1499" w:rsidRPr="004F1F9C" w:rsidRDefault="006B1499" w:rsidP="006B1499">
            <w:pPr>
              <w:jc w:val="center"/>
              <w:rPr>
                <w:szCs w:val="18"/>
              </w:rPr>
            </w:pPr>
            <w:r w:rsidRPr="004F1F9C">
              <w:rPr>
                <w:szCs w:val="18"/>
              </w:rPr>
              <w:t>8% stock value</w:t>
            </w:r>
          </w:p>
        </w:tc>
        <w:tc>
          <w:tcPr>
            <w:tcW w:w="1448" w:type="dxa"/>
            <w:vAlign w:val="center"/>
          </w:tcPr>
          <w:p w:rsidR="006B1499" w:rsidRPr="004F1F9C" w:rsidRDefault="006B1499" w:rsidP="006B1499">
            <w:pPr>
              <w:jc w:val="center"/>
              <w:rPr>
                <w:szCs w:val="18"/>
              </w:rPr>
            </w:pPr>
          </w:p>
        </w:tc>
      </w:tr>
      <w:tr w:rsidR="006B1499" w:rsidRPr="004F1F9C">
        <w:tc>
          <w:tcPr>
            <w:tcW w:w="1915" w:type="dxa"/>
            <w:vAlign w:val="center"/>
          </w:tcPr>
          <w:p w:rsidR="006B1499" w:rsidRPr="004F1F9C" w:rsidRDefault="006B1499" w:rsidP="006B1499">
            <w:pPr>
              <w:rPr>
                <w:szCs w:val="18"/>
              </w:rPr>
            </w:pPr>
            <w:r w:rsidRPr="004F1F9C">
              <w:rPr>
                <w:szCs w:val="18"/>
              </w:rPr>
              <w:t>Us at the moment</w:t>
            </w:r>
          </w:p>
        </w:tc>
        <w:tc>
          <w:tcPr>
            <w:tcW w:w="1915" w:type="dxa"/>
            <w:vAlign w:val="center"/>
          </w:tcPr>
          <w:p w:rsidR="006B1499" w:rsidRPr="004F1F9C" w:rsidRDefault="006B1499" w:rsidP="006B1499">
            <w:pPr>
              <w:jc w:val="center"/>
              <w:rPr>
                <w:szCs w:val="18"/>
              </w:rPr>
            </w:pPr>
            <w:r w:rsidRPr="004F1F9C">
              <w:rPr>
                <w:szCs w:val="18"/>
              </w:rPr>
              <w:t>Constant $2000 per subscription</w:t>
            </w:r>
          </w:p>
        </w:tc>
        <w:tc>
          <w:tcPr>
            <w:tcW w:w="1915" w:type="dxa"/>
            <w:vAlign w:val="center"/>
          </w:tcPr>
          <w:p w:rsidR="006B1499" w:rsidRPr="004F1F9C" w:rsidRDefault="006B1499" w:rsidP="006B1499">
            <w:pPr>
              <w:jc w:val="center"/>
              <w:rPr>
                <w:szCs w:val="18"/>
              </w:rPr>
            </w:pPr>
            <w:r w:rsidRPr="004F1F9C">
              <w:rPr>
                <w:szCs w:val="18"/>
              </w:rPr>
              <w:t>500 below 5K income, rising to 1,000 above 10K</w:t>
            </w:r>
          </w:p>
        </w:tc>
        <w:tc>
          <w:tcPr>
            <w:tcW w:w="1915" w:type="dxa"/>
            <w:vAlign w:val="center"/>
          </w:tcPr>
          <w:p w:rsidR="006B1499" w:rsidRPr="004F1F9C" w:rsidRDefault="006B1499" w:rsidP="006B1499">
            <w:pPr>
              <w:jc w:val="center"/>
              <w:rPr>
                <w:szCs w:val="18"/>
              </w:rPr>
            </w:pPr>
          </w:p>
        </w:tc>
        <w:tc>
          <w:tcPr>
            <w:tcW w:w="1448" w:type="dxa"/>
            <w:vAlign w:val="center"/>
          </w:tcPr>
          <w:p w:rsidR="006B1499" w:rsidRPr="004F1F9C" w:rsidRDefault="006B1499" w:rsidP="006B1499">
            <w:pPr>
              <w:jc w:val="center"/>
              <w:rPr>
                <w:szCs w:val="18"/>
              </w:rPr>
            </w:pPr>
            <w:r w:rsidRPr="004F1F9C">
              <w:rPr>
                <w:szCs w:val="18"/>
              </w:rPr>
              <w:t>15</w:t>
            </w:r>
          </w:p>
        </w:tc>
      </w:tr>
      <w:tr w:rsidR="006B1499" w:rsidRPr="004F1F9C">
        <w:tc>
          <w:tcPr>
            <w:tcW w:w="9108" w:type="dxa"/>
            <w:gridSpan w:val="5"/>
          </w:tcPr>
          <w:p w:rsidR="006B1499" w:rsidRPr="004F1F9C" w:rsidRDefault="006B1499" w:rsidP="006B1499"/>
        </w:tc>
      </w:tr>
    </w:tbl>
    <w:p w:rsidR="006B1499" w:rsidRPr="004F1F9C" w:rsidRDefault="006B1499" w:rsidP="006B1499"/>
    <w:tbl>
      <w:tblPr>
        <w:tblStyle w:val="TableGrid"/>
        <w:tblW w:w="0" w:type="auto"/>
        <w:tblLook w:val="04A0"/>
      </w:tblPr>
      <w:tblGrid>
        <w:gridCol w:w="1915"/>
        <w:gridCol w:w="1915"/>
        <w:gridCol w:w="1915"/>
        <w:gridCol w:w="1915"/>
        <w:gridCol w:w="1448"/>
      </w:tblGrid>
      <w:tr w:rsidR="006B1499" w:rsidRPr="004F1F9C">
        <w:tc>
          <w:tcPr>
            <w:tcW w:w="9108" w:type="dxa"/>
            <w:gridSpan w:val="5"/>
          </w:tcPr>
          <w:p w:rsidR="006B1499" w:rsidRPr="004F1F9C" w:rsidRDefault="006B1499" w:rsidP="006B1499">
            <w:pPr>
              <w:rPr>
                <w:b/>
              </w:rPr>
            </w:pPr>
            <w:r>
              <w:rPr>
                <w:b/>
              </w:rPr>
              <w:t>Table 4.11 Unit costs and l</w:t>
            </w:r>
            <w:r w:rsidRPr="004F1F9C">
              <w:rPr>
                <w:b/>
              </w:rPr>
              <w:t xml:space="preserve">ifetimes </w:t>
            </w:r>
            <w:r>
              <w:rPr>
                <w:b/>
              </w:rPr>
              <w:t>for mobile phones from other s</w:t>
            </w:r>
            <w:r w:rsidRPr="004F1F9C">
              <w:rPr>
                <w:b/>
              </w:rPr>
              <w:t>tudies</w:t>
            </w:r>
          </w:p>
        </w:tc>
      </w:tr>
      <w:tr w:rsidR="006B1499" w:rsidRPr="004F1F9C">
        <w:tc>
          <w:tcPr>
            <w:tcW w:w="1915" w:type="dxa"/>
            <w:vAlign w:val="bottom"/>
          </w:tcPr>
          <w:p w:rsidR="006B1499" w:rsidRPr="004F1F9C" w:rsidRDefault="006B1499" w:rsidP="006B1499">
            <w:r w:rsidRPr="004F1F9C">
              <w:t>Study</w:t>
            </w:r>
          </w:p>
        </w:tc>
        <w:tc>
          <w:tcPr>
            <w:tcW w:w="1915" w:type="dxa"/>
            <w:vAlign w:val="center"/>
          </w:tcPr>
          <w:p w:rsidR="006B1499" w:rsidRPr="004F1F9C" w:rsidRDefault="006B1499" w:rsidP="006B1499">
            <w:pPr>
              <w:keepNext/>
              <w:keepLines/>
              <w:jc w:val="center"/>
            </w:pPr>
            <w:r w:rsidRPr="004F1F9C">
              <w:t>Units</w:t>
            </w:r>
          </w:p>
        </w:tc>
        <w:tc>
          <w:tcPr>
            <w:tcW w:w="1915" w:type="dxa"/>
            <w:vAlign w:val="center"/>
          </w:tcPr>
          <w:p w:rsidR="006B1499" w:rsidRPr="004F1F9C" w:rsidRDefault="006B1499" w:rsidP="006B1499">
            <w:pPr>
              <w:keepNext/>
              <w:keepLines/>
              <w:jc w:val="center"/>
            </w:pPr>
            <w:r>
              <w:t>Costs of new c</w:t>
            </w:r>
            <w:r w:rsidRPr="004F1F9C">
              <w:t>onstruction</w:t>
            </w:r>
          </w:p>
        </w:tc>
        <w:tc>
          <w:tcPr>
            <w:tcW w:w="1915" w:type="dxa"/>
            <w:vAlign w:val="center"/>
          </w:tcPr>
          <w:p w:rsidR="006B1499" w:rsidRPr="004F1F9C" w:rsidRDefault="006B1499" w:rsidP="006B1499">
            <w:pPr>
              <w:keepNext/>
              <w:keepLines/>
              <w:jc w:val="center"/>
            </w:pPr>
            <w:r>
              <w:t>Annual recurrent c</w:t>
            </w:r>
            <w:r w:rsidRPr="004F1F9C">
              <w:t>osts</w:t>
            </w:r>
          </w:p>
        </w:tc>
        <w:tc>
          <w:tcPr>
            <w:tcW w:w="1448" w:type="dxa"/>
            <w:vAlign w:val="center"/>
          </w:tcPr>
          <w:p w:rsidR="006B1499" w:rsidRPr="004F1F9C" w:rsidRDefault="006B1499" w:rsidP="006B1499">
            <w:pPr>
              <w:keepNext/>
              <w:keepLines/>
              <w:jc w:val="center"/>
            </w:pPr>
            <w:r>
              <w:t>Lifetime in y</w:t>
            </w:r>
            <w:r w:rsidRPr="004F1F9C">
              <w:t>ears</w:t>
            </w:r>
          </w:p>
        </w:tc>
      </w:tr>
      <w:tr w:rsidR="006B1499" w:rsidRPr="004F1F9C">
        <w:tc>
          <w:tcPr>
            <w:tcW w:w="1915" w:type="dxa"/>
            <w:vAlign w:val="center"/>
          </w:tcPr>
          <w:p w:rsidR="006B1499" w:rsidRPr="004F1F9C" w:rsidRDefault="006B1499" w:rsidP="006B1499">
            <w:pPr>
              <w:rPr>
                <w:szCs w:val="18"/>
              </w:rPr>
            </w:pPr>
            <w:r w:rsidRPr="004F1F9C">
              <w:rPr>
                <w:szCs w:val="18"/>
              </w:rPr>
              <w:t xml:space="preserve">Fay and Yepes </w:t>
            </w:r>
            <w:r w:rsidR="00F7383F" w:rsidRPr="004F1F9C">
              <w:rPr>
                <w:szCs w:val="18"/>
              </w:rPr>
              <w:fldChar w:fldCharType="begin"/>
            </w:r>
            <w:r>
              <w:rPr>
                <w:szCs w:val="18"/>
              </w:rPr>
              <w:instrText xml:space="preserve"> ADDIN ZOTERO_ITEM CSL_CITATION {"citationID":"mkh8TsM1","properties":{"formattedCitation":"(2003, 10)","plainCitation":"(2003, 10)"},"citationItems":[{"id":1138,"uris":["http://zotero.org/groups/4482/items/4BPWRAEZ"],"uri":["http://zotero.org/groups/4482/items/4BPWRAEZ"],"itemData":{"id":1138,"type":"manuscript","title":"Investing in Infrastructure: What Is Needed from 2000 to 2010?","publisher-place":"Washington, DC","genre":"Policy Research Working Paper no. 3102","archive":"RePEc","event-place":"Washington, DC","URL":"http://ideas.repec.org/p/wbk/wbrwps/3102.html","call-number":"0154","note":"World Bank","shortTitle":"Investing in Infrastructure","author":[{"family":"Fay","given":"Marianne"},{"family":"Yepes","given":"Tito"}],"issued":{"year":2003},"accessed":{"year":2009,"month":11,"day":23}},"locator":"10","label":"page","suppress-author":true}],"schema":"https://github.com/citation-style-language/schema/raw/master/csl-citation.json"} </w:instrText>
            </w:r>
            <w:r w:rsidR="00F7383F" w:rsidRPr="004F1F9C">
              <w:rPr>
                <w:szCs w:val="18"/>
              </w:rPr>
              <w:fldChar w:fldCharType="separate"/>
            </w:r>
            <w:r w:rsidRPr="004F1F9C">
              <w:t>(2003, 10)</w:t>
            </w:r>
            <w:r w:rsidR="00F7383F" w:rsidRPr="004F1F9C">
              <w:rPr>
                <w:szCs w:val="18"/>
              </w:rPr>
              <w:fldChar w:fldCharType="end"/>
            </w:r>
          </w:p>
        </w:tc>
        <w:tc>
          <w:tcPr>
            <w:tcW w:w="1915" w:type="dxa"/>
            <w:vAlign w:val="center"/>
          </w:tcPr>
          <w:p w:rsidR="006B1499" w:rsidRPr="004F1F9C" w:rsidRDefault="006B1499" w:rsidP="006B1499">
            <w:pPr>
              <w:jc w:val="center"/>
              <w:rPr>
                <w:szCs w:val="18"/>
              </w:rPr>
            </w:pPr>
            <w:r w:rsidRPr="004F1F9C">
              <w:rPr>
                <w:szCs w:val="18"/>
              </w:rPr>
              <w:t>Constant 1995$US per subscription</w:t>
            </w:r>
          </w:p>
        </w:tc>
        <w:tc>
          <w:tcPr>
            <w:tcW w:w="1915" w:type="dxa"/>
            <w:vAlign w:val="center"/>
          </w:tcPr>
          <w:p w:rsidR="006B1499" w:rsidRPr="004F1F9C" w:rsidRDefault="006B1499" w:rsidP="006B1499">
            <w:pPr>
              <w:jc w:val="center"/>
              <w:rPr>
                <w:szCs w:val="18"/>
              </w:rPr>
            </w:pPr>
            <w:r w:rsidRPr="004F1F9C">
              <w:rPr>
                <w:szCs w:val="18"/>
              </w:rPr>
              <w:t>700 in 2000; 580 after 2005</w:t>
            </w:r>
          </w:p>
        </w:tc>
        <w:tc>
          <w:tcPr>
            <w:tcW w:w="1915" w:type="dxa"/>
            <w:vAlign w:val="center"/>
          </w:tcPr>
          <w:p w:rsidR="006B1499" w:rsidRPr="004F1F9C" w:rsidRDefault="006B1499" w:rsidP="006B1499">
            <w:pPr>
              <w:jc w:val="center"/>
              <w:rPr>
                <w:szCs w:val="18"/>
              </w:rPr>
            </w:pPr>
            <w:r w:rsidRPr="004F1F9C">
              <w:rPr>
                <w:szCs w:val="18"/>
              </w:rPr>
              <w:t>8% of unit replacement cost</w:t>
            </w:r>
          </w:p>
        </w:tc>
        <w:tc>
          <w:tcPr>
            <w:tcW w:w="1448" w:type="dxa"/>
            <w:vAlign w:val="center"/>
          </w:tcPr>
          <w:p w:rsidR="006B1499" w:rsidRPr="004F1F9C" w:rsidRDefault="006B1499" w:rsidP="006B1499">
            <w:pPr>
              <w:jc w:val="center"/>
              <w:rPr>
                <w:szCs w:val="18"/>
              </w:rPr>
            </w:pPr>
          </w:p>
        </w:tc>
      </w:tr>
      <w:tr w:rsidR="006B1499" w:rsidRPr="004F1F9C">
        <w:tc>
          <w:tcPr>
            <w:tcW w:w="1915" w:type="dxa"/>
            <w:vAlign w:val="center"/>
          </w:tcPr>
          <w:p w:rsidR="006B1499" w:rsidRPr="004F1F9C" w:rsidRDefault="006B1499" w:rsidP="006B1499">
            <w:pPr>
              <w:rPr>
                <w:szCs w:val="18"/>
              </w:rPr>
            </w:pPr>
            <w:r w:rsidRPr="004F1F9C">
              <w:rPr>
                <w:szCs w:val="18"/>
              </w:rPr>
              <w:t xml:space="preserve">Yepes </w:t>
            </w:r>
            <w:r w:rsidR="00F7383F" w:rsidRPr="004F1F9C">
              <w:rPr>
                <w:szCs w:val="18"/>
              </w:rPr>
              <w:fldChar w:fldCharType="begin"/>
            </w:r>
            <w:r>
              <w:rPr>
                <w:szCs w:val="18"/>
              </w:rPr>
              <w:instrText xml:space="preserve"> ADDIN ZOTERO_ITEM CSL_CITATION {"citationID":"7Ep3hqiB","properties":{"formattedCitation":"(2005, no page number)","plainCitation":"(2005, no page number)"},"citationItems":[{"id":904,"uris":["http://zotero.org/groups/4482/items/TXS9JSZB"],"uri":["http://zotero.org/groups/4482/items/TXS9JSZB"],"itemData":{"id":904,"type":"report","title":"Expenditure on Infrastructure in East Asia Region, 2006–2010","collection-title":"East Asia Pacific Infrastructure Flagship Study","publisher":"Asian Development Bank (ADB), Japan Bank for International Cooperation (JBIC), World Bank","publisher-place":"Manila","event-place":"Manila","author":[{"family":"Yepes","given":"Tito"}],"issued":{"year":2005}},"locator":"no page number","label":"page","suppress-author":true}],"schema":"https://github.com/citation-style-language/schema/raw/master/csl-citation.json"} </w:instrText>
            </w:r>
            <w:r w:rsidR="00F7383F" w:rsidRPr="004F1F9C">
              <w:rPr>
                <w:szCs w:val="18"/>
              </w:rPr>
              <w:fldChar w:fldCharType="separate"/>
            </w:r>
            <w:r w:rsidRPr="004F1F9C">
              <w:rPr>
                <w:szCs w:val="21"/>
              </w:rPr>
              <w:t>(2005, no page number)</w:t>
            </w:r>
            <w:r w:rsidR="00F7383F" w:rsidRPr="004F1F9C">
              <w:rPr>
                <w:szCs w:val="18"/>
              </w:rPr>
              <w:fldChar w:fldCharType="end"/>
            </w:r>
          </w:p>
        </w:tc>
        <w:tc>
          <w:tcPr>
            <w:tcW w:w="1915" w:type="dxa"/>
            <w:vAlign w:val="center"/>
          </w:tcPr>
          <w:p w:rsidR="006B1499" w:rsidRPr="004F1F9C" w:rsidRDefault="006B1499" w:rsidP="006B1499">
            <w:pPr>
              <w:jc w:val="center"/>
              <w:rPr>
                <w:szCs w:val="18"/>
              </w:rPr>
            </w:pPr>
            <w:r w:rsidRPr="004F1F9C">
              <w:rPr>
                <w:szCs w:val="18"/>
              </w:rPr>
              <w:t>Constant $US, year not stated, per subscription</w:t>
            </w:r>
          </w:p>
        </w:tc>
        <w:tc>
          <w:tcPr>
            <w:tcW w:w="1915" w:type="dxa"/>
            <w:vAlign w:val="center"/>
          </w:tcPr>
          <w:p w:rsidR="006B1499" w:rsidRPr="004F1F9C" w:rsidRDefault="006B1499" w:rsidP="006B1499">
            <w:pPr>
              <w:jc w:val="center"/>
              <w:rPr>
                <w:szCs w:val="18"/>
              </w:rPr>
            </w:pPr>
            <w:r w:rsidRPr="004F1F9C">
              <w:rPr>
                <w:szCs w:val="18"/>
              </w:rPr>
              <w:t>China: 210 in 2000, 80 in 2005, 96 in 2010</w:t>
            </w:r>
          </w:p>
          <w:p w:rsidR="006B1499" w:rsidRPr="004F1F9C" w:rsidRDefault="006B1499" w:rsidP="006B1499">
            <w:pPr>
              <w:jc w:val="center"/>
              <w:rPr>
                <w:szCs w:val="18"/>
              </w:rPr>
            </w:pPr>
            <w:r w:rsidRPr="004F1F9C">
              <w:rPr>
                <w:szCs w:val="18"/>
              </w:rPr>
              <w:t>Rest: 280 in 2000, 185 in 2005, 127 in 2010</w:t>
            </w:r>
          </w:p>
        </w:tc>
        <w:tc>
          <w:tcPr>
            <w:tcW w:w="1915" w:type="dxa"/>
            <w:vAlign w:val="center"/>
          </w:tcPr>
          <w:p w:rsidR="006B1499" w:rsidRPr="004F1F9C" w:rsidRDefault="006B1499" w:rsidP="006B1499">
            <w:pPr>
              <w:jc w:val="center"/>
              <w:rPr>
                <w:szCs w:val="18"/>
              </w:rPr>
            </w:pPr>
            <w:r w:rsidRPr="004F1F9C">
              <w:rPr>
                <w:szCs w:val="18"/>
              </w:rPr>
              <w:t>8% of stock value</w:t>
            </w:r>
          </w:p>
        </w:tc>
        <w:tc>
          <w:tcPr>
            <w:tcW w:w="1448" w:type="dxa"/>
            <w:vAlign w:val="center"/>
          </w:tcPr>
          <w:p w:rsidR="006B1499" w:rsidRPr="004F1F9C" w:rsidRDefault="006B1499" w:rsidP="006B1499">
            <w:pPr>
              <w:jc w:val="center"/>
              <w:rPr>
                <w:szCs w:val="18"/>
              </w:rPr>
            </w:pPr>
          </w:p>
        </w:tc>
      </w:tr>
      <w:tr w:rsidR="006B1499" w:rsidRPr="004F1F9C">
        <w:tc>
          <w:tcPr>
            <w:tcW w:w="1915" w:type="dxa"/>
            <w:vAlign w:val="center"/>
          </w:tcPr>
          <w:p w:rsidR="006B1499" w:rsidRPr="004F1F9C" w:rsidRDefault="006B1499" w:rsidP="006B1499">
            <w:r w:rsidRPr="004F1F9C">
              <w:rPr>
                <w:szCs w:val="18"/>
              </w:rPr>
              <w:t xml:space="preserve">Chatterton and Puerto </w:t>
            </w:r>
            <w:r w:rsidR="00F7383F" w:rsidRPr="004F1F9C">
              <w:rPr>
                <w:szCs w:val="18"/>
              </w:rPr>
              <w:fldChar w:fldCharType="begin"/>
            </w:r>
            <w:r>
              <w:rPr>
                <w:szCs w:val="18"/>
              </w:rPr>
              <w:instrText xml:space="preserve"> ADDIN ZOTERO_ITEM CSL_CITATION {"citationID":"kRoOHrMn","properties":{"formattedCitation":"{\\rtf (2006, 7, 9\\uc0\\u8211{}10)}","plainCitation":"(2006, 7, 9–10)"},"citationItems":[{"id":903,"uris":["http://zotero.org/groups/4482/items/8BCTKHKI"],"uri":["http://zotero.org/groups/4482/items/8BCTKHKI"],"itemData":{"id":903,"type":"report","title":"Estimation of Infrastructure Investment Needs in the South Asia Region: Executive Summary","publisher":"World Bank","publisher-place":"Washington, DC","event-place":"Washington, DC","URL":"http://0-siteresources.worldbank.org.bianca.penlib.du.edu/INTSARREGTOPTRANSPORT/Resources/Inf_Investment_Needs_IC_version4.pdf","shortTitle":"Estimation of Infrastructure Investment Needs in the South Asia Region","author":[{"family":"Chatterton","given":"Isabe"},{"family":"Puerto","given":"Olga S."}],"issued":{"year":2006}},"locator":"7, 9-10","label":"page","suppress-author":true}],"schema":"https://github.com/citation-style-language/schema/raw/master/csl-citation.json"} </w:instrText>
            </w:r>
            <w:r w:rsidR="00F7383F" w:rsidRPr="004F1F9C">
              <w:rPr>
                <w:szCs w:val="18"/>
              </w:rPr>
              <w:fldChar w:fldCharType="separate"/>
            </w:r>
            <w:r w:rsidRPr="004F1F9C">
              <w:rPr>
                <w:szCs w:val="24"/>
              </w:rPr>
              <w:t>(2006, 7, 9–10)</w:t>
            </w:r>
            <w:r w:rsidR="00F7383F" w:rsidRPr="004F1F9C">
              <w:rPr>
                <w:szCs w:val="18"/>
              </w:rPr>
              <w:fldChar w:fldCharType="end"/>
            </w:r>
          </w:p>
        </w:tc>
        <w:tc>
          <w:tcPr>
            <w:tcW w:w="1915" w:type="dxa"/>
            <w:vAlign w:val="center"/>
          </w:tcPr>
          <w:p w:rsidR="006B1499" w:rsidRPr="004F1F9C" w:rsidRDefault="006B1499" w:rsidP="006B1499">
            <w:pPr>
              <w:jc w:val="center"/>
            </w:pPr>
            <w:r w:rsidRPr="004F1F9C">
              <w:rPr>
                <w:szCs w:val="18"/>
              </w:rPr>
              <w:t>Constant $US, year not stated, per subscription</w:t>
            </w:r>
          </w:p>
        </w:tc>
        <w:tc>
          <w:tcPr>
            <w:tcW w:w="1915" w:type="dxa"/>
            <w:vAlign w:val="center"/>
          </w:tcPr>
          <w:p w:rsidR="006B1499" w:rsidRPr="004F1F9C" w:rsidRDefault="006B1499" w:rsidP="006B1499">
            <w:pPr>
              <w:jc w:val="center"/>
              <w:rPr>
                <w:szCs w:val="18"/>
              </w:rPr>
            </w:pPr>
            <w:r w:rsidRPr="004F1F9C">
              <w:rPr>
                <w:szCs w:val="18"/>
              </w:rPr>
              <w:t xml:space="preserve">280 for 2000-2004, 185 for 2005-2009, 127 for 2010 onward </w:t>
            </w:r>
          </w:p>
        </w:tc>
        <w:tc>
          <w:tcPr>
            <w:tcW w:w="1915" w:type="dxa"/>
            <w:vAlign w:val="center"/>
          </w:tcPr>
          <w:p w:rsidR="006B1499" w:rsidRPr="004F1F9C" w:rsidRDefault="006B1499" w:rsidP="006B1499">
            <w:pPr>
              <w:jc w:val="center"/>
              <w:rPr>
                <w:szCs w:val="18"/>
              </w:rPr>
            </w:pPr>
            <w:r w:rsidRPr="004F1F9C">
              <w:rPr>
                <w:szCs w:val="18"/>
              </w:rPr>
              <w:t>8% of replacement cost</w:t>
            </w:r>
          </w:p>
        </w:tc>
        <w:tc>
          <w:tcPr>
            <w:tcW w:w="1448" w:type="dxa"/>
            <w:vAlign w:val="center"/>
          </w:tcPr>
          <w:p w:rsidR="006B1499" w:rsidRPr="004F1F9C" w:rsidRDefault="006B1499" w:rsidP="006B1499">
            <w:pPr>
              <w:jc w:val="center"/>
              <w:rPr>
                <w:szCs w:val="18"/>
              </w:rPr>
            </w:pPr>
          </w:p>
        </w:tc>
      </w:tr>
      <w:tr w:rsidR="006B1499" w:rsidRPr="004F1F9C">
        <w:tc>
          <w:tcPr>
            <w:tcW w:w="1915" w:type="dxa"/>
            <w:vAlign w:val="center"/>
          </w:tcPr>
          <w:p w:rsidR="006B1499" w:rsidRPr="004F1F9C" w:rsidRDefault="006B1499" w:rsidP="006B1499">
            <w:r w:rsidRPr="004F1F9C">
              <w:rPr>
                <w:szCs w:val="18"/>
              </w:rPr>
              <w:t xml:space="preserve">Yepes </w:t>
            </w:r>
            <w:r w:rsidR="00F7383F" w:rsidRPr="004F1F9C">
              <w:rPr>
                <w:szCs w:val="18"/>
              </w:rPr>
              <w:fldChar w:fldCharType="begin"/>
            </w:r>
            <w:r>
              <w:rPr>
                <w:szCs w:val="18"/>
              </w:rPr>
              <w:instrText xml:space="preserve"> ADDIN ZOTERO_ITEM CSL_CITATION {"citationID":"EPMgW0Wa","properties":{"formattedCitation":"(2008, 7, 10, 11, 15)","plainCitation":"(2008, 7, 10, 11, 15)"},"citationItems":[{"id":716,"uris":["http://zotero.org/groups/4482/items/6FIFS46X"],"uri":["http://zotero.org/groups/4482/items/6FIFS46X"],"itemData":{"id":716,"type":"manuscript","title":"Investment Needs for Infrastructure in Developing Countries 2008-15","publisher-place":"Washington, DC","genre":"Draft","event-place":"Washington, DC","note":"World Bank","author":[{"family":"Yepes","given":"Tito"}],"issued":{"year":2008}},"locator":"7, 10, 11, 15","label":"page","suppress-author":true}],"schema":"https://github.com/citation-style-language/schema/raw/master/csl-citation.json"} </w:instrText>
            </w:r>
            <w:r w:rsidR="00F7383F" w:rsidRPr="004F1F9C">
              <w:rPr>
                <w:szCs w:val="18"/>
              </w:rPr>
              <w:fldChar w:fldCharType="separate"/>
            </w:r>
            <w:r w:rsidRPr="004F1F9C">
              <w:rPr>
                <w:szCs w:val="21"/>
              </w:rPr>
              <w:t>(2008, 7, 10, 11, 15)</w:t>
            </w:r>
            <w:r w:rsidR="00F7383F" w:rsidRPr="004F1F9C">
              <w:rPr>
                <w:szCs w:val="18"/>
              </w:rPr>
              <w:fldChar w:fldCharType="end"/>
            </w:r>
          </w:p>
        </w:tc>
        <w:tc>
          <w:tcPr>
            <w:tcW w:w="1915" w:type="dxa"/>
            <w:vAlign w:val="center"/>
          </w:tcPr>
          <w:p w:rsidR="006B1499" w:rsidRPr="004F1F9C" w:rsidRDefault="006B1499" w:rsidP="006B1499">
            <w:pPr>
              <w:jc w:val="center"/>
            </w:pPr>
            <w:r w:rsidRPr="004F1F9C">
              <w:rPr>
                <w:szCs w:val="18"/>
              </w:rPr>
              <w:t>Constant 2005 $US per subscription</w:t>
            </w:r>
          </w:p>
        </w:tc>
        <w:tc>
          <w:tcPr>
            <w:tcW w:w="1915" w:type="dxa"/>
            <w:vAlign w:val="center"/>
          </w:tcPr>
          <w:p w:rsidR="006B1499" w:rsidRPr="004F1F9C" w:rsidRDefault="006B1499" w:rsidP="006B1499">
            <w:pPr>
              <w:jc w:val="center"/>
              <w:rPr>
                <w:szCs w:val="18"/>
              </w:rPr>
            </w:pPr>
            <w:r w:rsidRPr="004F1F9C">
              <w:rPr>
                <w:szCs w:val="18"/>
              </w:rPr>
              <w:t>127-451 (varies by region)</w:t>
            </w:r>
          </w:p>
        </w:tc>
        <w:tc>
          <w:tcPr>
            <w:tcW w:w="1915" w:type="dxa"/>
            <w:vAlign w:val="center"/>
          </w:tcPr>
          <w:p w:rsidR="006B1499" w:rsidRPr="004F1F9C" w:rsidRDefault="006B1499" w:rsidP="006B1499">
            <w:pPr>
              <w:jc w:val="center"/>
              <w:rPr>
                <w:szCs w:val="18"/>
              </w:rPr>
            </w:pPr>
          </w:p>
        </w:tc>
        <w:tc>
          <w:tcPr>
            <w:tcW w:w="1448" w:type="dxa"/>
            <w:vAlign w:val="center"/>
          </w:tcPr>
          <w:p w:rsidR="006B1499" w:rsidRPr="004F1F9C" w:rsidRDefault="006B1499" w:rsidP="006B1499">
            <w:pPr>
              <w:jc w:val="center"/>
              <w:rPr>
                <w:szCs w:val="18"/>
              </w:rPr>
            </w:pPr>
          </w:p>
        </w:tc>
      </w:tr>
      <w:tr w:rsidR="006B1499" w:rsidRPr="004F1F9C">
        <w:tc>
          <w:tcPr>
            <w:tcW w:w="1915" w:type="dxa"/>
            <w:vAlign w:val="center"/>
          </w:tcPr>
          <w:p w:rsidR="006B1499" w:rsidRPr="004F1F9C" w:rsidRDefault="006B1499" w:rsidP="006B1499">
            <w:r w:rsidRPr="004F1F9C">
              <w:rPr>
                <w:szCs w:val="18"/>
              </w:rPr>
              <w:t xml:space="preserve">Bhattacharyay for maintenance </w:t>
            </w:r>
            <w:r w:rsidR="00F7383F" w:rsidRPr="004F1F9C">
              <w:rPr>
                <w:szCs w:val="18"/>
              </w:rPr>
              <w:fldChar w:fldCharType="begin"/>
            </w:r>
            <w:r>
              <w:rPr>
                <w:szCs w:val="18"/>
              </w:rPr>
              <w:instrText xml:space="preserve"> ADDIN ZOTERO_ITEM CSL_CITATION {"citationID":"6Bbwomut","properties":{"formattedCitation":"(2010)","plainCitation":"(2010)"},"citationItems":[{"id":1156,"uris":["http://zotero.org/groups/4482/items/MQ3EDFBR"],"uri":["http://zotero.org/groups/4482/items/MQ3EDFBR"],"itemData":{"id":1156,"type":"manuscript","title":"Estimating Demand for Infrastructure in Energy, Transport, Telecommunications, Water and Sanitation in Asia and the Pacific: 2010-2020","publisher-place":"Tokyo","genre":"Working Paper no. 248","event-place":"Tokyo","URL":"http://www.adbi.org/working-paper/2010/09/09/4062.infrastructure.demand.asia.pacific/","call-number":"0001","note":"Asian Development Bank Institute","author":[{"family":"Bhattacharyay","given":"Biswa Nath"}],"issued":{"year":2010}},"suppress-author":true}],"schema":"https://github.com/citation-style-language/schema/raw/master/csl-citation.json"} </w:instrText>
            </w:r>
            <w:r w:rsidR="00F7383F" w:rsidRPr="004F1F9C">
              <w:rPr>
                <w:szCs w:val="18"/>
              </w:rPr>
              <w:fldChar w:fldCharType="separate"/>
            </w:r>
            <w:r w:rsidRPr="004F1F9C">
              <w:rPr>
                <w:szCs w:val="21"/>
              </w:rPr>
              <w:t>(2010, 10)</w:t>
            </w:r>
            <w:r w:rsidR="00F7383F" w:rsidRPr="004F1F9C">
              <w:rPr>
                <w:szCs w:val="18"/>
              </w:rPr>
              <w:fldChar w:fldCharType="end"/>
            </w:r>
            <w:r w:rsidRPr="004F1F9C">
              <w:rPr>
                <w:szCs w:val="18"/>
              </w:rPr>
              <w:t xml:space="preserve"> unit costs from ADBI </w:t>
            </w:r>
            <w:r w:rsidR="00F7383F" w:rsidRPr="004F1F9C">
              <w:rPr>
                <w:szCs w:val="18"/>
              </w:rPr>
              <w:fldChar w:fldCharType="begin"/>
            </w:r>
            <w:r>
              <w:rPr>
                <w:szCs w:val="18"/>
              </w:rPr>
              <w:instrText xml:space="preserve"> ADDIN ZOTERO_ITEM CSL_CITATION {"citationID":"c0GXRK2E","properties":{"formattedCitation":"{\\rtf (2009, 27\\uc0\\u8211{}28)}","plainCitation":"(2009, 27–28)"},"citationItems":[{"id":1153,"uris":["http://zotero.org/groups/4482/items/3ND5HTK3"],"uri":["http://zotero.org/groups/4482/items/3ND5HTK3"],"itemData":{"id":1153,"type":"manuscript","title":"Demand for Infrastructure Financing in Asia 2010-2010","publisher-place":"Tokyo","genre":"ADBI Internal Report (prepared by Centennial Group Holdings, LLC)","event-place":"Tokyo","note":"ADBI","author":[{"family":"Asian Development Bank Institute","given":""}],"issued":{"year":2009}},"locator":"27-28","label":"page","suppress-author":true}],"schema":"https://github.com/citation-style-language/schema/raw/master/csl-citation.json"} </w:instrText>
            </w:r>
            <w:r w:rsidR="00F7383F" w:rsidRPr="004F1F9C">
              <w:rPr>
                <w:szCs w:val="18"/>
              </w:rPr>
              <w:fldChar w:fldCharType="separate"/>
            </w:r>
            <w:r w:rsidRPr="004F1F9C">
              <w:rPr>
                <w:szCs w:val="24"/>
              </w:rPr>
              <w:t>(2009, 27–28)</w:t>
            </w:r>
            <w:r w:rsidR="00F7383F" w:rsidRPr="004F1F9C">
              <w:rPr>
                <w:szCs w:val="18"/>
              </w:rPr>
              <w:fldChar w:fldCharType="end"/>
            </w:r>
          </w:p>
        </w:tc>
        <w:tc>
          <w:tcPr>
            <w:tcW w:w="1915" w:type="dxa"/>
            <w:vAlign w:val="center"/>
          </w:tcPr>
          <w:p w:rsidR="006B1499" w:rsidRPr="004F1F9C" w:rsidRDefault="006B1499" w:rsidP="006B1499">
            <w:pPr>
              <w:jc w:val="center"/>
            </w:pPr>
            <w:r w:rsidRPr="004F1F9C">
              <w:rPr>
                <w:szCs w:val="18"/>
              </w:rPr>
              <w:t>Constant 2008 $US per subscription</w:t>
            </w:r>
          </w:p>
        </w:tc>
        <w:tc>
          <w:tcPr>
            <w:tcW w:w="1915" w:type="dxa"/>
            <w:vAlign w:val="center"/>
          </w:tcPr>
          <w:p w:rsidR="006B1499" w:rsidRPr="004F1F9C" w:rsidRDefault="006B1499" w:rsidP="006B1499">
            <w:pPr>
              <w:jc w:val="center"/>
              <w:rPr>
                <w:szCs w:val="18"/>
              </w:rPr>
            </w:pPr>
            <w:r w:rsidRPr="004F1F9C">
              <w:rPr>
                <w:szCs w:val="18"/>
              </w:rPr>
              <w:t>185 for 2006-2010, 127 for 2011-2015</w:t>
            </w:r>
          </w:p>
        </w:tc>
        <w:tc>
          <w:tcPr>
            <w:tcW w:w="1915" w:type="dxa"/>
            <w:vAlign w:val="center"/>
          </w:tcPr>
          <w:p w:rsidR="006B1499" w:rsidRPr="004F1F9C" w:rsidRDefault="006B1499" w:rsidP="006B1499">
            <w:pPr>
              <w:jc w:val="center"/>
              <w:rPr>
                <w:szCs w:val="18"/>
              </w:rPr>
            </w:pPr>
            <w:r w:rsidRPr="004F1F9C">
              <w:rPr>
                <w:szCs w:val="18"/>
              </w:rPr>
              <w:t>8% of stock value</w:t>
            </w:r>
          </w:p>
        </w:tc>
        <w:tc>
          <w:tcPr>
            <w:tcW w:w="1448" w:type="dxa"/>
            <w:vAlign w:val="center"/>
          </w:tcPr>
          <w:p w:rsidR="006B1499" w:rsidRPr="004F1F9C" w:rsidRDefault="006B1499" w:rsidP="006B1499">
            <w:pPr>
              <w:jc w:val="center"/>
              <w:rPr>
                <w:szCs w:val="18"/>
              </w:rPr>
            </w:pPr>
          </w:p>
        </w:tc>
      </w:tr>
      <w:tr w:rsidR="006B1499" w:rsidRPr="004F1F9C">
        <w:tc>
          <w:tcPr>
            <w:tcW w:w="1915" w:type="dxa"/>
            <w:vAlign w:val="center"/>
          </w:tcPr>
          <w:p w:rsidR="006B1499" w:rsidRPr="004F1F9C" w:rsidRDefault="006B1499" w:rsidP="006B1499">
            <w:r w:rsidRPr="004F1F9C">
              <w:rPr>
                <w:szCs w:val="18"/>
              </w:rPr>
              <w:t xml:space="preserve">Kohli and Basil </w:t>
            </w:r>
            <w:r w:rsidR="00F7383F" w:rsidRPr="004F1F9C">
              <w:rPr>
                <w:szCs w:val="18"/>
              </w:rPr>
              <w:fldChar w:fldCharType="begin"/>
            </w:r>
            <w:r>
              <w:rPr>
                <w:szCs w:val="18"/>
              </w:rPr>
              <w:instrText xml:space="preserve"> ADDIN ZOTERO_ITEM CSL_CITATION {"citationID":"PNNDylGc","properties":{"formattedCitation":"(2011, 96)","plainCitation":"(2011, 96)"},"citationItems":[{"id":1157,"uris":["http://zotero.org/groups/4482/items/PNQFGAHH"],"uri":["http://zotero.org/groups/4482/items/PNQFGAHH"],"itemData":{"id":1157,"type":"article-journal","title":"Requirements for Infrastructure Investment in Latin America Under Alternate Growth Scenarios","container-title":"Global Journal of Emerging Market Economies","page":"59 -110","volume":"3","issue":"1","abstract":"This study estimates requirements for infrastructure investment in 21 Latin American countries for the period 2011–2040 using a structural equation model. Needs total about 4 percent of GDP. Projections are provided for both a high-growth convergence scenario and a low-growth business-as-usual scenario. These costs represent minimum investments necessary to support expected economic growth. Costs are presented separately and in total for new-capacity investment and maintenance for 10 sectors: airports, electricity, fixed broadband, landlines, mobile telephony, ports, rail, paved roads, sanitation, and water. Country coverage comprises Argentina, Belize, Bolivia, Brazil, Chile, Colombia, Costa Rica, Dominican Republic, Ecuador, El Salvador, Guatemala, Guyana, Honduras, Mexico, Nicaragua, Panama, Paraguay, Peru, Suriname, Uruguay, and Venezuela. The model differs from past studies of regionwide long-term infrastructure investment needs in five features: (1) It considers alternate GDP growth scenarios; (2) It employs a structural equation model using instrumental variables to provide unbiased, consistent projections for both GDP growth scenarios (Instrumented variables are urbanization and the shares in GDP of agriculture, manufacturing, and services); (3) Mobile phone investment costs are not constant but instead vary with population density; (4) Two additional, wealthier countries are included in modeling to prevent forecasting outside the range of the independent variables’ values used to construct the model, and; (5) Timing of new-capacity investments is distributed over multiple years and varies by sector.","DOI":"10.1177/097491011000300103","call-number":"0002","author":[{"family":"Kohli","given":"Harpaul Alberto"},{"family":"Basil","given":"Phillip"}],"issued":{"year":2011},"accessed":{"year":2011,"month":7,"day":29},"page-first":"59"},"locator":"96","label":"page","suppress-author":true}],"schema":"https://github.com/citation-style-language/schema/raw/master/csl-citation.json"} </w:instrText>
            </w:r>
            <w:r w:rsidR="00F7383F" w:rsidRPr="004F1F9C">
              <w:rPr>
                <w:szCs w:val="18"/>
              </w:rPr>
              <w:fldChar w:fldCharType="separate"/>
            </w:r>
            <w:r w:rsidRPr="004F1F9C">
              <w:rPr>
                <w:szCs w:val="21"/>
              </w:rPr>
              <w:t>(2011, 96)</w:t>
            </w:r>
            <w:r w:rsidR="00F7383F" w:rsidRPr="004F1F9C">
              <w:rPr>
                <w:szCs w:val="18"/>
              </w:rPr>
              <w:fldChar w:fldCharType="end"/>
            </w:r>
          </w:p>
        </w:tc>
        <w:tc>
          <w:tcPr>
            <w:tcW w:w="1915" w:type="dxa"/>
            <w:vAlign w:val="center"/>
          </w:tcPr>
          <w:p w:rsidR="006B1499" w:rsidRPr="004F1F9C" w:rsidRDefault="006B1499" w:rsidP="006B1499">
            <w:pPr>
              <w:jc w:val="center"/>
            </w:pPr>
            <w:r w:rsidRPr="004F1F9C">
              <w:rPr>
                <w:szCs w:val="18"/>
              </w:rPr>
              <w:t>Constant 2009 $US per subscription</w:t>
            </w:r>
          </w:p>
        </w:tc>
        <w:tc>
          <w:tcPr>
            <w:tcW w:w="1915" w:type="dxa"/>
            <w:vAlign w:val="center"/>
          </w:tcPr>
          <w:p w:rsidR="006B1499" w:rsidRPr="004F1F9C" w:rsidRDefault="006B1499" w:rsidP="006B1499">
            <w:pPr>
              <w:jc w:val="center"/>
              <w:rPr>
                <w:szCs w:val="18"/>
              </w:rPr>
            </w:pPr>
            <w:r w:rsidRPr="004F1F9C">
              <w:rPr>
                <w:szCs w:val="18"/>
              </w:rPr>
              <w:t>111 up to 30% saturation, falling to 45 at full saturation</w:t>
            </w:r>
          </w:p>
        </w:tc>
        <w:tc>
          <w:tcPr>
            <w:tcW w:w="1915" w:type="dxa"/>
            <w:vAlign w:val="center"/>
          </w:tcPr>
          <w:p w:rsidR="006B1499" w:rsidRPr="004F1F9C" w:rsidRDefault="006B1499" w:rsidP="006B1499">
            <w:pPr>
              <w:jc w:val="center"/>
              <w:rPr>
                <w:szCs w:val="18"/>
              </w:rPr>
            </w:pPr>
            <w:r w:rsidRPr="004F1F9C">
              <w:rPr>
                <w:szCs w:val="18"/>
              </w:rPr>
              <w:t>8% of stock value</w:t>
            </w:r>
          </w:p>
        </w:tc>
        <w:tc>
          <w:tcPr>
            <w:tcW w:w="1448" w:type="dxa"/>
            <w:vAlign w:val="center"/>
          </w:tcPr>
          <w:p w:rsidR="006B1499" w:rsidRPr="004F1F9C" w:rsidRDefault="006B1499" w:rsidP="006B1499">
            <w:pPr>
              <w:jc w:val="center"/>
              <w:rPr>
                <w:szCs w:val="18"/>
              </w:rPr>
            </w:pPr>
          </w:p>
        </w:tc>
      </w:tr>
      <w:tr w:rsidR="006B1499" w:rsidRPr="004F1F9C">
        <w:tc>
          <w:tcPr>
            <w:tcW w:w="1915" w:type="dxa"/>
            <w:vAlign w:val="center"/>
          </w:tcPr>
          <w:p w:rsidR="006B1499" w:rsidRPr="004F1F9C" w:rsidRDefault="006B1499" w:rsidP="006B1499">
            <w:pPr>
              <w:rPr>
                <w:szCs w:val="18"/>
              </w:rPr>
            </w:pPr>
            <w:r w:rsidRPr="004F1F9C">
              <w:rPr>
                <w:szCs w:val="18"/>
              </w:rPr>
              <w:t>Us at the moment</w:t>
            </w:r>
          </w:p>
        </w:tc>
        <w:tc>
          <w:tcPr>
            <w:tcW w:w="1915" w:type="dxa"/>
            <w:vAlign w:val="center"/>
          </w:tcPr>
          <w:p w:rsidR="006B1499" w:rsidRPr="004F1F9C" w:rsidRDefault="006B1499" w:rsidP="006B1499">
            <w:pPr>
              <w:jc w:val="center"/>
              <w:rPr>
                <w:szCs w:val="18"/>
              </w:rPr>
            </w:pPr>
            <w:r w:rsidRPr="004F1F9C">
              <w:rPr>
                <w:szCs w:val="18"/>
              </w:rPr>
              <w:t>Constant $2000 per subscription</w:t>
            </w:r>
          </w:p>
        </w:tc>
        <w:tc>
          <w:tcPr>
            <w:tcW w:w="1915" w:type="dxa"/>
            <w:vAlign w:val="center"/>
          </w:tcPr>
          <w:p w:rsidR="006B1499" w:rsidRPr="004F1F9C" w:rsidRDefault="006B1499" w:rsidP="006B1499">
            <w:pPr>
              <w:jc w:val="center"/>
              <w:rPr>
                <w:szCs w:val="18"/>
              </w:rPr>
            </w:pPr>
            <w:r w:rsidRPr="004F1F9C">
              <w:rPr>
                <w:szCs w:val="18"/>
              </w:rPr>
              <w:t>300 below 5K income, falling to 200 above 10K</w:t>
            </w:r>
          </w:p>
        </w:tc>
        <w:tc>
          <w:tcPr>
            <w:tcW w:w="1915" w:type="dxa"/>
            <w:vAlign w:val="center"/>
          </w:tcPr>
          <w:p w:rsidR="006B1499" w:rsidRPr="004F1F9C" w:rsidRDefault="006B1499" w:rsidP="006B1499">
            <w:pPr>
              <w:jc w:val="center"/>
              <w:rPr>
                <w:szCs w:val="18"/>
              </w:rPr>
            </w:pPr>
          </w:p>
        </w:tc>
        <w:tc>
          <w:tcPr>
            <w:tcW w:w="1448" w:type="dxa"/>
            <w:vAlign w:val="center"/>
          </w:tcPr>
          <w:p w:rsidR="006B1499" w:rsidRPr="004F1F9C" w:rsidRDefault="006B1499" w:rsidP="006B1499">
            <w:pPr>
              <w:jc w:val="center"/>
              <w:rPr>
                <w:szCs w:val="18"/>
              </w:rPr>
            </w:pPr>
            <w:r w:rsidRPr="004F1F9C">
              <w:rPr>
                <w:szCs w:val="18"/>
              </w:rPr>
              <w:t>20</w:t>
            </w:r>
          </w:p>
        </w:tc>
      </w:tr>
      <w:tr w:rsidR="006B1499" w:rsidRPr="004F1F9C">
        <w:tc>
          <w:tcPr>
            <w:tcW w:w="1915" w:type="dxa"/>
            <w:vAlign w:val="center"/>
          </w:tcPr>
          <w:p w:rsidR="006B1499" w:rsidRPr="004F1F9C" w:rsidRDefault="006B1499" w:rsidP="006B1499">
            <w:pPr>
              <w:rPr>
                <w:szCs w:val="18"/>
              </w:rPr>
            </w:pPr>
            <w:r w:rsidRPr="004F1F9C">
              <w:rPr>
                <w:szCs w:val="18"/>
              </w:rPr>
              <w:t>Us at the moment for mobile broadband</w:t>
            </w:r>
          </w:p>
        </w:tc>
        <w:tc>
          <w:tcPr>
            <w:tcW w:w="1915" w:type="dxa"/>
            <w:vAlign w:val="center"/>
          </w:tcPr>
          <w:p w:rsidR="006B1499" w:rsidRPr="004F1F9C" w:rsidRDefault="006B1499" w:rsidP="006B1499">
            <w:pPr>
              <w:jc w:val="center"/>
              <w:rPr>
                <w:szCs w:val="18"/>
              </w:rPr>
            </w:pPr>
            <w:r w:rsidRPr="004F1F9C">
              <w:rPr>
                <w:szCs w:val="18"/>
              </w:rPr>
              <w:t>Constant $2000 per subscription</w:t>
            </w:r>
          </w:p>
        </w:tc>
        <w:tc>
          <w:tcPr>
            <w:tcW w:w="1915" w:type="dxa"/>
            <w:vAlign w:val="center"/>
          </w:tcPr>
          <w:p w:rsidR="006B1499" w:rsidRPr="004F1F9C" w:rsidRDefault="006B1499" w:rsidP="006B1499">
            <w:pPr>
              <w:jc w:val="center"/>
              <w:rPr>
                <w:szCs w:val="18"/>
              </w:rPr>
            </w:pPr>
            <w:r w:rsidRPr="004F1F9C">
              <w:rPr>
                <w:szCs w:val="18"/>
              </w:rPr>
              <w:t>400 below 5K income, rising to 800 above 10K</w:t>
            </w:r>
          </w:p>
        </w:tc>
        <w:tc>
          <w:tcPr>
            <w:tcW w:w="1915" w:type="dxa"/>
            <w:vAlign w:val="center"/>
          </w:tcPr>
          <w:p w:rsidR="006B1499" w:rsidRPr="004F1F9C" w:rsidRDefault="006B1499" w:rsidP="006B1499">
            <w:pPr>
              <w:jc w:val="center"/>
              <w:rPr>
                <w:szCs w:val="18"/>
              </w:rPr>
            </w:pPr>
          </w:p>
        </w:tc>
        <w:tc>
          <w:tcPr>
            <w:tcW w:w="1448" w:type="dxa"/>
            <w:vAlign w:val="center"/>
          </w:tcPr>
          <w:p w:rsidR="006B1499" w:rsidRPr="004F1F9C" w:rsidRDefault="006B1499" w:rsidP="006B1499">
            <w:pPr>
              <w:jc w:val="center"/>
              <w:rPr>
                <w:szCs w:val="18"/>
              </w:rPr>
            </w:pPr>
            <w:r w:rsidRPr="004F1F9C">
              <w:rPr>
                <w:szCs w:val="18"/>
              </w:rPr>
              <w:t>15</w:t>
            </w:r>
          </w:p>
        </w:tc>
      </w:tr>
      <w:tr w:rsidR="006B1499" w:rsidRPr="004F1F9C">
        <w:tc>
          <w:tcPr>
            <w:tcW w:w="9108" w:type="dxa"/>
            <w:gridSpan w:val="5"/>
          </w:tcPr>
          <w:p w:rsidR="006B1499" w:rsidRPr="004F1F9C" w:rsidRDefault="006B1499" w:rsidP="006B1499"/>
        </w:tc>
      </w:tr>
    </w:tbl>
    <w:p w:rsidR="006B1499" w:rsidRDefault="006B1499" w:rsidP="006B1499"/>
    <w:bookmarkEnd w:id="98"/>
    <w:p w:rsidR="006B1499" w:rsidRPr="004F1F9C" w:rsidRDefault="006B1499" w:rsidP="006B1499">
      <w:r w:rsidRPr="004F1F9C">
        <w:t xml:space="preserve">Along with their more detailed treatment of forecasting infrastructure demand, the World Energy Model </w:t>
      </w:r>
      <w:r w:rsidR="00F7383F" w:rsidRPr="004F1F9C">
        <w:fldChar w:fldCharType="begin"/>
      </w:r>
      <w:r>
        <w:instrText xml:space="preserve"> ADDIN ZOTERO_ITEM CSL_CITATION {"citationID":"1hljcr9o1m","properties":{"formattedCitation":"(International Energy Agency (IEA) 2010)","plainCitation":"(International Energy Agency (IEA) 2010)"},"citationItems":[{"id":253,"uris":["http://zotero.org/groups/4482/items/6CNSWTEK"],"uri":["http://zotero.org/groups/4482/items/6CNSWTEK"],"itemData":{"id":253,"type":"report","title":"World Energy Model - Methodology and Assumptions","publisher":"Organisation for Economic Cooperation and Development (OECD) and International Energy Agency (IEA)","publisher-place":"Paris","event-place":"Paris","URL":"http://www.iea.org/weo/docs/weo2010/World_Energy_Model.pdf","author":[{"family":"International Energy Agency (IEA)","given":""}],"issued":{"year":2010}}}],"schema":"https://github.com/citation-style-language/schema/raw/master/csl-citation.json"} </w:instrText>
      </w:r>
      <w:r w:rsidR="00F7383F" w:rsidRPr="004F1F9C">
        <w:fldChar w:fldCharType="separate"/>
      </w:r>
      <w:r w:rsidRPr="004F1F9C">
        <w:t>(International Energy Agency (IEA) 2010)</w:t>
      </w:r>
      <w:r w:rsidR="00F7383F" w:rsidRPr="004F1F9C">
        <w:fldChar w:fldCharType="end"/>
      </w:r>
      <w:r w:rsidRPr="004F1F9C">
        <w:t xml:space="preserve"> and other models of a similar nature also tend to use more detailed approaches to estimating the costs of meeting this demand. Such approaches involve, among other things, using estimates of capital and maintenance costs for specific technologies, which may differ across regions. Furthermore, in some of these models the unit costs change over time due to assumptions about learning and technological innovation.</w:t>
      </w:r>
    </w:p>
    <w:p w:rsidR="006B1499" w:rsidRPr="004F1F9C" w:rsidRDefault="006B1499" w:rsidP="00877E30">
      <w:pPr>
        <w:pStyle w:val="Heading3"/>
        <w:numPr>
          <w:ilvl w:val="2"/>
          <w:numId w:val="32"/>
        </w:numPr>
      </w:pPr>
      <w:bookmarkStart w:id="105" w:name="_Toc326061513"/>
      <w:bookmarkStart w:id="106" w:name="_Toc200095295"/>
      <w:r w:rsidRPr="004F1F9C">
        <w:t>Forecasting the socioeconomic and environmental effects of infrastructure as a function of the level of infrastructure</w:t>
      </w:r>
      <w:bookmarkEnd w:id="105"/>
      <w:bookmarkEnd w:id="106"/>
    </w:p>
    <w:p w:rsidR="004C4744" w:rsidRDefault="006B1499" w:rsidP="006B1499">
      <w:r w:rsidRPr="004F1F9C">
        <w:t>In Chapter 3, we discussed the potential socioeconomic and environmental effects of infrastructure and reviewed much of the empirical evidence. For the most part, however, this knowledge has not been used for forecasting purposes (Calderon can be cited here as an example). A few exceptions are described here.</w:t>
      </w:r>
    </w:p>
    <w:p w:rsidR="006B1499" w:rsidRPr="004F1F9C" w:rsidRDefault="006B1499" w:rsidP="006B1499"/>
    <w:p w:rsidR="004C4744" w:rsidRDefault="006B1499" w:rsidP="006B1499">
      <w:r w:rsidRPr="004F1F9C">
        <w:t xml:space="preserve">In the MAMS model </w:t>
      </w:r>
      <w:r w:rsidR="00F7383F" w:rsidRPr="00F7383F">
        <w:fldChar w:fldCharType="begin"/>
      </w:r>
      <w:r>
        <w:instrText xml:space="preserve"> ADDIN ZOTERO_ITEM CSL_CITATION {"citationID":"u4t0r0i4","properties":{"formattedCitation":"(Lofgren and Diaz-Bonilla 2010)","plainCitation":"(Lofgren and Diaz-Bonilla 2010)"},"citationItems":[{"id":1471,"uris":["http://zotero.org/groups/4482/items/MSTGJTAQ"],"uri":["http://zotero.org/groups/4482/items/MSTGJTAQ"],"itemData":{"id":1471,"type":"chapter","title":"MAMS: An Economy-Wide Model for Analysis of MDG Country Strategies–an Application to Latin America and the Caribbean","container-title":"Public Policies for Human Development: Achieving the Millennium Development Goals in Latin America","publisher":"Palgrave Macmillan","publisher-place":"Basingstoke, UK","page":"71-126","event-place":"Basingstoke, UK","ISBN":"978-0230247765","call-number":"0000","author":[{"family":"Lofgren","given":"Hans"},{"family":"Diaz-Bonilla","given":"Carolina"}],"editor":[{"family":"Sánchez","given":"Marco"},{"family":"Vos","given":"Rob"},{"family":"Ganuza","given":"Enrique"},{"family":"Lofgren","given":"Hans"},{"family":"Díaz-Bonilla","given":"Carolina"}],"issued":{"year":2010},"page-first":"71"}}],"schema":"https://github.com/citation-style-language/schema/raw/master/csl-citation.json"} </w:instrText>
      </w:r>
      <w:r w:rsidR="00F7383F" w:rsidRPr="00F7383F">
        <w:fldChar w:fldCharType="separate"/>
      </w:r>
      <w:r w:rsidRPr="004F1F9C">
        <w:rPr>
          <w:rFonts w:cs="Calibri"/>
        </w:rPr>
        <w:t>(Lofgren and Diaz-Bonilla 2010)</w:t>
      </w:r>
      <w:r w:rsidR="00F7383F" w:rsidRPr="004F1F9C">
        <w:rPr>
          <w:rFonts w:cs="Calibri"/>
        </w:rPr>
        <w:fldChar w:fldCharType="end"/>
      </w:r>
      <w:r w:rsidRPr="004F1F9C">
        <w:t xml:space="preserve">, public infrastructure is one of the determinants in achieving the Millennium Development Goals, specifically the maternal mortality, under-five mortality, and primary education goals, which in turn affect economic development via their effect on the size and makeup of the labor force. In the model developed by Kohli and Basil </w:t>
      </w:r>
      <w:r w:rsidR="00F7383F" w:rsidRPr="00F7383F">
        <w:fldChar w:fldCharType="begin"/>
      </w:r>
      <w:r>
        <w:instrText xml:space="preserve"> ADDIN ZOTERO_ITEM CSL_CITATION {"citationID":"1achs7h1s7","properties":{"formattedCitation":"(2011)","plainCitation":"(2011)"},"citationItems":[{"id":1157,"uris":["http://zotero.org/groups/4482/items/PNQFGAHH"],"uri":["http://zotero.org/groups/4482/items/PNQFGAHH"],"itemData":{"id":1157,"type":"article-journal","title":"Requirements for Infrastructure Investment in Latin America Under Alternate Growth Scenarios","container-title":"Global Journal of Emerging Market Economies","page":"59 -110","volume":"3","issue":"1","abstract":"This study estimates requirements for infrastructure investment in 21 Latin American countries for the period 2011–2040 using a structural equation model. Needs total about 4 percent of GDP. Projections are provided for both a high-growth convergence scenario and a low-growth business-as-usual scenario. These costs represent minimum investments necessary to support expected economic growth. Costs are presented separately and in total for new-capacity investment and maintenance for 10 sectors: airports, electricity, fixed broadband, landlines, mobile telephony, ports, rail, paved roads, sanitation, and water. Country coverage comprises Argentina, Belize, Bolivia, Brazil, Chile, Colombia, Costa Rica, Dominican Republic, Ecuador, El Salvador, Guatemala, Guyana, Honduras, Mexico, Nicaragua, Panama, Paraguay, Peru, Suriname, Uruguay, and Venezuela. The model differs from past studies of regionwide long-term infrastructure investment needs in five features: (1) It considers alternate GDP growth scenarios; (2) It employs a structural equation model using instrumental variables to provide unbiased, consistent projections for both GDP growth scenarios (Instrumented variables are urbanization and the shares in GDP of agriculture, manufacturing, and services); (3) Mobile phone investment costs are not constant but instead vary with population density; (4) Two additional, wealthier countries are included in modeling to prevent forecasting outside the range of the independent variables’ values used to construct the model, and; (5) Timing of new-capacity investments is distributed over multiple years and varies by sector.","DOI":"10.1177/097491011000300103","call-number":"0002","author":[{"family":"Kohli","given":"Harpaul Alberto"},{"family":"Basil","given":"Phillip"}],"issued":{"year":2011},"accessed":{"year":2011,"month":7,"day":29},"page-first":"59"},"suppress-author":true}],"schema":"https://github.com/citation-style-language/schema/raw/master/csl-citation.json"} </w:instrText>
      </w:r>
      <w:r w:rsidR="00F7383F" w:rsidRPr="00F7383F">
        <w:fldChar w:fldCharType="separate"/>
      </w:r>
      <w:r w:rsidRPr="004F1F9C">
        <w:rPr>
          <w:rFonts w:cs="Calibri"/>
        </w:rPr>
        <w:t>(2011)</w:t>
      </w:r>
      <w:r w:rsidR="00F7383F" w:rsidRPr="004F1F9C">
        <w:rPr>
          <w:rFonts w:cs="Calibri"/>
        </w:rPr>
        <w:fldChar w:fldCharType="end"/>
      </w:r>
      <w:r w:rsidRPr="004F1F9C">
        <w:t>, the level of infrastructure affects the sectoral breakdown of economic growth, but not the overall level.</w:t>
      </w:r>
    </w:p>
    <w:p w:rsidR="006B1499" w:rsidRPr="004F1F9C" w:rsidRDefault="006B1499" w:rsidP="006B1499"/>
    <w:p w:rsidR="004C4744" w:rsidRDefault="006B1499" w:rsidP="006B1499">
      <w:r w:rsidRPr="004F1F9C">
        <w:t>Turning to impacts on biodiversity, the Global Methodology for Mapping Human Impacts on the Biosphere (GLOBIO) framework, introduced in Chapter 3, has been used to calculate the impact of linear infrastructure</w:t>
      </w:r>
      <w:r w:rsidRPr="004F1F9C">
        <w:rPr>
          <w:rStyle w:val="FootnoteReference"/>
        </w:rPr>
        <w:footnoteReference w:id="60"/>
      </w:r>
      <w:r w:rsidRPr="004F1F9C">
        <w:t xml:space="preserve"> and four other drivers—land use change (agriculture and forestry), nitrogen deposition, fragmentation, and climate change—on terrestrial biodiversity </w:t>
      </w:r>
      <w:r w:rsidR="00F7383F" w:rsidRPr="004F1F9C">
        <w:fldChar w:fldCharType="begin"/>
      </w:r>
      <w:r>
        <w:instrText xml:space="preserve"> ADDIN ZOTERO_ITEM CSL_CITATION {"citationID":"uHxTSbJM","properties":{"formattedCitation":"(Alkemade et al. 2009)","plainCitation":"(Alkemade et al. 2009)"},"citationItems":[{"id":1643,"uris":["http://zotero.org/users/45648/items/S8TXNGZK","http://zotero.org/groups/4482/items/WNM77WI7"],"uri":["http://zotero.org/users/45648/items/S8TXNGZK","http://zotero.org/groups/4482/items/WNM77WI7"],"itemData":{"id":1643,"type":"article-journal","title":"GLOBIO3: A Framework to Investigate Options for Reducing Global Terrestrial Biodiversity Loss","container-title":"Ecosystems","page":"374-390","volume":"12","issue":"3","DOI":"10.1007/s10021-009-9229-5","shortTitle":"GLOBIO3","journalAbbreviation":"Ecosystems","author":[{"family":"Alkemade","given":"Rob"},{"family":"Oorschot","given":"Mark"},{"family":"Miles","given":"Lera"},{"family":"Nellemann","given":"Christian"},{"family":"Bakkenes","given":"Michel"},{"family":"ten Brink","given":"Ben"}],"issued":{"year":2009},"accessed":{"year":2010,"month":6,"day":20},"page-first":"374"}}],"schema":"https://github.com/citation-style-language/schema/raw/master/csl-citation.json"} </w:instrText>
      </w:r>
      <w:r w:rsidR="00F7383F" w:rsidRPr="004F1F9C">
        <w:fldChar w:fldCharType="separate"/>
      </w:r>
      <w:r w:rsidRPr="004F1F9C">
        <w:rPr>
          <w:rFonts w:cs="Calibri"/>
        </w:rPr>
        <w:t>(Alkemade et al. 2009)</w:t>
      </w:r>
      <w:r w:rsidR="00F7383F" w:rsidRPr="004F1F9C">
        <w:fldChar w:fldCharType="end"/>
      </w:r>
      <w:r w:rsidRPr="004F1F9C">
        <w:t xml:space="preserve">. The meta-analysis presented in Benítez-Lopéz, Alkemade, and Verweij </w:t>
      </w:r>
      <w:r w:rsidR="00F7383F" w:rsidRPr="00F7383F">
        <w:fldChar w:fldCharType="begin"/>
      </w:r>
      <w:r>
        <w:instrText xml:space="preserve"> ADDIN ZOTERO_ITEM CSL_CITATION {"citationID":"Iz4zDsVT","properties":{"formattedCitation":"(2010)","plainCitation":"(2010)"},"citationItems":[{"id":350,"uris":["http://zotero.org/groups/4482/items/BU98BRC4"],"uri":["http://zotero.org/groups/4482/items/BU98BRC4"],"itemData":{"id":350,"type":"article-journal","title":"The Impacts of Roads and Other Infrastructure on Mammal and Bird Populations: A Meta-Analysis","container-title":"Biological Conservation","page":"1307-1316","volume":"143","issue":"6","abstract":"Biodiversity is being lost at an increased rate as a result of human activities. One of the major threats to biodiversity is infrastructural development. We used meta-analyses to study the effects of infrastructure proximity on mammal and bird populations. Data were gathered from 49 studies on 234 mammal and bird species. The main response by mammals and birds in the vicinity of infrastructure was either avoidance or a reduced population density. The mean species abundance, relative to non-disturbed distances (MSA), was used as the effect size measure. The impact of infrastructure distance on MSA was studied using meta-analyses. Possible sources of heterogeneity in the results of the meta-analysis were explored with meta-regression.\nMammal and bird population densities declined with their proximity to infrastructure. The effect of infrastructure on bird populations extended over distances up to about 1 km, and for mammal populations up to about 5 km. Mammals and birds seemed to avoid infrastructure in open areas over larger distances compared to forested areas, which could be related to the reduced visibility of the infrastructure in forested areas. We did not find a significant effect of traffic intensity on the MSA of birds. Species varied in their response to infrastructure. Raptors were found to be more abundant in the proximity of infrastructure whereas other bird taxa tended to avoid it. Abundances were affected at variable distances from infrastructure: within a few meters for small-sized mammals and up to several hundred meters for large-sized mammals.\nOur findings show the importance of minimizing infrastructure development for wildlife conservation in relatively undisturbed areas. By combining actual species distributions with the effect distance functions we developed, regions sensitive to infrastructure development may be identified. Additionally, the effect distance functions can be used in models in support of decision making on infrastructure planning.","DOI":"10.1016/j.biocon.2010.02.009","shortTitle":"The Impacts of Roads and Other Infrastructure on Mammal and Bird Populations","author":[{"family":"Benítez-López","given":"Ana"},{"family":"Alkemade","given":"Rob"},{"family":"Verweij","given":"Pita A."}],"issued":{"year":2010},"accessed":{"year":2010,"month":6,"day":19},"page-first":"1307"},"suppress-author":true}],"schema":"https://github.com/citation-style-language/schema/raw/master/csl-citation.json"} </w:instrText>
      </w:r>
      <w:r w:rsidR="00F7383F" w:rsidRPr="00F7383F">
        <w:fldChar w:fldCharType="separate"/>
      </w:r>
      <w:r w:rsidRPr="004F1F9C">
        <w:rPr>
          <w:rFonts w:cs="Calibri"/>
        </w:rPr>
        <w:t>(2010)</w:t>
      </w:r>
      <w:r w:rsidR="00F7383F" w:rsidRPr="004F1F9C">
        <w:rPr>
          <w:rFonts w:cs="Calibri"/>
        </w:rPr>
        <w:fldChar w:fldCharType="end"/>
      </w:r>
      <w:r w:rsidRPr="004F1F9C">
        <w:t xml:space="preserve"> also was used to estimate cause-effect relationships between infrastructure and species abundance. These were then applied in a Geographic Information Systems framework to forecast the impact of future changes in infrastructure, either alone or in conjunction with other drivers of species loss.</w:t>
      </w:r>
    </w:p>
    <w:p w:rsidR="006B1499" w:rsidRPr="004F1F9C" w:rsidRDefault="006B1499" w:rsidP="006B1499"/>
    <w:p w:rsidR="004C4744" w:rsidRDefault="006B1499" w:rsidP="006B1499">
      <w:r w:rsidRPr="004F1F9C">
        <w:t xml:space="preserve">In a more indirect sense, a number of models do include forward links to things such as pollutant emissions. The World Energy Model </w:t>
      </w:r>
      <w:r w:rsidR="00F7383F" w:rsidRPr="004F1F9C">
        <w:fldChar w:fldCharType="begin"/>
      </w:r>
      <w:r>
        <w:instrText xml:space="preserve"> ADDIN ZOTERO_ITEM CSL_CITATION {"citationID":"28390lg0t3","properties":{"formattedCitation":"(International Energy Agency (IEA) 2010; Cofala et al. 2010)","plainCitation":"(International Energy Agency (IEA) 2010; Cofala et al. 2010)"},"citationItems":[{"id":253,"uris":["http://zotero.org/groups/4482/items/6CNSWTEK"],"uri":["http://zotero.org/groups/4482/items/6CNSWTEK"],"itemData":{"id":253,"type":"report","title":"World Energy Model - Methodology and Assumptions","publisher":"Organisation for Economic Cooperation and Development (OECD) and International Energy Agency (IEA)","publisher-place":"Paris","event-place":"Paris","URL":"http://www.iea.org/weo/docs/weo2010/World_Energy_Model.pdf","author":[{"family":"International Energy Agency (IEA)","given":""}],"issued":{"year":2010}},"label":"page"},{"id":505,"uris":["http://zotero.org/groups/4482/items/HGMXSHKR"],"uri":["http://zotero.org/groups/4482/items/HGMXSHKR"],"itemData":{"id":505,"type":"manuscript","title":"Emissions of Air Pollutants for the World Energy Outlook 2010 Energy Scenarios","publisher-place":"Laxenburg, Austria","genre":"Final Report Submitted to the International Energy Agency","event-place":"Laxenburg, Austria","call-number":"0000","note":"International Institute for Applied Systems Analysis","author":[{"family":"Cofala","given":"Janusz"},{"family":"Rafaj","given":"Peter"},{"family":"Schöpp","given":"Wolfgang"},{"family":"Klimont","given":"Zbigniew"},{"family":"Borken-Kleefeld","given":"Jens"},{"family":"Amann","given":"Markus"}],"issued":{"year":2010}},"label":"page"}],"schema":"https://github.com/citation-style-language/schema/raw/master/csl-citation.json"} </w:instrText>
      </w:r>
      <w:r w:rsidR="00F7383F" w:rsidRPr="004F1F9C">
        <w:fldChar w:fldCharType="separate"/>
      </w:r>
      <w:r w:rsidRPr="004F1F9C">
        <w:rPr>
          <w:rFonts w:cs="Calibri"/>
        </w:rPr>
        <w:t>(International Energy Agency (IEA) 2010; Cofala et al. 2010)</w:t>
      </w:r>
      <w:r w:rsidR="00F7383F" w:rsidRPr="004F1F9C">
        <w:fldChar w:fldCharType="end"/>
      </w:r>
      <w:r w:rsidRPr="004F1F9C">
        <w:t>, for example, forecasts emissions of carbon dioxide, sulfur dioxide, nitrogen oxides, and particulate matter from electricity generating plants. These are calculated by multiplying forecasted activity levels by forecasted emission factors, which vary by type of electricity generating unit, the fuels used, and environmental controls implemented.</w:t>
      </w:r>
    </w:p>
    <w:p w:rsidR="006B1499" w:rsidRPr="004F1F9C" w:rsidRDefault="006B1499" w:rsidP="006B1499"/>
    <w:p w:rsidR="004C4744" w:rsidRDefault="006B1499" w:rsidP="006B1499">
      <w:r w:rsidRPr="004F1F9C">
        <w:t xml:space="preserve">In earlier versions of the IFs model, there were a number of ways in which some socioeconomic and environmental effects of infrastructure were forecasted. For example, physical capital, in part a function of telephone lines, roads, ICT usage, and electricity use, was (and remains) one of the factors determining changes in multifactor productivity over time </w:t>
      </w:r>
      <w:r w:rsidR="00F7383F" w:rsidRPr="004F1F9C">
        <w:fldChar w:fldCharType="begin"/>
      </w:r>
      <w:r>
        <w:instrText xml:space="preserve"> ADDIN ZOTERO_ITEM CSL_CITATION {"citationID":"1mkg3p4tun","properties":{"formattedCitation":"(Barry B. Hughes and Hillebrand 2006)","plainCitation":"(Barry B. Hughes and Hillebrand 2006)"},"citationItems":[{"id":806,"uris":["http://zotero.org/groups/4482/items/SVCTDQMN"],"uri":["http://zotero.org/groups/4482/items/SVCTDQMN"],"itemData":{"id":806,"type":"book","title":"Exploring and Shaping International Futures","publisher":"Paradigm Publishing","publisher-place":"Boulder, CO","event-place":"Boulder, CO","ISBN":"1594512329","author":[{"family":"Hughes","given":"Barry B."},{"family":"Hillebrand","given":"Evan E."}],"issued":{"year":2006},"accessed":{"year":2009,"month":12,"day":5}}}],"schema":"https://github.com/citation-style-language/schema/raw/master/csl-citation.json"} </w:instrText>
      </w:r>
      <w:r w:rsidR="00F7383F" w:rsidRPr="004F1F9C">
        <w:fldChar w:fldCharType="separate"/>
      </w:r>
      <w:r w:rsidRPr="004F1F9C">
        <w:rPr>
          <w:rFonts w:cs="Calibri"/>
        </w:rPr>
        <w:t>(Hughes and Hillebrand 2006)</w:t>
      </w:r>
      <w:r w:rsidR="00F7383F" w:rsidRPr="004F1F9C">
        <w:fldChar w:fldCharType="end"/>
      </w:r>
      <w:r w:rsidRPr="004F1F9C">
        <w:t xml:space="preserve">. For a previous volume in this series, </w:t>
      </w:r>
      <w:r w:rsidRPr="004F1F9C">
        <w:rPr>
          <w:i/>
        </w:rPr>
        <w:t>Improving Global Health</w:t>
      </w:r>
      <w:r w:rsidRPr="004F1F9C">
        <w:t xml:space="preserve"> </w:t>
      </w:r>
      <w:r w:rsidR="00F7383F" w:rsidRPr="004F1F9C">
        <w:fldChar w:fldCharType="begin"/>
      </w:r>
      <w:r>
        <w:instrText xml:space="preserve"> ADDIN ZOTERO_ITEM CSL_CITATION {"citationID":"76nac0n3","properties":{"formattedCitation":"(Barry B. Hughes et al. 2011)","plainCitation":"(Barry B. Hughes et al. 2011)","dontUpdate":true},"citationItems":[{"id":680,"uris":["http://zotero.org/groups/4482/items/XWXBHFP5"],"uri":["http://zotero.org/groups/4482/items/XWXBHFP5"],"itemData":{"id":680,"type":"book","title":"Improving Global Health","collection-title":"Vol. 3 of the Patterns of Potential Human Progress series","publisher":"Paradigm Publishers and Oxford University Press","publisher-place":"Boulder, CO, and New Delhi, India","event-place":"Boulder, CO, and New Delhi, India","author":[{"family":"Hughes","given":"Barry B."},{"family":"Kuhn","given":"Randall"},{"family":"Peterson","given":"Cecilia"},{"family":"Rothman","given":"Dale S."},{"family":"Solórzano","given":"José Roberto"},{"family":"Dickson","given":"Janet R."}],"issued":{"year":2011}}}],"schema":"https://github.com/citation-style-language/schema/raw/master/csl-citation.json"} </w:instrText>
      </w:r>
      <w:r w:rsidR="00F7383F" w:rsidRPr="004F1F9C">
        <w:fldChar w:fldCharType="separate"/>
      </w:r>
      <w:r w:rsidRPr="004F1F9C">
        <w:rPr>
          <w:rFonts w:cs="Calibri"/>
        </w:rPr>
        <w:t>(Hughes et al. 2011)</w:t>
      </w:r>
      <w:r w:rsidR="00F7383F" w:rsidRPr="004F1F9C">
        <w:fldChar w:fldCharType="end"/>
      </w:r>
      <w:r w:rsidRPr="004F1F9C">
        <w:t>, we added direct links from solid fuel use in the home and from access to improved water and sanitation to morbidity and mortality from specific diseases to the IFs model. Vehicle ownership also influenced morbidity and mortality from traffic accidents, but there was (and is) no link between vehicle ownership and infrastructure. We had earlier also introduced forward links from ICTs to overall energy efficiency and the relative costs of renewable energy. And, given the multiple models in the IFs system (see again Figure 4.2) the linkages of infrastructure to variables such as productivity created many indirect linkages to other socioeconomic and environmental variables. The details of how these forward linkages from infrastructure have been modeled in earlier work with IFs, and how they have been updated for this volume, are described later in this chapter.</w:t>
      </w:r>
    </w:p>
    <w:p w:rsidR="006B1499" w:rsidRPr="004F1F9C" w:rsidRDefault="006B1499" w:rsidP="006B1499"/>
    <w:p w:rsidR="006B1499" w:rsidRPr="004F1F9C" w:rsidRDefault="004C4744" w:rsidP="00877E30">
      <w:pPr>
        <w:pStyle w:val="Heading2"/>
        <w:numPr>
          <w:ilvl w:val="1"/>
          <w:numId w:val="32"/>
        </w:numPr>
      </w:pPr>
      <w:bookmarkStart w:id="107" w:name="_Toc326061514"/>
      <w:r>
        <w:t xml:space="preserve"> </w:t>
      </w:r>
      <w:bookmarkStart w:id="108" w:name="_Toc200095296"/>
      <w:r w:rsidR="006B1499" w:rsidRPr="004F1F9C">
        <w:t>What We Do</w:t>
      </w:r>
      <w:bookmarkEnd w:id="107"/>
      <w:bookmarkEnd w:id="108"/>
    </w:p>
    <w:p w:rsidR="006B1499" w:rsidRPr="004F1F9C" w:rsidRDefault="006B1499" w:rsidP="006B1499">
      <w:r w:rsidRPr="004F1F9C">
        <w:t>Figure 4.1 laid out a conceptual framework for a dynamic, integrated, infrastructure-modeling system. The efforts of others described above offer prototypes of many of the building blocks for such a system, but to our knowledge, no one has previously constructed a forecasting tool able to represent all or even most of the elements that make up the entire framework.</w:t>
      </w:r>
    </w:p>
    <w:p w:rsidR="0029638B" w:rsidRDefault="006B1499" w:rsidP="006B1499">
      <w:r w:rsidRPr="004F1F9C">
        <w:t>In our effort to do that, the model moves through the following sequence each year:</w:t>
      </w:r>
    </w:p>
    <w:p w:rsidR="006B1499" w:rsidRPr="004F1F9C" w:rsidRDefault="006B1499" w:rsidP="006B1499"/>
    <w:p w:rsidR="006B1499" w:rsidRPr="004F1F9C" w:rsidRDefault="006B1499" w:rsidP="006B1499">
      <w:pPr>
        <w:pStyle w:val="ListParagraph"/>
        <w:numPr>
          <w:ilvl w:val="0"/>
          <w:numId w:val="23"/>
        </w:numPr>
        <w:spacing w:after="200"/>
      </w:pPr>
      <w:r w:rsidRPr="004F1F9C">
        <w:t>Forecast the demand for physical infrastructure</w:t>
      </w:r>
    </w:p>
    <w:p w:rsidR="006B1499" w:rsidRPr="004F1F9C" w:rsidRDefault="006B1499" w:rsidP="006B1499">
      <w:pPr>
        <w:pStyle w:val="ListParagraph"/>
        <w:numPr>
          <w:ilvl w:val="0"/>
          <w:numId w:val="23"/>
        </w:numPr>
        <w:spacing w:after="200"/>
      </w:pPr>
      <w:r w:rsidRPr="004F1F9C">
        <w:t>Translate the demand for physical infrastructure into financial demand</w:t>
      </w:r>
    </w:p>
    <w:p w:rsidR="006B1499" w:rsidRPr="004F1F9C" w:rsidRDefault="006B1499" w:rsidP="006B1499">
      <w:pPr>
        <w:pStyle w:val="ListParagraph"/>
        <w:numPr>
          <w:ilvl w:val="0"/>
          <w:numId w:val="23"/>
        </w:numPr>
        <w:spacing w:after="200"/>
      </w:pPr>
      <w:r w:rsidRPr="004F1F9C">
        <w:t>Balance the financial demand with available resources</w:t>
      </w:r>
    </w:p>
    <w:p w:rsidR="006B1499" w:rsidRPr="004F1F9C" w:rsidRDefault="006B1499" w:rsidP="006B1499">
      <w:pPr>
        <w:pStyle w:val="ListParagraph"/>
        <w:numPr>
          <w:ilvl w:val="0"/>
          <w:numId w:val="23"/>
        </w:numPr>
        <w:spacing w:after="200"/>
      </w:pPr>
      <w:r w:rsidRPr="004F1F9C">
        <w:t>Determine the actual levels of infrastructure attained</w:t>
      </w:r>
    </w:p>
    <w:p w:rsidR="006B1499" w:rsidRPr="004F1F9C" w:rsidRDefault="006B1499" w:rsidP="006B1499">
      <w:pPr>
        <w:pStyle w:val="ListParagraph"/>
        <w:numPr>
          <w:ilvl w:val="0"/>
          <w:numId w:val="23"/>
        </w:numPr>
        <w:spacing w:after="200"/>
      </w:pPr>
      <w:r w:rsidRPr="004F1F9C">
        <w:t>Estimate the social, economic, and environmental impacts of infrastructure</w:t>
      </w:r>
    </w:p>
    <w:p w:rsidR="006B1499" w:rsidRPr="004F1F9C" w:rsidRDefault="006B1499" w:rsidP="006B1499">
      <w:r w:rsidRPr="004F1F9C">
        <w:t>In the remainder of this section, we describe each of these five steps.</w:t>
      </w:r>
      <w:r w:rsidRPr="004F1F9C">
        <w:rPr>
          <w:rStyle w:val="FootnoteReference"/>
        </w:rPr>
        <w:footnoteReference w:id="61"/>
      </w:r>
      <w:r w:rsidRPr="004F1F9C">
        <w:t xml:space="preserve"> The final step in the framework, feeding back the social, economic, and environmental impacts into the demand for infrastructure and availability of financial resources in future years, takes place in other models of IFs and is described in the broader documentation of the system.</w:t>
      </w:r>
    </w:p>
    <w:p w:rsidR="004C4744" w:rsidRDefault="006B1499" w:rsidP="006B1499">
      <w:r w:rsidRPr="004F1F9C">
        <w:t>All of what we do at both physical and financial levels, however, is based on data insofar as possible.</w:t>
      </w:r>
      <w:r>
        <w:t xml:space="preserve"> </w:t>
      </w:r>
      <w:r w:rsidRPr="004F1F9C">
        <w:t>Chapter 2 reviewed the problems associated with infrastructure data, including both the absence of a single that devotes attention to it and centralizes data for it and the relative poverty of historical infrastructure data.</w:t>
      </w:r>
      <w:r>
        <w:t xml:space="preserve"> </w:t>
      </w:r>
      <w:r w:rsidRPr="004F1F9C">
        <w:t>This chapter has already described our extensive review of unit cost data. Box 4.1 describes the country-specific database for physical infrastructure and spending on it that we put together for this volume and that is now available for all users of IFs (certainly one of the most comprehensive available).</w:t>
      </w:r>
    </w:p>
    <w:p w:rsidR="006B1499" w:rsidRPr="004F1F9C" w:rsidRDefault="006B1499" w:rsidP="006B1499"/>
    <w:p w:rsidR="006B1499" w:rsidRPr="004F1F9C" w:rsidRDefault="006B1499" w:rsidP="006B1499">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4F1F9C">
        <w:rPr>
          <w:b/>
        </w:rPr>
        <w:t>B</w:t>
      </w:r>
      <w:r>
        <w:rPr>
          <w:b/>
        </w:rPr>
        <w:t>ox</w:t>
      </w:r>
      <w:r w:rsidRPr="004F1F9C">
        <w:rPr>
          <w:b/>
        </w:rPr>
        <w:t xml:space="preserve"> 4.1 Building an </w:t>
      </w:r>
      <w:r>
        <w:rPr>
          <w:b/>
        </w:rPr>
        <w:t>i</w:t>
      </w:r>
      <w:r w:rsidRPr="004F1F9C">
        <w:rPr>
          <w:b/>
        </w:rPr>
        <w:t xml:space="preserve">nfrastructure </w:t>
      </w:r>
      <w:r>
        <w:rPr>
          <w:b/>
        </w:rPr>
        <w:t>d</w:t>
      </w:r>
      <w:r w:rsidRPr="004F1F9C">
        <w:rPr>
          <w:b/>
        </w:rPr>
        <w:t>atabase for IFs</w:t>
      </w:r>
    </w:p>
    <w:p w:rsidR="006B1499" w:rsidRPr="004F1F9C" w:rsidRDefault="006B1499" w:rsidP="006B1499">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4F1F9C">
        <w:t>The absence of a single comprehensive source for historical infrastructure data required us to draw on the databases, reports, and papers of nearly a dozen international governmental and nongovernmental organizations: the International Energy Agency, the International Telecommunication Union, the World Bank, the World Health Organisation, the International Road Federation, the Food and Agriculture Organisation, the United Nations Environmental Programme, the Organisation for Economic Cooperation and Development, and the International Monetary Fund. From these disparate sources we assembled a set of 23 core data series for physical infrastructure and 3 series on infrastructure spending (used to initialize key forecast variables in the model). We have also assembled more than 500 supporting infrastructure data series to further enhance analysis with the IFs model.</w:t>
      </w:r>
      <w:r w:rsidRPr="004F1F9C">
        <w:rPr>
          <w:rStyle w:val="FootnoteReference"/>
        </w:rPr>
        <w:footnoteReference w:id="62"/>
      </w:r>
      <w:r w:rsidRPr="004F1F9C">
        <w:t xml:space="preserve"> </w:t>
      </w:r>
    </w:p>
    <w:p w:rsidR="006B1499" w:rsidRPr="004F1F9C" w:rsidRDefault="006B1499" w:rsidP="006B1499">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6B1499" w:rsidRPr="004F1F9C" w:rsidRDefault="006B1499" w:rsidP="006B1499">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4F1F9C">
        <w:t>For transportation, we draw especially on three main series of physical indicators: total road length in kilometers, paved road length in kilometers, and the percent of total roads that are paved. These data sets cover an average of 173 countries with 55 percent data availability,</w:t>
      </w:r>
      <w:r w:rsidRPr="004F1F9C">
        <w:rPr>
          <w:rStyle w:val="FootnoteReference"/>
        </w:rPr>
        <w:footnoteReference w:id="63"/>
      </w:r>
      <w:r w:rsidRPr="004F1F9C">
        <w:t xml:space="preserve"> with temporal coverage ranging from 19 years (paved) to 49 years (total).</w:t>
      </w:r>
      <w:r>
        <w:rPr>
          <w:rStyle w:val="FootnoteReference"/>
        </w:rPr>
        <w:footnoteReference w:id="64"/>
      </w:r>
      <w:r w:rsidRPr="004F1F9C">
        <w:t xml:space="preserve"> We also include data from the World Bank’s Rural Access Index, which provides data on rural road accessibility for 169 countries from 1993 to 2004.</w:t>
      </w:r>
    </w:p>
    <w:p w:rsidR="006B1499" w:rsidRPr="004F1F9C" w:rsidRDefault="006B1499" w:rsidP="006B1499">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6B1499" w:rsidRPr="004F1F9C" w:rsidRDefault="006B1499" w:rsidP="006B1499">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4F1F9C">
        <w:t xml:space="preserve">For electricity, we use two main data series: total installed generating capacity in kilowatts and the percentage of population with access to electricity. For total generating capacity, we have data for 181 countries with 92 percent availability for 30 years. For the percentage of population with access we have data for 126 countries with 26 percent coverage over 8 years. </w:t>
      </w:r>
    </w:p>
    <w:p w:rsidR="006B1499" w:rsidRPr="004F1F9C" w:rsidRDefault="006B1499" w:rsidP="006B1499">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6B1499" w:rsidRPr="004F1F9C" w:rsidRDefault="006B1499" w:rsidP="006B1499">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4F1F9C">
        <w:t>For water and sanitation, we use fourteen main data series, covering water supply (from none to household connection) broken down by rural, urban, and total populations, sanitation (from open defecation to household connection) for rural, urban, and total populations, irrigation (total land area equipped for irrigation, land with potential for irrigation) and wastewater (the percent of the population connected to wastewater collection, and the percent of the population connected to wastewater treatment). The water and sanitation data sets cover an average of 176 countries with 91 percent availability for 20 years. The irrigation data covers an average of 143 countries with 64 percent data availability, with temporal coverage of 49 years. The wastewater series has data for 78 countries with 21 percent availability for 20 years.</w:t>
      </w:r>
    </w:p>
    <w:p w:rsidR="006B1499" w:rsidRPr="004F1F9C" w:rsidRDefault="006B1499" w:rsidP="006B1499">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6B1499" w:rsidRPr="004F1F9C" w:rsidRDefault="006B1499" w:rsidP="006B1499">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4F1F9C">
        <w:t>For ICT, we use four main data series: fixed telephone lines per 100 persons, mobile phones per 100 persons, fixed broadband subscriptions per 100 persons, and mobile broadband subscribers per 100 persons. These four series cover an average of 182 countries with 82 percent data availability, with temporal coverage ranging from 12 to 39 years (depending on when each technology was developed).</w:t>
      </w:r>
    </w:p>
    <w:p w:rsidR="006B1499" w:rsidRPr="004F1F9C" w:rsidRDefault="006B1499" w:rsidP="006B1499">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6B1499" w:rsidRPr="004F1F9C" w:rsidRDefault="006B1499" w:rsidP="006B1499">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4F1F9C">
        <w:t xml:space="preserve">For infrastructure spending, data are much sparser. We gathered data from the OECD’s Structural Analysis Database (STAN), the African Country Infrastructure Diagnostic (AICD), the World Bank WDI and Private Participation in Infrastructure database (PPI), the IMF’s Government Finance Statistics Yearbook, National Accounts, and numerous individual reports. From these sources we constructed three main data series: total infrastructure investment (public and private) as a percent of GDP, private infrastructure investment as a percent of GDP by infrastructure type, and public spending on infrastructure by type of infrastructure. Total infrastructure investment covers 32 countries for 15 years with 3.5 percent data availability. Private investment in infrastructure has data for 107 countries for 18 years, with 16.5 percent data availability. Public investment only has 51 countries, with 13 percent availability for 5 years. </w:t>
      </w:r>
    </w:p>
    <w:p w:rsidR="006B1499" w:rsidRPr="004F1F9C" w:rsidRDefault="006B1499" w:rsidP="00877E30">
      <w:pPr>
        <w:pStyle w:val="Heading3"/>
        <w:numPr>
          <w:ilvl w:val="2"/>
          <w:numId w:val="32"/>
        </w:numPr>
      </w:pPr>
      <w:bookmarkStart w:id="109" w:name="_Toc326061515"/>
      <w:bookmarkStart w:id="110" w:name="_Toc200095297"/>
      <w:r w:rsidRPr="004F1F9C">
        <w:t>Forecasting the demand for physical infrastructure</w:t>
      </w:r>
      <w:bookmarkEnd w:id="109"/>
      <w:bookmarkEnd w:id="110"/>
    </w:p>
    <w:p w:rsidR="004C4744" w:rsidRDefault="006B1499" w:rsidP="006B1499">
      <w:r w:rsidRPr="004F1F9C">
        <w:t>Our approach to forecasting the demand for physical infrastructure begins with the use of demand equations within our four categories of infrastructure (transportation, electricity, water, and information/communications technology). Each equation relates a physical infrastructure type to specific economic, structural, and demographic drivers. We used historical data to derive the equations. In addition, we include linkages across some types of infrastructure and embed the econometric estimations in a set of structural relationships</w:t>
      </w:r>
      <w:r>
        <w:t xml:space="preserve"> using a set of generic algorithms, some of which are described at the end of this section</w:t>
      </w:r>
      <w:r w:rsidRPr="004F1F9C">
        <w:t>.</w:t>
      </w:r>
    </w:p>
    <w:p w:rsidR="006B1499" w:rsidRPr="004F1F9C" w:rsidRDefault="006B1499" w:rsidP="006B1499">
      <w:r w:rsidRPr="004F1F9C">
        <w:t xml:space="preserve"> </w:t>
      </w:r>
    </w:p>
    <w:p w:rsidR="004C4744" w:rsidRDefault="006B1499" w:rsidP="006B1499">
      <w:r w:rsidRPr="004F1F9C">
        <w:t>Our modeling effort focuses on a subset of all existing forms of infrastructure. Our choice of which variables to include in our model and which variables to use as driving variables was influenced by many of the previous studies discussed earlier and the availability of data.</w:t>
      </w:r>
      <w:r w:rsidRPr="004F1F9C" w:rsidDel="006A1301">
        <w:t xml:space="preserve"> </w:t>
      </w:r>
      <w:r w:rsidRPr="004F1F9C">
        <w:t>While a number of these studies did provide demand equations, we chose to undertake our own analysis for the purposes of this volume. This allowed us to use updated data (see Chapter 2</w:t>
      </w:r>
      <w:r>
        <w:t xml:space="preserve"> and Box 4.1</w:t>
      </w:r>
      <w:r w:rsidRPr="004F1F9C">
        <w:t>) and to better integrate the resulting equations within the broader IFs system.</w:t>
      </w:r>
    </w:p>
    <w:p w:rsidR="006B1499" w:rsidRPr="004F1F9C" w:rsidRDefault="006B1499" w:rsidP="006B1499">
      <w:r w:rsidRPr="004F1F9C">
        <w:t xml:space="preserve"> </w:t>
      </w:r>
    </w:p>
    <w:p w:rsidR="004C4744" w:rsidRDefault="006B1499" w:rsidP="006B1499">
      <w:r w:rsidRPr="004F1F9C">
        <w:t xml:space="preserve">Before describing our modeling approaches for each of the four major categories of infrastructure, we wish to caution the reader that it is important to take care in interpreting what is meant by infrastructure demand in these equations. Earlier, we noted that Fay </w:t>
      </w:r>
      <w:r w:rsidR="00F7383F" w:rsidRPr="00F7383F">
        <w:fldChar w:fldCharType="begin"/>
      </w:r>
      <w:r>
        <w:instrText xml:space="preserve"> ADDIN ZOTERO_ITEM CSL_CITATION {"citationID":"OtDWtDCg","properties":{"formattedCitation":"(2001, 2)","plainCitation":"(2001, 2)"},"citationItems":[{"id":480,"uris":["http://zotero.org/groups/4482/items/KQS277CN"],"uri":["http://zotero.org/groups/4482/items/KQS277CN"],"itemData":{"id":480,"type":"manuscript","title":"Financing the Future: Infrastructure Needs in Latin America, 2000-05","publisher-place":"Washington, DC","genre":"Policy Research Working Paper no. 2545","event-place":"Washington, DC","URL":"http://elibrary.worldbank.org/docserver/download/2545.pdf?expires=1311613909&amp;id=id&amp;accname=guest&amp;checksum=ACB78371906738C5C8D3387D4EEAA8ED","note":"World Bank","shortTitle":"Financing the Future","author":[{"family":"Fay","given":"Marianne"}],"issued":{"year":2001}},"locator":"2","label":"page","suppress-author":true}],"schema":"https://github.com/citation-style-language/schema/raw/master/csl-citation.json"} </w:instrText>
      </w:r>
      <w:r w:rsidR="00F7383F" w:rsidRPr="00F7383F">
        <w:fldChar w:fldCharType="separate"/>
      </w:r>
      <w:r w:rsidRPr="004F1F9C">
        <w:rPr>
          <w:rFonts w:cs="Calibri"/>
        </w:rPr>
        <w:t>(2001, 2)</w:t>
      </w:r>
      <w:r w:rsidR="00F7383F" w:rsidRPr="004F1F9C">
        <w:rPr>
          <w:rFonts w:cs="Calibri"/>
        </w:rPr>
        <w:fldChar w:fldCharType="end"/>
      </w:r>
      <w:r w:rsidRPr="004F1F9C">
        <w:t xml:space="preserve"> described these types of demand equations as providing estimates of “what consumers and producers would be asking for given their income and level of economic activity.” However, the historical levels of infrastructure reflect both an actual underlying demand for infrastructure and the ability to provide this infrastructure. Following Lall and Wang </w:t>
      </w:r>
      <w:r w:rsidR="00F7383F" w:rsidRPr="00F7383F">
        <w:fldChar w:fldCharType="begin"/>
      </w:r>
      <w:r>
        <w:instrText xml:space="preserve"> ADDIN ZOTERO_ITEM CSL_CITATION {"citationID":"2bxC7BZI","properties":{"formattedCitation":"(2006)","plainCitation":"(2006)"},"citationItems":[{"id":1485,"uris":["http://zotero.org/groups/4482/items/EMZZ99A9"],"uri":["http://zotero.org/groups/4482/items/EMZZ99A9"],"itemData":{"id":1485,"type":"manuscript","title":"Improving the Development Impact of Infrastructure, Proposal for a Research Program Grant on Infrastructure","publisher-place":"Washington, DC","genre":"Internal Document","event-place":"Washington, DC","call-number":"0000","note":"World Bank","author":[{"family":"Lall","given":"Somik"},{"family":"Wang","given":"H. C."}],"issued":{"year":2006}},"suppress-author":true}],"schema":"https://github.com/citation-style-language/schema/raw/master/csl-citation.json"} </w:instrText>
      </w:r>
      <w:r w:rsidR="00F7383F" w:rsidRPr="00F7383F">
        <w:fldChar w:fldCharType="separate"/>
      </w:r>
      <w:r w:rsidRPr="004F1F9C">
        <w:rPr>
          <w:rFonts w:cs="Calibri"/>
        </w:rPr>
        <w:t>(2006)</w:t>
      </w:r>
      <w:r w:rsidR="00F7383F" w:rsidRPr="004F1F9C">
        <w:rPr>
          <w:rFonts w:cs="Calibri"/>
        </w:rPr>
        <w:fldChar w:fldCharType="end"/>
      </w:r>
      <w:r w:rsidRPr="004F1F9C">
        <w:t xml:space="preserve">, as cited in Estache and Fay </w:t>
      </w:r>
      <w:r w:rsidR="00F7383F" w:rsidRPr="00F7383F">
        <w:fldChar w:fldCharType="begin"/>
      </w:r>
      <w:r>
        <w:instrText xml:space="preserve"> ADDIN ZOTERO_ITEM CSL_CITATION {"citationID":"x5cwBrCl","properties":{"formattedCitation":"(2010, 163)","plainCitation":"(2010, 163)"},"citationItems":[{"id":1119,"uris":["http://zotero.org/groups/4482/items/VG54KBK3"],"uri":["http://zotero.org/groups/4482/items/VG54KBK3"],"itemData":{"id":1119,"type":"chapter","title":"Current Debates on Infrastructure Policy","container-title":"Globalization and Growth Implications for a Post-Crisis World","publisher":"World Bank","publisher-place":"Washington, DC","page":"151-193","event-place":"Washington, DC","ISBN":"978-0-8213-8220-2","author":[{"family":"Estache","given":"Antonio"},{"family":"Fay","given":"Marianne"}],"editor":[{"family":"Spence","given":"Michael"},{"family":"Leipziger","given":"Danny"}],"issued":{"year":2010},"page-first":"151"},"locator":"163","label":"page","suppress-author":true}],"schema":"https://github.com/citation-style-language/schema/raw/master/csl-citation.json"} </w:instrText>
      </w:r>
      <w:r w:rsidR="00F7383F" w:rsidRPr="00F7383F">
        <w:fldChar w:fldCharType="separate"/>
      </w:r>
      <w:r w:rsidRPr="004F1F9C">
        <w:rPr>
          <w:rFonts w:cs="Calibri"/>
        </w:rPr>
        <w:t>(2010, 163)</w:t>
      </w:r>
      <w:r w:rsidR="00F7383F" w:rsidRPr="004F1F9C">
        <w:rPr>
          <w:rFonts w:cs="Calibri"/>
        </w:rPr>
        <w:fldChar w:fldCharType="end"/>
      </w:r>
      <w:r w:rsidRPr="004F1F9C">
        <w:t xml:space="preserve">, to the extent that the historical levels of infrastructure were limited by financial constraints, then the equations will underestimate actual demand. Unfortunately, this actual demand is not observed; therefore, we cannot develop equations to estimate it. This poses a bit of a problem, both conceptually and practically. In the future, the financial constraints may be more or less binding than reflected in the estimated equations. In the former case, it is easy enough to reduce the provision of infrastructure. In the latter case, however, without being able to estimate the actual demand, we have no basis upon which to estimate the proper increase in the provision of infrastructure. It is possible, however, for the </w:t>
      </w:r>
      <w:r>
        <w:t xml:space="preserve">model </w:t>
      </w:r>
      <w:r w:rsidRPr="004F1F9C">
        <w:t>user to modify the standard demand equations in a few ways. First, most of the forecasted demands can be adjusted up or down with the use of a multiplier. Second she can define specific targets for infrastructure. The latter is discussed in Chapter 6 where we explore scenarios in which targets are pursued.</w:t>
      </w:r>
    </w:p>
    <w:p w:rsidR="006B1499" w:rsidRDefault="006B1499" w:rsidP="006B1499"/>
    <w:p w:rsidR="006B1499" w:rsidRDefault="006B1499" w:rsidP="006B1499">
      <w:r>
        <w:t>There are additional issues around forecasting of demand, some of which we handle algorithmically. For instance, the base year calculations of demand forecasts tied to global cross-sectional estimations</w:t>
      </w:r>
      <w:r>
        <w:rPr>
          <w:rStyle w:val="FootnoteReference"/>
        </w:rPr>
        <w:footnoteReference w:id="65"/>
      </w:r>
      <w:r>
        <w:t xml:space="preserve"> will most often not match data for countries in the base year—each country has peculiarities that differentiate it from the "typical pattern" and sometimes, of course, data errors account for such differences. In the first year the model therefore calculates an additive or multiplicative country shift factor representing that difference; we allow those shifts to gradually diminish over time, thereby causing countries to approach the demand function.</w:t>
      </w:r>
    </w:p>
    <w:p w:rsidR="004C4744" w:rsidRDefault="006B1499" w:rsidP="006B1499">
      <w:r>
        <w:t xml:space="preserve">A second such issue is that the dynamic trajectory of demand/supply growth in a country in recent years may be inconsistent with the forecasts produced by the demand equation. For instance, a policy-based surge of infrastructure development like that of China may result in an historical growth rate well above the one that our functions produce in the first years of our forecasting. In order to avoid a "transient" (a sharp bend) between the historical pattern and our forecast, we estimate a growth rate of physical infrastructure stock using the historical data over three to five recent years and incorporate that growth rate in the demand estimation through a moving average-based extrapolative formulation. </w:t>
      </w:r>
    </w:p>
    <w:p w:rsidR="006B1499" w:rsidRDefault="006B1499" w:rsidP="006B1499"/>
    <w:p w:rsidR="006B1499" w:rsidRPr="004F1F9C" w:rsidRDefault="006B1499" w:rsidP="006B1499">
      <w:pPr>
        <w:pStyle w:val="Heading4"/>
      </w:pPr>
      <w:bookmarkStart w:id="111" w:name="_Toc326061516"/>
      <w:bookmarkStart w:id="112" w:name="_Toc200095298"/>
      <w:r w:rsidRPr="004F1F9C">
        <w:t>4.4.1.1 Transportation</w:t>
      </w:r>
      <w:bookmarkEnd w:id="111"/>
      <w:bookmarkEnd w:id="112"/>
      <w:r w:rsidRPr="004F1F9C">
        <w:t xml:space="preserve"> </w:t>
      </w:r>
    </w:p>
    <w:p w:rsidR="0029638B" w:rsidRDefault="006B1499" w:rsidP="006B1499">
      <w:r w:rsidRPr="004F1F9C">
        <w:t>Our focus in the area of transportation infrastructure is on the extent of the road network. Figure 4.3 presents an overview of the structure of our forecasts. The three indicators we directly forecast are: total road density (kilometers per thousand hectares), paved road percentage (the percentage of total roads that are paved), and the rural road access index (the percentage of the rural population living within two kilometers of an all-season road). These are shown in red in Figure 4.3. The values of the driving variables for these indicators are endogenously forecasted elsewhere in IFs (shown in blue), or calculated as intermediate variables (shown in green) from forecasted variables. In addition, the three primary indicators are coupled, with total road density acting as a driving variable for paved road %, and both of these acting as drivers of rural road access via some intermediate calculations. From these primary indicators, we calculate a number of ‘derived’ indicators (shown in purple), including total roads, total paved roads, roads per capita, and the number of rural persons living more than two kilometers from an all-season road.</w:t>
      </w:r>
    </w:p>
    <w:p w:rsidR="006B1499" w:rsidRPr="004F1F9C" w:rsidRDefault="006B1499" w:rsidP="006B1499"/>
    <w:p w:rsidR="006B1499" w:rsidRDefault="006B1499" w:rsidP="006B1499">
      <w:pPr>
        <w:rPr>
          <w:b/>
        </w:rPr>
      </w:pPr>
      <w:r w:rsidRPr="00940813">
        <w:rPr>
          <w:b/>
          <w:noProof/>
        </w:rPr>
        <w:drawing>
          <wp:inline distT="0" distB="0" distL="0" distR="0">
            <wp:extent cx="5486400" cy="4017010"/>
            <wp:effectExtent l="25400" t="0" r="0" b="0"/>
            <wp:docPr id="68" name="O 4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4400" cy="6248400"/>
                      <a:chOff x="304800" y="381000"/>
                      <a:chExt cx="8534400" cy="6248400"/>
                    </a:xfrm>
                  </a:grpSpPr>
                  <a:sp>
                    <a:nvSpPr>
                      <a:cNvPr id="4" name="Terminator 3"/>
                      <a:cNvSpPr/>
                    </a:nvSpPr>
                    <a:spPr>
                      <a:xfrm>
                        <a:off x="457200" y="1295400"/>
                        <a:ext cx="1371600" cy="457200"/>
                      </a:xfrm>
                      <a:prstGeom prst="flowChartTerminator">
                        <a:avLst/>
                      </a:prstGeom>
                      <a:solidFill>
                        <a:schemeClr val="accent5">
                          <a:alpha val="73000"/>
                        </a:schemeClr>
                      </a:solidFill>
                      <a:ln>
                        <a:solidFill>
                          <a:schemeClr val="accent1"/>
                        </a:solidFill>
                      </a:ln>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rgbClr val="000000"/>
                              </a:solidFill>
                              <a:latin typeface="Times New Roman"/>
                              <a:cs typeface="Times New Roman"/>
                            </a:rPr>
                            <a:t>GDP</a:t>
                          </a:r>
                          <a:endParaRPr lang="en-US" sz="1200" b="1" dirty="0">
                            <a:solidFill>
                              <a:srgbClr val="000000"/>
                            </a:solidFill>
                            <a:latin typeface="Times New Roman"/>
                            <a:cs typeface="Times New Roman"/>
                          </a:endParaRPr>
                        </a:p>
                      </a:txBody>
                      <a:useSpRect/>
                    </a:txSp>
                    <a:style>
                      <a:lnRef idx="1">
                        <a:schemeClr val="accent1"/>
                      </a:lnRef>
                      <a:fillRef idx="3">
                        <a:schemeClr val="accent1"/>
                      </a:fillRef>
                      <a:effectRef idx="2">
                        <a:schemeClr val="accent1"/>
                      </a:effectRef>
                      <a:fontRef idx="minor">
                        <a:schemeClr val="lt1"/>
                      </a:fontRef>
                    </a:style>
                  </a:sp>
                  <a:sp>
                    <a:nvSpPr>
                      <a:cNvPr id="5" name="Terminator 4"/>
                      <a:cNvSpPr/>
                    </a:nvSpPr>
                    <a:spPr>
                      <a:xfrm>
                        <a:off x="457200" y="2667000"/>
                        <a:ext cx="1371600" cy="457200"/>
                      </a:xfrm>
                      <a:prstGeom prst="flowChartTerminator">
                        <a:avLst/>
                      </a:prstGeom>
                      <a:solidFill>
                        <a:schemeClr val="accent5">
                          <a:alpha val="73000"/>
                        </a:schemeClr>
                      </a:solidFill>
                      <a:ln>
                        <a:solidFill>
                          <a:schemeClr val="accent1"/>
                        </a:solidFill>
                      </a:ln>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rgbClr val="000000"/>
                              </a:solidFill>
                              <a:latin typeface="Times New Roman"/>
                              <a:cs typeface="Times New Roman"/>
                            </a:rPr>
                            <a:t>Land area</a:t>
                          </a:r>
                          <a:endParaRPr lang="en-US" sz="1200" b="1" dirty="0">
                            <a:solidFill>
                              <a:srgbClr val="000000"/>
                            </a:solidFill>
                            <a:latin typeface="Times New Roman"/>
                            <a:cs typeface="Times New Roman"/>
                          </a:endParaRPr>
                        </a:p>
                      </a:txBody>
                      <a:useSpRect/>
                    </a:txSp>
                    <a:style>
                      <a:lnRef idx="1">
                        <a:schemeClr val="accent1"/>
                      </a:lnRef>
                      <a:fillRef idx="3">
                        <a:schemeClr val="accent1"/>
                      </a:fillRef>
                      <a:effectRef idx="2">
                        <a:schemeClr val="accent1"/>
                      </a:effectRef>
                      <a:fontRef idx="minor">
                        <a:schemeClr val="lt1"/>
                      </a:fontRef>
                    </a:style>
                  </a:sp>
                  <a:sp>
                    <a:nvSpPr>
                      <a:cNvPr id="6" name="Terminator 5"/>
                      <a:cNvSpPr/>
                    </a:nvSpPr>
                    <a:spPr>
                      <a:xfrm>
                        <a:off x="457200" y="4038600"/>
                        <a:ext cx="1371600" cy="457200"/>
                      </a:xfrm>
                      <a:prstGeom prst="flowChartTerminator">
                        <a:avLst/>
                      </a:prstGeom>
                      <a:solidFill>
                        <a:schemeClr val="accent5">
                          <a:alpha val="73000"/>
                        </a:schemeClr>
                      </a:solidFill>
                      <a:ln>
                        <a:solidFill>
                          <a:schemeClr val="accent1"/>
                        </a:solidFill>
                      </a:ln>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rgbClr val="000000"/>
                              </a:solidFill>
                              <a:latin typeface="Times New Roman"/>
                              <a:cs typeface="Times New Roman"/>
                            </a:rPr>
                            <a:t>Population</a:t>
                          </a:r>
                          <a:endParaRPr lang="en-US" sz="1200" b="1" dirty="0">
                            <a:solidFill>
                              <a:srgbClr val="000000"/>
                            </a:solidFill>
                            <a:latin typeface="Times New Roman"/>
                            <a:cs typeface="Times New Roman"/>
                          </a:endParaRPr>
                        </a:p>
                      </a:txBody>
                      <a:useSpRect/>
                    </a:txSp>
                    <a:style>
                      <a:lnRef idx="1">
                        <a:schemeClr val="accent1"/>
                      </a:lnRef>
                      <a:fillRef idx="3">
                        <a:schemeClr val="accent1"/>
                      </a:fillRef>
                      <a:effectRef idx="2">
                        <a:schemeClr val="accent1"/>
                      </a:effectRef>
                      <a:fontRef idx="minor">
                        <a:schemeClr val="lt1"/>
                      </a:fontRef>
                    </a:style>
                  </a:sp>
                  <a:sp>
                    <a:nvSpPr>
                      <a:cNvPr id="7" name="Terminator 6"/>
                      <a:cNvSpPr/>
                    </a:nvSpPr>
                    <a:spPr>
                      <a:xfrm>
                        <a:off x="457200" y="5943600"/>
                        <a:ext cx="1371600" cy="685800"/>
                      </a:xfrm>
                      <a:prstGeom prst="flowChartTerminator">
                        <a:avLst/>
                      </a:prstGeom>
                      <a:solidFill>
                        <a:schemeClr val="accent5">
                          <a:alpha val="73000"/>
                        </a:schemeClr>
                      </a:solidFill>
                      <a:ln>
                        <a:solidFill>
                          <a:schemeClr val="accent1"/>
                        </a:solidFill>
                      </a:ln>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rgbClr val="000000"/>
                              </a:solidFill>
                              <a:latin typeface="Times New Roman"/>
                              <a:cs typeface="Times New Roman"/>
                            </a:rPr>
                            <a:t>From elsewhere in the model</a:t>
                          </a:r>
                          <a:endParaRPr lang="en-US" sz="1200" b="1" dirty="0">
                            <a:solidFill>
                              <a:srgbClr val="000000"/>
                            </a:solidFill>
                            <a:latin typeface="Times New Roman"/>
                            <a:cs typeface="Times New Roman"/>
                          </a:endParaRPr>
                        </a:p>
                      </a:txBody>
                      <a:useSpRect/>
                    </a:txSp>
                    <a:style>
                      <a:lnRef idx="1">
                        <a:schemeClr val="accent1"/>
                      </a:lnRef>
                      <a:fillRef idx="3">
                        <a:schemeClr val="accent1"/>
                      </a:fillRef>
                      <a:effectRef idx="2">
                        <a:schemeClr val="accent1"/>
                      </a:effectRef>
                      <a:fontRef idx="minor">
                        <a:schemeClr val="lt1"/>
                      </a:fontRef>
                    </a:style>
                  </a:sp>
                  <a:sp>
                    <a:nvSpPr>
                      <a:cNvPr id="8" name="Terminator 7"/>
                      <a:cNvSpPr/>
                    </a:nvSpPr>
                    <a:spPr>
                      <a:xfrm>
                        <a:off x="2743200" y="838200"/>
                        <a:ext cx="1371600" cy="457200"/>
                      </a:xfrm>
                      <a:prstGeom prst="flowChartTerminator">
                        <a:avLst/>
                      </a:prstGeom>
                      <a:solidFill>
                        <a:schemeClr val="accent3">
                          <a:alpha val="73000"/>
                        </a:schemeClr>
                      </a:solidFill>
                      <a:ln>
                        <a:solidFill>
                          <a:schemeClr val="accent3"/>
                        </a:solidFill>
                      </a:ln>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rgbClr val="000000"/>
                              </a:solidFill>
                              <a:latin typeface="Times New Roman"/>
                              <a:cs typeface="Times New Roman"/>
                            </a:rPr>
                            <a:t>Per capita income</a:t>
                          </a:r>
                          <a:endParaRPr lang="en-US" sz="1200" b="1" dirty="0">
                            <a:solidFill>
                              <a:srgbClr val="000000"/>
                            </a:solidFill>
                            <a:latin typeface="Times New Roman"/>
                            <a:cs typeface="Times New Roman"/>
                          </a:endParaRPr>
                        </a:p>
                      </a:txBody>
                      <a:useSpRect/>
                    </a:txSp>
                    <a:style>
                      <a:lnRef idx="1">
                        <a:schemeClr val="accent1"/>
                      </a:lnRef>
                      <a:fillRef idx="3">
                        <a:schemeClr val="accent1"/>
                      </a:fillRef>
                      <a:effectRef idx="2">
                        <a:schemeClr val="accent1"/>
                      </a:effectRef>
                      <a:fontRef idx="minor">
                        <a:schemeClr val="lt1"/>
                      </a:fontRef>
                    </a:style>
                  </a:sp>
                  <a:sp>
                    <a:nvSpPr>
                      <a:cNvPr id="9" name="Terminator 8"/>
                      <a:cNvSpPr/>
                    </a:nvSpPr>
                    <a:spPr>
                      <a:xfrm>
                        <a:off x="2743200" y="2667000"/>
                        <a:ext cx="1371600" cy="457200"/>
                      </a:xfrm>
                      <a:prstGeom prst="flowChartTerminator">
                        <a:avLst/>
                      </a:prstGeom>
                      <a:solidFill>
                        <a:schemeClr val="accent3">
                          <a:alpha val="73000"/>
                        </a:schemeClr>
                      </a:solidFill>
                      <a:ln>
                        <a:solidFill>
                          <a:schemeClr val="accent3"/>
                        </a:solidFill>
                      </a:ln>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rgbClr val="000000"/>
                              </a:solidFill>
                              <a:latin typeface="Times New Roman"/>
                              <a:cs typeface="Times New Roman"/>
                            </a:rPr>
                            <a:t>Income density</a:t>
                          </a:r>
                          <a:endParaRPr lang="en-US" sz="1200" b="1" dirty="0">
                            <a:solidFill>
                              <a:srgbClr val="000000"/>
                            </a:solidFill>
                            <a:latin typeface="Times New Roman"/>
                            <a:cs typeface="Times New Roman"/>
                          </a:endParaRPr>
                        </a:p>
                      </a:txBody>
                      <a:useSpRect/>
                    </a:txSp>
                    <a:style>
                      <a:lnRef idx="1">
                        <a:schemeClr val="accent1"/>
                      </a:lnRef>
                      <a:fillRef idx="3">
                        <a:schemeClr val="accent1"/>
                      </a:fillRef>
                      <a:effectRef idx="2">
                        <a:schemeClr val="accent1"/>
                      </a:effectRef>
                      <a:fontRef idx="minor">
                        <a:schemeClr val="lt1"/>
                      </a:fontRef>
                    </a:style>
                  </a:sp>
                  <a:sp>
                    <a:nvSpPr>
                      <a:cNvPr id="10" name="Terminator 9"/>
                      <a:cNvSpPr/>
                    </a:nvSpPr>
                    <a:spPr>
                      <a:xfrm>
                        <a:off x="2743200" y="4495800"/>
                        <a:ext cx="1371600" cy="457200"/>
                      </a:xfrm>
                      <a:prstGeom prst="flowChartTerminator">
                        <a:avLst/>
                      </a:prstGeom>
                      <a:solidFill>
                        <a:schemeClr val="accent3">
                          <a:alpha val="73000"/>
                        </a:schemeClr>
                      </a:solidFill>
                      <a:ln>
                        <a:solidFill>
                          <a:schemeClr val="accent3"/>
                        </a:solidFill>
                      </a:ln>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rgbClr val="000000"/>
                              </a:solidFill>
                              <a:latin typeface="Times New Roman"/>
                              <a:cs typeface="Times New Roman"/>
                            </a:rPr>
                            <a:t>Population density</a:t>
                          </a:r>
                          <a:endParaRPr lang="en-US" sz="1200" b="1" dirty="0">
                            <a:solidFill>
                              <a:srgbClr val="000000"/>
                            </a:solidFill>
                            <a:latin typeface="Times New Roman"/>
                            <a:cs typeface="Times New Roman"/>
                          </a:endParaRPr>
                        </a:p>
                      </a:txBody>
                      <a:useSpRect/>
                    </a:txSp>
                    <a:style>
                      <a:lnRef idx="1">
                        <a:schemeClr val="accent1"/>
                      </a:lnRef>
                      <a:fillRef idx="3">
                        <a:schemeClr val="accent1"/>
                      </a:fillRef>
                      <a:effectRef idx="2">
                        <a:schemeClr val="accent1"/>
                      </a:effectRef>
                      <a:fontRef idx="minor">
                        <a:schemeClr val="lt1"/>
                      </a:fontRef>
                    </a:style>
                  </a:sp>
                  <a:sp>
                    <a:nvSpPr>
                      <a:cNvPr id="11" name="Terminator 10"/>
                      <a:cNvSpPr/>
                    </a:nvSpPr>
                    <a:spPr>
                      <a:xfrm>
                        <a:off x="5029200" y="1295400"/>
                        <a:ext cx="1371600" cy="457200"/>
                      </a:xfrm>
                      <a:prstGeom prst="flowChartTerminator">
                        <a:avLst/>
                      </a:prstGeom>
                      <a:solidFill>
                        <a:schemeClr val="accent2">
                          <a:alpha val="73000"/>
                        </a:schemeClr>
                      </a:solidFill>
                      <a:ln>
                        <a:solidFill>
                          <a:schemeClr val="accent2"/>
                        </a:solidFill>
                      </a:ln>
                      <a:effectLst/>
                    </a:spPr>
                    <a:txSp>
                      <a:txBody>
                        <a:bodyPr rtlCol="0" anchor="ctr">
                          <a:scene3d>
                            <a:camera prst="orthographicFront"/>
                            <a:lightRig rig="threePt" dir="t"/>
                          </a:scene3d>
                          <a:sp3d/>
                        </a:bodyP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rgbClr val="000000"/>
                              </a:solidFill>
                              <a:latin typeface="Times New Roman"/>
                              <a:cs typeface="Times New Roman"/>
                            </a:rPr>
                            <a:t>Total road density</a:t>
                          </a:r>
                          <a:endParaRPr lang="en-US" sz="1200" b="1" dirty="0">
                            <a:solidFill>
                              <a:srgbClr val="000000"/>
                            </a:solidFill>
                            <a:latin typeface="Times New Roman"/>
                            <a:cs typeface="Times New Roman"/>
                          </a:endParaRPr>
                        </a:p>
                      </a:txBody>
                      <a:useSpRect/>
                    </a:txSp>
                    <a:style>
                      <a:lnRef idx="1">
                        <a:schemeClr val="accent1"/>
                      </a:lnRef>
                      <a:fillRef idx="3">
                        <a:schemeClr val="accent1"/>
                      </a:fillRef>
                      <a:effectRef idx="2">
                        <a:schemeClr val="accent1"/>
                      </a:effectRef>
                      <a:fontRef idx="minor">
                        <a:schemeClr val="lt1"/>
                      </a:fontRef>
                    </a:style>
                  </a:sp>
                  <a:sp>
                    <a:nvSpPr>
                      <a:cNvPr id="12" name="Terminator 11"/>
                      <a:cNvSpPr/>
                    </a:nvSpPr>
                    <a:spPr>
                      <a:xfrm>
                        <a:off x="5029200" y="2667000"/>
                        <a:ext cx="1371600" cy="457200"/>
                      </a:xfrm>
                      <a:prstGeom prst="flowChartTerminator">
                        <a:avLst/>
                      </a:prstGeom>
                      <a:solidFill>
                        <a:schemeClr val="accent2">
                          <a:alpha val="73000"/>
                        </a:schemeClr>
                      </a:solidFill>
                      <a:ln>
                        <a:solidFill>
                          <a:schemeClr val="accent2"/>
                        </a:solidFill>
                      </a:ln>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rgbClr val="000000"/>
                              </a:solidFill>
                              <a:latin typeface="Times New Roman"/>
                              <a:cs typeface="Times New Roman"/>
                            </a:rPr>
                            <a:t>Paved road percent</a:t>
                          </a:r>
                          <a:endParaRPr lang="en-US" sz="1200" b="1" dirty="0">
                            <a:solidFill>
                              <a:srgbClr val="000000"/>
                            </a:solidFill>
                            <a:latin typeface="Times New Roman"/>
                            <a:cs typeface="Times New Roman"/>
                          </a:endParaRPr>
                        </a:p>
                      </a:txBody>
                      <a:useSpRect/>
                    </a:txSp>
                    <a:style>
                      <a:lnRef idx="1">
                        <a:schemeClr val="accent1"/>
                      </a:lnRef>
                      <a:fillRef idx="3">
                        <a:schemeClr val="accent1"/>
                      </a:fillRef>
                      <a:effectRef idx="2">
                        <a:schemeClr val="accent1"/>
                      </a:effectRef>
                      <a:fontRef idx="minor">
                        <a:schemeClr val="lt1"/>
                      </a:fontRef>
                    </a:style>
                  </a:sp>
                  <a:sp>
                    <a:nvSpPr>
                      <a:cNvPr id="13" name="Terminator 12"/>
                      <a:cNvSpPr/>
                    </a:nvSpPr>
                    <a:spPr>
                      <a:xfrm>
                        <a:off x="5029200" y="4038600"/>
                        <a:ext cx="1371600" cy="457200"/>
                      </a:xfrm>
                      <a:prstGeom prst="flowChartTerminator">
                        <a:avLst/>
                      </a:prstGeom>
                      <a:solidFill>
                        <a:schemeClr val="accent2">
                          <a:alpha val="73000"/>
                        </a:schemeClr>
                      </a:solidFill>
                      <a:ln>
                        <a:solidFill>
                          <a:schemeClr val="accent2"/>
                        </a:solidFill>
                      </a:ln>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rgbClr val="000000"/>
                              </a:solidFill>
                              <a:latin typeface="Times New Roman"/>
                              <a:cs typeface="Times New Roman"/>
                            </a:rPr>
                            <a:t>Rural road access index</a:t>
                          </a:r>
                          <a:endParaRPr lang="en-US" sz="1200" b="1" dirty="0">
                            <a:solidFill>
                              <a:srgbClr val="000000"/>
                            </a:solidFill>
                            <a:latin typeface="Times New Roman"/>
                            <a:cs typeface="Times New Roman"/>
                          </a:endParaRPr>
                        </a:p>
                      </a:txBody>
                      <a:useSpRect/>
                    </a:txSp>
                    <a:style>
                      <a:lnRef idx="1">
                        <a:schemeClr val="accent1"/>
                      </a:lnRef>
                      <a:fillRef idx="3">
                        <a:schemeClr val="accent1"/>
                      </a:fillRef>
                      <a:effectRef idx="2">
                        <a:schemeClr val="accent1"/>
                      </a:effectRef>
                      <a:fontRef idx="minor">
                        <a:schemeClr val="lt1"/>
                      </a:fontRef>
                    </a:style>
                  </a:sp>
                  <a:sp>
                    <a:nvSpPr>
                      <a:cNvPr id="14" name="Terminator 13"/>
                      <a:cNvSpPr/>
                    </a:nvSpPr>
                    <a:spPr>
                      <a:xfrm>
                        <a:off x="7315200" y="381000"/>
                        <a:ext cx="1371600" cy="457200"/>
                      </a:xfrm>
                      <a:prstGeom prst="flowChartTerminator">
                        <a:avLst/>
                      </a:prstGeom>
                      <a:solidFill>
                        <a:schemeClr val="accent4">
                          <a:alpha val="73000"/>
                        </a:schemeClr>
                      </a:solidFill>
                      <a:ln>
                        <a:solidFill>
                          <a:schemeClr val="accent4"/>
                        </a:solidFill>
                      </a:ln>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rgbClr val="000000"/>
                              </a:solidFill>
                              <a:latin typeface="Times New Roman"/>
                              <a:cs typeface="Times New Roman"/>
                            </a:rPr>
                            <a:t>Total roads per capita</a:t>
                          </a:r>
                          <a:endParaRPr lang="en-US" sz="1200" b="1" dirty="0">
                            <a:solidFill>
                              <a:srgbClr val="000000"/>
                            </a:solidFill>
                            <a:latin typeface="Times New Roman"/>
                            <a:cs typeface="Times New Roman"/>
                          </a:endParaRPr>
                        </a:p>
                      </a:txBody>
                      <a:useSpRect/>
                    </a:txSp>
                    <a:style>
                      <a:lnRef idx="1">
                        <a:schemeClr val="accent1"/>
                      </a:lnRef>
                      <a:fillRef idx="3">
                        <a:schemeClr val="accent1"/>
                      </a:fillRef>
                      <a:effectRef idx="2">
                        <a:schemeClr val="accent1"/>
                      </a:effectRef>
                      <a:fontRef idx="minor">
                        <a:schemeClr val="lt1"/>
                      </a:fontRef>
                    </a:style>
                  </a:sp>
                  <a:sp>
                    <a:nvSpPr>
                      <a:cNvPr id="15" name="Terminator 14"/>
                      <a:cNvSpPr/>
                    </a:nvSpPr>
                    <a:spPr>
                      <a:xfrm>
                        <a:off x="7315200" y="1295400"/>
                        <a:ext cx="1371600" cy="457200"/>
                      </a:xfrm>
                      <a:prstGeom prst="flowChartTerminator">
                        <a:avLst/>
                      </a:prstGeom>
                      <a:solidFill>
                        <a:schemeClr val="accent4">
                          <a:alpha val="73000"/>
                        </a:schemeClr>
                      </a:solidFill>
                      <a:ln>
                        <a:solidFill>
                          <a:schemeClr val="accent4"/>
                        </a:solidFill>
                      </a:ln>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rgbClr val="000000"/>
                              </a:solidFill>
                              <a:latin typeface="Times New Roman"/>
                              <a:cs typeface="Times New Roman"/>
                            </a:rPr>
                            <a:t>Total roads</a:t>
                          </a:r>
                          <a:endParaRPr lang="en-US" sz="1200" b="1" dirty="0">
                            <a:solidFill>
                              <a:srgbClr val="000000"/>
                            </a:solidFill>
                            <a:latin typeface="Times New Roman"/>
                            <a:cs typeface="Times New Roman"/>
                          </a:endParaRPr>
                        </a:p>
                      </a:txBody>
                      <a:useSpRect/>
                    </a:txSp>
                    <a:style>
                      <a:lnRef idx="1">
                        <a:schemeClr val="accent1"/>
                      </a:lnRef>
                      <a:fillRef idx="3">
                        <a:schemeClr val="accent1"/>
                      </a:fillRef>
                      <a:effectRef idx="2">
                        <a:schemeClr val="accent1"/>
                      </a:effectRef>
                      <a:fontRef idx="minor">
                        <a:schemeClr val="lt1"/>
                      </a:fontRef>
                    </a:style>
                  </a:sp>
                  <a:sp>
                    <a:nvSpPr>
                      <a:cNvPr id="16" name="Terminator 15"/>
                      <a:cNvSpPr/>
                    </a:nvSpPr>
                    <a:spPr>
                      <a:xfrm>
                        <a:off x="7315200" y="2209800"/>
                        <a:ext cx="1371600" cy="457200"/>
                      </a:xfrm>
                      <a:prstGeom prst="flowChartTerminator">
                        <a:avLst/>
                      </a:prstGeom>
                      <a:solidFill>
                        <a:schemeClr val="accent4">
                          <a:alpha val="73000"/>
                        </a:schemeClr>
                      </a:solidFill>
                      <a:ln>
                        <a:solidFill>
                          <a:schemeClr val="accent4"/>
                        </a:solidFill>
                      </a:ln>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rgbClr val="000000"/>
                              </a:solidFill>
                              <a:latin typeface="Times New Roman"/>
                              <a:cs typeface="Times New Roman"/>
                            </a:rPr>
                            <a:t>Paved roads per capita</a:t>
                          </a:r>
                          <a:endParaRPr lang="en-US" sz="1200" b="1" dirty="0">
                            <a:solidFill>
                              <a:srgbClr val="000000"/>
                            </a:solidFill>
                            <a:latin typeface="Times New Roman"/>
                            <a:cs typeface="Times New Roman"/>
                          </a:endParaRPr>
                        </a:p>
                      </a:txBody>
                      <a:useSpRect/>
                    </a:txSp>
                    <a:style>
                      <a:lnRef idx="1">
                        <a:schemeClr val="accent1"/>
                      </a:lnRef>
                      <a:fillRef idx="3">
                        <a:schemeClr val="accent1"/>
                      </a:fillRef>
                      <a:effectRef idx="2">
                        <a:schemeClr val="accent1"/>
                      </a:effectRef>
                      <a:fontRef idx="minor">
                        <a:schemeClr val="lt1"/>
                      </a:fontRef>
                    </a:style>
                  </a:sp>
                  <a:sp>
                    <a:nvSpPr>
                      <a:cNvPr id="17" name="Terminator 16"/>
                      <a:cNvSpPr/>
                    </a:nvSpPr>
                    <a:spPr>
                      <a:xfrm>
                        <a:off x="7315200" y="3124200"/>
                        <a:ext cx="1371600" cy="457200"/>
                      </a:xfrm>
                      <a:prstGeom prst="flowChartTerminator">
                        <a:avLst/>
                      </a:prstGeom>
                      <a:solidFill>
                        <a:schemeClr val="accent4">
                          <a:alpha val="73000"/>
                        </a:schemeClr>
                      </a:solidFill>
                      <a:ln>
                        <a:solidFill>
                          <a:schemeClr val="accent4"/>
                        </a:solidFill>
                      </a:ln>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rgbClr val="000000"/>
                              </a:solidFill>
                              <a:latin typeface="Times New Roman"/>
                              <a:cs typeface="Times New Roman"/>
                            </a:rPr>
                            <a:t>Paved roads</a:t>
                          </a:r>
                          <a:endParaRPr lang="en-US" sz="1200" b="1" dirty="0">
                            <a:solidFill>
                              <a:srgbClr val="000000"/>
                            </a:solidFill>
                            <a:latin typeface="Times New Roman"/>
                            <a:cs typeface="Times New Roman"/>
                          </a:endParaRPr>
                        </a:p>
                      </a:txBody>
                      <a:useSpRect/>
                    </a:txSp>
                    <a:style>
                      <a:lnRef idx="1">
                        <a:schemeClr val="accent1"/>
                      </a:lnRef>
                      <a:fillRef idx="3">
                        <a:schemeClr val="accent1"/>
                      </a:fillRef>
                      <a:effectRef idx="2">
                        <a:schemeClr val="accent1"/>
                      </a:effectRef>
                      <a:fontRef idx="minor">
                        <a:schemeClr val="lt1"/>
                      </a:fontRef>
                    </a:style>
                  </a:sp>
                  <a:sp>
                    <a:nvSpPr>
                      <a:cNvPr id="18" name="Terminator 17"/>
                      <a:cNvSpPr/>
                    </a:nvSpPr>
                    <a:spPr>
                      <a:xfrm>
                        <a:off x="7315200" y="4038600"/>
                        <a:ext cx="1371600" cy="457200"/>
                      </a:xfrm>
                      <a:prstGeom prst="flowChartTerminator">
                        <a:avLst/>
                      </a:prstGeom>
                      <a:solidFill>
                        <a:schemeClr val="accent4">
                          <a:alpha val="73000"/>
                        </a:schemeClr>
                      </a:solidFill>
                      <a:ln>
                        <a:solidFill>
                          <a:schemeClr val="accent4"/>
                        </a:solidFill>
                      </a:ln>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rgbClr val="000000"/>
                              </a:solidFill>
                              <a:latin typeface="Times New Roman"/>
                              <a:cs typeface="Times New Roman"/>
                            </a:rPr>
                            <a:t>Paved road density</a:t>
                          </a:r>
                          <a:endParaRPr lang="en-US" sz="1200" b="1" dirty="0">
                            <a:solidFill>
                              <a:srgbClr val="000000"/>
                            </a:solidFill>
                            <a:latin typeface="Times New Roman"/>
                            <a:cs typeface="Times New Roman"/>
                          </a:endParaRPr>
                        </a:p>
                      </a:txBody>
                      <a:useSpRect/>
                    </a:txSp>
                    <a:style>
                      <a:lnRef idx="1">
                        <a:schemeClr val="accent1"/>
                      </a:lnRef>
                      <a:fillRef idx="3">
                        <a:schemeClr val="accent1"/>
                      </a:fillRef>
                      <a:effectRef idx="2">
                        <a:schemeClr val="accent1"/>
                      </a:effectRef>
                      <a:fontRef idx="minor">
                        <a:schemeClr val="lt1"/>
                      </a:fontRef>
                    </a:style>
                  </a:sp>
                  <a:sp>
                    <a:nvSpPr>
                      <a:cNvPr id="19" name="Terminator 18"/>
                      <a:cNvSpPr/>
                    </a:nvSpPr>
                    <a:spPr>
                      <a:xfrm>
                        <a:off x="7315200" y="4953000"/>
                        <a:ext cx="1371600" cy="609600"/>
                      </a:xfrm>
                      <a:prstGeom prst="flowChartTerminator">
                        <a:avLst/>
                      </a:prstGeom>
                      <a:solidFill>
                        <a:schemeClr val="accent4">
                          <a:alpha val="73000"/>
                        </a:schemeClr>
                      </a:solidFill>
                      <a:ln>
                        <a:solidFill>
                          <a:schemeClr val="accent4"/>
                        </a:solidFill>
                      </a:ln>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rgbClr val="000000"/>
                              </a:solidFill>
                              <a:latin typeface="Times New Roman"/>
                              <a:cs typeface="Times New Roman"/>
                            </a:rPr>
                            <a:t>Population without road access</a:t>
                          </a:r>
                          <a:endParaRPr lang="en-US" sz="1200" b="1" dirty="0">
                            <a:solidFill>
                              <a:srgbClr val="000000"/>
                            </a:solidFill>
                            <a:latin typeface="Times New Roman"/>
                            <a:cs typeface="Times New Roman"/>
                          </a:endParaRPr>
                        </a:p>
                      </a:txBody>
                      <a:useSpRect/>
                    </a:txSp>
                    <a:style>
                      <a:lnRef idx="1">
                        <a:schemeClr val="accent1"/>
                      </a:lnRef>
                      <a:fillRef idx="3">
                        <a:schemeClr val="accent1"/>
                      </a:fillRef>
                      <a:effectRef idx="2">
                        <a:schemeClr val="accent1"/>
                      </a:effectRef>
                      <a:fontRef idx="minor">
                        <a:schemeClr val="lt1"/>
                      </a:fontRef>
                    </a:style>
                  </a:sp>
                  <a:sp>
                    <a:nvSpPr>
                      <a:cNvPr id="20" name="Terminator 19"/>
                      <a:cNvSpPr/>
                    </a:nvSpPr>
                    <a:spPr>
                      <a:xfrm>
                        <a:off x="2743200" y="5943600"/>
                        <a:ext cx="1371600" cy="685800"/>
                      </a:xfrm>
                      <a:prstGeom prst="flowChartTerminator">
                        <a:avLst/>
                      </a:prstGeom>
                      <a:solidFill>
                        <a:schemeClr val="accent3">
                          <a:alpha val="73000"/>
                        </a:schemeClr>
                      </a:solidFill>
                      <a:ln>
                        <a:solidFill>
                          <a:schemeClr val="accent3"/>
                        </a:solidFill>
                      </a:ln>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rgbClr val="000000"/>
                              </a:solidFill>
                              <a:latin typeface="Times New Roman"/>
                              <a:cs typeface="Times New Roman"/>
                            </a:rPr>
                            <a:t>Intermediate calculation</a:t>
                          </a:r>
                          <a:endParaRPr lang="en-US" sz="1200" b="1" dirty="0">
                            <a:solidFill>
                              <a:srgbClr val="000000"/>
                            </a:solidFill>
                            <a:latin typeface="Times New Roman"/>
                            <a:cs typeface="Times New Roman"/>
                          </a:endParaRPr>
                        </a:p>
                      </a:txBody>
                      <a:useSpRect/>
                    </a:txSp>
                    <a:style>
                      <a:lnRef idx="1">
                        <a:schemeClr val="accent1"/>
                      </a:lnRef>
                      <a:fillRef idx="3">
                        <a:schemeClr val="accent1"/>
                      </a:fillRef>
                      <a:effectRef idx="2">
                        <a:schemeClr val="accent1"/>
                      </a:effectRef>
                      <a:fontRef idx="minor">
                        <a:schemeClr val="lt1"/>
                      </a:fontRef>
                    </a:style>
                  </a:sp>
                  <a:sp>
                    <a:nvSpPr>
                      <a:cNvPr id="21" name="Terminator 20"/>
                      <a:cNvSpPr/>
                    </a:nvSpPr>
                    <a:spPr>
                      <a:xfrm>
                        <a:off x="5029200" y="5943600"/>
                        <a:ext cx="1371600" cy="685800"/>
                      </a:xfrm>
                      <a:prstGeom prst="flowChartTerminator">
                        <a:avLst/>
                      </a:prstGeom>
                      <a:solidFill>
                        <a:schemeClr val="accent2">
                          <a:alpha val="73000"/>
                        </a:schemeClr>
                      </a:solidFill>
                      <a:ln>
                        <a:solidFill>
                          <a:schemeClr val="accent2"/>
                        </a:solidFill>
                      </a:ln>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rgbClr val="000000"/>
                              </a:solidFill>
                              <a:latin typeface="Times New Roman"/>
                              <a:cs typeface="Times New Roman"/>
                            </a:rPr>
                            <a:t>Forecasted indicator</a:t>
                          </a:r>
                          <a:endParaRPr lang="en-US" sz="1200" b="1" dirty="0">
                            <a:solidFill>
                              <a:srgbClr val="000000"/>
                            </a:solidFill>
                            <a:latin typeface="Times New Roman"/>
                            <a:cs typeface="Times New Roman"/>
                          </a:endParaRPr>
                        </a:p>
                      </a:txBody>
                      <a:useSpRect/>
                    </a:txSp>
                    <a:style>
                      <a:lnRef idx="1">
                        <a:schemeClr val="accent1"/>
                      </a:lnRef>
                      <a:fillRef idx="3">
                        <a:schemeClr val="accent1"/>
                      </a:fillRef>
                      <a:effectRef idx="2">
                        <a:schemeClr val="accent1"/>
                      </a:effectRef>
                      <a:fontRef idx="minor">
                        <a:schemeClr val="lt1"/>
                      </a:fontRef>
                    </a:style>
                  </a:sp>
                  <a:sp>
                    <a:nvSpPr>
                      <a:cNvPr id="22" name="Terminator 21"/>
                      <a:cNvSpPr/>
                    </a:nvSpPr>
                    <a:spPr>
                      <a:xfrm>
                        <a:off x="7315200" y="5943600"/>
                        <a:ext cx="1371600" cy="685800"/>
                      </a:xfrm>
                      <a:prstGeom prst="flowChartTerminator">
                        <a:avLst/>
                      </a:prstGeom>
                      <a:solidFill>
                        <a:schemeClr val="accent4">
                          <a:alpha val="73000"/>
                        </a:schemeClr>
                      </a:solidFill>
                      <a:ln>
                        <a:solidFill>
                          <a:schemeClr val="accent4"/>
                        </a:solidFill>
                      </a:ln>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smtClean="0">
                              <a:solidFill>
                                <a:srgbClr val="000000"/>
                              </a:solidFill>
                              <a:latin typeface="Times New Roman"/>
                              <a:cs typeface="Times New Roman"/>
                            </a:rPr>
                            <a:t>Derived indicator </a:t>
                          </a:r>
                          <a:endParaRPr lang="en-US" sz="1200" b="1" dirty="0">
                            <a:solidFill>
                              <a:srgbClr val="000000"/>
                            </a:solidFill>
                            <a:latin typeface="Times New Roman"/>
                            <a:cs typeface="Times New Roman"/>
                          </a:endParaRPr>
                        </a:p>
                      </a:txBody>
                      <a:useSpRect/>
                    </a:txSp>
                    <a:style>
                      <a:lnRef idx="1">
                        <a:schemeClr val="accent1"/>
                      </a:lnRef>
                      <a:fillRef idx="3">
                        <a:schemeClr val="accent1"/>
                      </a:fillRef>
                      <a:effectRef idx="2">
                        <a:schemeClr val="accent1"/>
                      </a:effectRef>
                      <a:fontRef idx="minor">
                        <a:schemeClr val="lt1"/>
                      </a:fontRef>
                    </a:style>
                  </a:sp>
                  <a:cxnSp>
                    <a:nvCxnSpPr>
                      <a:cNvPr id="73" name="Straight Connector 72"/>
                      <a:cNvCxnSpPr/>
                    </a:nvCxnSpPr>
                    <a:spPr>
                      <a:xfrm>
                        <a:off x="304800" y="5715000"/>
                        <a:ext cx="8534400" cy="1588"/>
                      </a:xfrm>
                      <a:prstGeom prst="line">
                        <a:avLst/>
                      </a:prstGeom>
                      <a:ln w="50800">
                        <a:solidFill>
                          <a:schemeClr val="tx1"/>
                        </a:solidFill>
                      </a:ln>
                    </a:spPr>
                    <a:style>
                      <a:lnRef idx="2">
                        <a:schemeClr val="accent1"/>
                      </a:lnRef>
                      <a:fillRef idx="0">
                        <a:schemeClr val="accent1"/>
                      </a:fillRef>
                      <a:effectRef idx="1">
                        <a:schemeClr val="accent1"/>
                      </a:effectRef>
                      <a:fontRef idx="minor">
                        <a:schemeClr val="tx1"/>
                      </a:fontRef>
                    </a:style>
                  </a:cxnSp>
                  <a:cxnSp>
                    <a:nvCxnSpPr>
                      <a:cNvPr id="75" name="Straight Arrow Connector 74"/>
                      <a:cNvCxnSpPr>
                        <a:stCxn id="4" idx="3"/>
                      </a:cNvCxnSpPr>
                    </a:nvCxnSpPr>
                    <a:spPr>
                      <a:xfrm flipV="1">
                        <a:off x="1828800" y="1143000"/>
                        <a:ext cx="838200" cy="381000"/>
                      </a:xfrm>
                      <a:prstGeom prst="straightConnector1">
                        <a:avLst/>
                      </a:prstGeom>
                      <a:ln w="25400">
                        <a:solidFill>
                          <a:schemeClr val="tx2"/>
                        </a:solidFill>
                        <a:tailEnd type="arrow" w="med" len="med"/>
                      </a:ln>
                    </a:spPr>
                    <a:style>
                      <a:lnRef idx="2">
                        <a:schemeClr val="accent1"/>
                      </a:lnRef>
                      <a:fillRef idx="0">
                        <a:schemeClr val="accent1"/>
                      </a:fillRef>
                      <a:effectRef idx="1">
                        <a:schemeClr val="accent1"/>
                      </a:effectRef>
                      <a:fontRef idx="minor">
                        <a:schemeClr val="tx1"/>
                      </a:fontRef>
                    </a:style>
                  </a:cxnSp>
                  <a:cxnSp>
                    <a:nvCxnSpPr>
                      <a:cNvPr id="77" name="Straight Arrow Connector 76"/>
                      <a:cNvCxnSpPr>
                        <a:stCxn id="4" idx="3"/>
                      </a:cNvCxnSpPr>
                    </a:nvCxnSpPr>
                    <a:spPr>
                      <a:xfrm>
                        <a:off x="1828800" y="1524000"/>
                        <a:ext cx="914400" cy="1219200"/>
                      </a:xfrm>
                      <a:prstGeom prst="straightConnector1">
                        <a:avLst/>
                      </a:prstGeom>
                      <a:ln w="25400">
                        <a:solidFill>
                          <a:schemeClr val="tx2"/>
                        </a:solidFill>
                        <a:tailEnd type="arrow" w="med" len="med"/>
                      </a:ln>
                    </a:spPr>
                    <a:style>
                      <a:lnRef idx="2">
                        <a:schemeClr val="accent1"/>
                      </a:lnRef>
                      <a:fillRef idx="0">
                        <a:schemeClr val="accent1"/>
                      </a:fillRef>
                      <a:effectRef idx="1">
                        <a:schemeClr val="accent1"/>
                      </a:effectRef>
                      <a:fontRef idx="minor">
                        <a:schemeClr val="tx1"/>
                      </a:fontRef>
                    </a:style>
                  </a:cxnSp>
                  <a:cxnSp>
                    <a:nvCxnSpPr>
                      <a:cNvPr id="79" name="Straight Arrow Connector 78"/>
                      <a:cNvCxnSpPr>
                        <a:stCxn id="5" idx="3"/>
                      </a:cNvCxnSpPr>
                    </a:nvCxnSpPr>
                    <a:spPr>
                      <a:xfrm>
                        <a:off x="1828800" y="2895600"/>
                        <a:ext cx="838200" cy="1588"/>
                      </a:xfrm>
                      <a:prstGeom prst="straightConnector1">
                        <a:avLst/>
                      </a:prstGeom>
                      <a:ln w="25400">
                        <a:solidFill>
                          <a:schemeClr val="tx2"/>
                        </a:solidFill>
                        <a:tailEnd type="arrow" w="med" len="med"/>
                      </a:ln>
                    </a:spPr>
                    <a:style>
                      <a:lnRef idx="2">
                        <a:schemeClr val="accent1"/>
                      </a:lnRef>
                      <a:fillRef idx="0">
                        <a:schemeClr val="accent1"/>
                      </a:fillRef>
                      <a:effectRef idx="1">
                        <a:schemeClr val="accent1"/>
                      </a:effectRef>
                      <a:fontRef idx="minor">
                        <a:schemeClr val="tx1"/>
                      </a:fontRef>
                    </a:style>
                  </a:cxnSp>
                  <a:cxnSp>
                    <a:nvCxnSpPr>
                      <a:cNvPr id="81" name="Straight Arrow Connector 80"/>
                      <a:cNvCxnSpPr>
                        <a:stCxn id="5" idx="3"/>
                      </a:cNvCxnSpPr>
                    </a:nvCxnSpPr>
                    <a:spPr>
                      <a:xfrm>
                        <a:off x="1828800" y="2895600"/>
                        <a:ext cx="914400" cy="1676400"/>
                      </a:xfrm>
                      <a:prstGeom prst="straightConnector1">
                        <a:avLst/>
                      </a:prstGeom>
                      <a:ln w="25400">
                        <a:solidFill>
                          <a:schemeClr val="tx2"/>
                        </a:solidFill>
                        <a:tailEnd type="arrow" w="med" len="med"/>
                      </a:ln>
                    </a:spPr>
                    <a:style>
                      <a:lnRef idx="2">
                        <a:schemeClr val="accent1"/>
                      </a:lnRef>
                      <a:fillRef idx="0">
                        <a:schemeClr val="accent1"/>
                      </a:fillRef>
                      <a:effectRef idx="1">
                        <a:schemeClr val="accent1"/>
                      </a:effectRef>
                      <a:fontRef idx="minor">
                        <a:schemeClr val="tx1"/>
                      </a:fontRef>
                    </a:style>
                  </a:cxnSp>
                  <a:cxnSp>
                    <a:nvCxnSpPr>
                      <a:cNvPr id="83" name="Straight Arrow Connector 82"/>
                      <a:cNvCxnSpPr>
                        <a:stCxn id="6" idx="3"/>
                      </a:cNvCxnSpPr>
                    </a:nvCxnSpPr>
                    <a:spPr>
                      <a:xfrm>
                        <a:off x="1828800" y="4267200"/>
                        <a:ext cx="838200" cy="381000"/>
                      </a:xfrm>
                      <a:prstGeom prst="straightConnector1">
                        <a:avLst/>
                      </a:prstGeom>
                      <a:ln w="25400">
                        <a:solidFill>
                          <a:schemeClr val="tx2"/>
                        </a:solidFill>
                        <a:tailEnd type="arrow" w="med" len="med"/>
                      </a:ln>
                    </a:spPr>
                    <a:style>
                      <a:lnRef idx="2">
                        <a:schemeClr val="accent1"/>
                      </a:lnRef>
                      <a:fillRef idx="0">
                        <a:schemeClr val="accent1"/>
                      </a:fillRef>
                      <a:effectRef idx="1">
                        <a:schemeClr val="accent1"/>
                      </a:effectRef>
                      <a:fontRef idx="minor">
                        <a:schemeClr val="tx1"/>
                      </a:fontRef>
                    </a:style>
                  </a:cxnSp>
                  <a:cxnSp>
                    <a:nvCxnSpPr>
                      <a:cNvPr id="85" name="Curved Connector 84"/>
                      <a:cNvCxnSpPr>
                        <a:stCxn id="6" idx="3"/>
                      </a:cNvCxnSpPr>
                    </a:nvCxnSpPr>
                    <a:spPr>
                      <a:xfrm flipV="1">
                        <a:off x="1828800" y="1295400"/>
                        <a:ext cx="914400" cy="2971800"/>
                      </a:xfrm>
                      <a:prstGeom prst="curvedConnector2">
                        <a:avLst/>
                      </a:prstGeom>
                      <a:ln w="25400">
                        <a:solidFill>
                          <a:schemeClr val="tx2"/>
                        </a:solidFill>
                        <a:tailEnd type="arrow" w="med" len="med"/>
                      </a:ln>
                    </a:spPr>
                    <a:style>
                      <a:lnRef idx="2">
                        <a:schemeClr val="accent1"/>
                      </a:lnRef>
                      <a:fillRef idx="0">
                        <a:schemeClr val="accent1"/>
                      </a:fillRef>
                      <a:effectRef idx="1">
                        <a:schemeClr val="accent1"/>
                      </a:effectRef>
                      <a:fontRef idx="minor">
                        <a:schemeClr val="tx1"/>
                      </a:fontRef>
                    </a:style>
                  </a:cxnSp>
                  <a:cxnSp>
                    <a:nvCxnSpPr>
                      <a:cNvPr id="88" name="Curved Connector 87"/>
                      <a:cNvCxnSpPr>
                        <a:stCxn id="6" idx="2"/>
                      </a:cNvCxnSpPr>
                    </a:nvCxnSpPr>
                    <a:spPr>
                      <a:xfrm rot="16200000" flipH="1">
                        <a:off x="3810000" y="1828800"/>
                        <a:ext cx="762000" cy="6096000"/>
                      </a:xfrm>
                      <a:prstGeom prst="curvedConnector2">
                        <a:avLst/>
                      </a:prstGeom>
                      <a:ln w="25400">
                        <a:solidFill>
                          <a:schemeClr val="tx2"/>
                        </a:solidFill>
                        <a:tailEnd type="arrow" w="med" len="med"/>
                      </a:ln>
                    </a:spPr>
                    <a:style>
                      <a:lnRef idx="2">
                        <a:schemeClr val="accent1"/>
                      </a:lnRef>
                      <a:fillRef idx="0">
                        <a:schemeClr val="accent1"/>
                      </a:fillRef>
                      <a:effectRef idx="1">
                        <a:schemeClr val="accent1"/>
                      </a:effectRef>
                      <a:fontRef idx="minor">
                        <a:schemeClr val="tx1"/>
                      </a:fontRef>
                    </a:style>
                  </a:cxnSp>
                  <a:cxnSp>
                    <a:nvCxnSpPr>
                      <a:cNvPr id="92" name="Shape 91"/>
                      <a:cNvCxnSpPr>
                        <a:stCxn id="6" idx="1"/>
                        <a:endCxn id="14" idx="0"/>
                      </a:cNvCxnSpPr>
                    </a:nvCxnSpPr>
                    <a:spPr>
                      <a:xfrm rot="10800000" flipH="1">
                        <a:off x="457200" y="381000"/>
                        <a:ext cx="7543800" cy="3886200"/>
                      </a:xfrm>
                      <a:prstGeom prst="curvedConnector4">
                        <a:avLst>
                          <a:gd name="adj1" fmla="val -5095"/>
                          <a:gd name="adj2" fmla="val 107423"/>
                        </a:avLst>
                      </a:prstGeom>
                      <a:ln w="25400">
                        <a:solidFill>
                          <a:schemeClr val="tx2"/>
                        </a:solidFill>
                        <a:tailEnd type="arrow" w="med" len="med"/>
                      </a:ln>
                    </a:spPr>
                    <a:style>
                      <a:lnRef idx="2">
                        <a:schemeClr val="accent1"/>
                      </a:lnRef>
                      <a:fillRef idx="0">
                        <a:schemeClr val="accent1"/>
                      </a:fillRef>
                      <a:effectRef idx="1">
                        <a:schemeClr val="accent1"/>
                      </a:effectRef>
                      <a:fontRef idx="minor">
                        <a:schemeClr val="tx1"/>
                      </a:fontRef>
                    </a:style>
                  </a:cxnSp>
                  <a:cxnSp>
                    <a:nvCxnSpPr>
                      <a:cNvPr id="97" name="Curved Connector 96"/>
                      <a:cNvCxnSpPr>
                        <a:stCxn id="4" idx="0"/>
                      </a:cNvCxnSpPr>
                    </a:nvCxnSpPr>
                    <a:spPr>
                      <a:xfrm rot="5400000" flipH="1" flipV="1">
                        <a:off x="3771900" y="-2171700"/>
                        <a:ext cx="838200" cy="6096000"/>
                      </a:xfrm>
                      <a:prstGeom prst="curvedConnector2">
                        <a:avLst/>
                      </a:prstGeom>
                      <a:ln w="25400">
                        <a:solidFill>
                          <a:schemeClr val="tx2"/>
                        </a:solidFill>
                        <a:tailEnd type="arrow" w="med" len="med"/>
                      </a:ln>
                    </a:spPr>
                    <a:style>
                      <a:lnRef idx="2">
                        <a:schemeClr val="accent1"/>
                      </a:lnRef>
                      <a:fillRef idx="0">
                        <a:schemeClr val="accent1"/>
                      </a:fillRef>
                      <a:effectRef idx="1">
                        <a:schemeClr val="accent1"/>
                      </a:effectRef>
                      <a:fontRef idx="minor">
                        <a:schemeClr val="tx1"/>
                      </a:fontRef>
                    </a:style>
                  </a:cxnSp>
                  <a:cxnSp>
                    <a:nvCxnSpPr>
                      <a:cNvPr id="102" name="Straight Arrow Connector 101"/>
                      <a:cNvCxnSpPr>
                        <a:stCxn id="9" idx="3"/>
                        <a:endCxn id="12" idx="1"/>
                      </a:cNvCxnSpPr>
                    </a:nvCxnSpPr>
                    <a:spPr>
                      <a:xfrm>
                        <a:off x="4114800" y="2895600"/>
                        <a:ext cx="914400" cy="1588"/>
                      </a:xfrm>
                      <a:prstGeom prst="straightConnector1">
                        <a:avLst/>
                      </a:prstGeom>
                      <a:ln w="25400">
                        <a:solidFill>
                          <a:schemeClr val="tx2"/>
                        </a:solidFill>
                        <a:tailEnd type="arrow" w="med" len="med"/>
                      </a:ln>
                    </a:spPr>
                    <a:style>
                      <a:lnRef idx="2">
                        <a:schemeClr val="accent1"/>
                      </a:lnRef>
                      <a:fillRef idx="0">
                        <a:schemeClr val="accent1"/>
                      </a:fillRef>
                      <a:effectRef idx="1">
                        <a:schemeClr val="accent1"/>
                      </a:effectRef>
                      <a:fontRef idx="minor">
                        <a:schemeClr val="tx1"/>
                      </a:fontRef>
                    </a:style>
                  </a:cxnSp>
                  <a:cxnSp>
                    <a:nvCxnSpPr>
                      <a:cNvPr id="104" name="Straight Arrow Connector 103"/>
                      <a:cNvCxnSpPr>
                        <a:stCxn id="10" idx="3"/>
                      </a:cNvCxnSpPr>
                    </a:nvCxnSpPr>
                    <a:spPr>
                      <a:xfrm flipV="1">
                        <a:off x="4114800" y="3124200"/>
                        <a:ext cx="914400" cy="1600200"/>
                      </a:xfrm>
                      <a:prstGeom prst="straightConnector1">
                        <a:avLst/>
                      </a:prstGeom>
                      <a:ln w="25400">
                        <a:solidFill>
                          <a:schemeClr val="tx2"/>
                        </a:solidFill>
                        <a:tailEnd type="arrow" w="med" len="med"/>
                      </a:ln>
                    </a:spPr>
                    <a:style>
                      <a:lnRef idx="2">
                        <a:schemeClr val="accent1"/>
                      </a:lnRef>
                      <a:fillRef idx="0">
                        <a:schemeClr val="accent1"/>
                      </a:fillRef>
                      <a:effectRef idx="1">
                        <a:schemeClr val="accent1"/>
                      </a:effectRef>
                      <a:fontRef idx="minor">
                        <a:schemeClr val="tx1"/>
                      </a:fontRef>
                    </a:style>
                  </a:cxnSp>
                  <a:cxnSp>
                    <a:nvCxnSpPr>
                      <a:cNvPr id="106" name="Straight Arrow Connector 105"/>
                      <a:cNvCxnSpPr>
                        <a:stCxn id="11" idx="2"/>
                      </a:cNvCxnSpPr>
                    </a:nvCxnSpPr>
                    <a:spPr>
                      <a:xfrm rot="5400000">
                        <a:off x="5295900" y="2171700"/>
                        <a:ext cx="838200" cy="1588"/>
                      </a:xfrm>
                      <a:prstGeom prst="straightConnector1">
                        <a:avLst/>
                      </a:prstGeom>
                      <a:ln w="25400">
                        <a:solidFill>
                          <a:schemeClr val="tx2"/>
                        </a:solidFill>
                        <a:tailEnd type="arrow" w="med" len="med"/>
                      </a:ln>
                    </a:spPr>
                    <a:style>
                      <a:lnRef idx="2">
                        <a:schemeClr val="accent1"/>
                      </a:lnRef>
                      <a:fillRef idx="0">
                        <a:schemeClr val="accent1"/>
                      </a:fillRef>
                      <a:effectRef idx="1">
                        <a:schemeClr val="accent1"/>
                      </a:effectRef>
                      <a:fontRef idx="minor">
                        <a:schemeClr val="tx1"/>
                      </a:fontRef>
                    </a:style>
                  </a:cxnSp>
                  <a:cxnSp>
                    <a:nvCxnSpPr>
                      <a:cNvPr id="108" name="Straight Arrow Connector 107"/>
                      <a:cNvCxnSpPr>
                        <a:stCxn id="13" idx="0"/>
                      </a:cNvCxnSpPr>
                    </a:nvCxnSpPr>
                    <a:spPr>
                      <a:xfrm rot="5400000" flipH="1" flipV="1">
                        <a:off x="5295900" y="3619500"/>
                        <a:ext cx="838200" cy="1588"/>
                      </a:xfrm>
                      <a:prstGeom prst="straightConnector1">
                        <a:avLst/>
                      </a:prstGeom>
                      <a:ln w="25400">
                        <a:solidFill>
                          <a:schemeClr val="tx2"/>
                        </a:solidFill>
                        <a:tailEnd type="arrow" w="med" len="med"/>
                      </a:ln>
                    </a:spPr>
                    <a:style>
                      <a:lnRef idx="2">
                        <a:schemeClr val="accent1"/>
                      </a:lnRef>
                      <a:fillRef idx="0">
                        <a:schemeClr val="accent1"/>
                      </a:fillRef>
                      <a:effectRef idx="1">
                        <a:schemeClr val="accent1"/>
                      </a:effectRef>
                      <a:fontRef idx="minor">
                        <a:schemeClr val="tx1"/>
                      </a:fontRef>
                    </a:style>
                  </a:cxnSp>
                  <a:cxnSp>
                    <a:nvCxnSpPr>
                      <a:cNvPr id="110" name="Curved Connector 109"/>
                      <a:cNvCxnSpPr>
                        <a:stCxn id="5" idx="3"/>
                      </a:cNvCxnSpPr>
                    </a:nvCxnSpPr>
                    <a:spPr>
                      <a:xfrm flipV="1">
                        <a:off x="1828800" y="1524000"/>
                        <a:ext cx="3124200" cy="1371600"/>
                      </a:xfrm>
                      <a:prstGeom prst="curvedConnector3">
                        <a:avLst>
                          <a:gd name="adj1" fmla="val 22764"/>
                        </a:avLst>
                      </a:prstGeom>
                      <a:ln w="25400">
                        <a:solidFill>
                          <a:schemeClr val="tx2"/>
                        </a:solidFill>
                        <a:tailEnd type="arrow" w="med" len="med"/>
                      </a:ln>
                    </a:spPr>
                    <a:style>
                      <a:lnRef idx="2">
                        <a:schemeClr val="accent1"/>
                      </a:lnRef>
                      <a:fillRef idx="0">
                        <a:schemeClr val="accent1"/>
                      </a:fillRef>
                      <a:effectRef idx="1">
                        <a:schemeClr val="accent1"/>
                      </a:effectRef>
                      <a:fontRef idx="minor">
                        <a:schemeClr val="tx1"/>
                      </a:fontRef>
                    </a:style>
                  </a:cxnSp>
                  <a:cxnSp>
                    <a:nvCxnSpPr>
                      <a:cNvPr id="115" name="Curved Connector 114"/>
                      <a:cNvCxnSpPr>
                        <a:stCxn id="10" idx="3"/>
                      </a:cNvCxnSpPr>
                    </a:nvCxnSpPr>
                    <a:spPr>
                      <a:xfrm flipV="1">
                        <a:off x="4114800" y="1676400"/>
                        <a:ext cx="914400" cy="3048000"/>
                      </a:xfrm>
                      <a:prstGeom prst="curvedConnector2">
                        <a:avLst/>
                      </a:prstGeom>
                      <a:ln w="25400">
                        <a:solidFill>
                          <a:schemeClr val="tx2"/>
                        </a:solidFill>
                        <a:tailEnd type="arrow" w="med" len="med"/>
                      </a:ln>
                    </a:spPr>
                    <a:style>
                      <a:lnRef idx="2">
                        <a:schemeClr val="accent1"/>
                      </a:lnRef>
                      <a:fillRef idx="0">
                        <a:schemeClr val="accent1"/>
                      </a:fillRef>
                      <a:effectRef idx="1">
                        <a:schemeClr val="accent1"/>
                      </a:effectRef>
                      <a:fontRef idx="minor">
                        <a:schemeClr val="tx1"/>
                      </a:fontRef>
                    </a:style>
                  </a:cxnSp>
                  <a:cxnSp>
                    <a:nvCxnSpPr>
                      <a:cNvPr id="119" name="Straight Arrow Connector 118"/>
                      <a:cNvCxnSpPr>
                        <a:stCxn id="9" idx="3"/>
                      </a:cNvCxnSpPr>
                    </a:nvCxnSpPr>
                    <a:spPr>
                      <a:xfrm flipV="1">
                        <a:off x="4114800" y="1600200"/>
                        <a:ext cx="838200" cy="1295400"/>
                      </a:xfrm>
                      <a:prstGeom prst="straightConnector1">
                        <a:avLst/>
                      </a:prstGeom>
                      <a:ln w="25400">
                        <a:solidFill>
                          <a:schemeClr val="tx2"/>
                        </a:solidFill>
                        <a:tailEnd type="arrow" w="med" len="med"/>
                      </a:ln>
                    </a:spPr>
                    <a:style>
                      <a:lnRef idx="2">
                        <a:schemeClr val="accent1"/>
                      </a:lnRef>
                      <a:fillRef idx="0">
                        <a:schemeClr val="accent1"/>
                      </a:fillRef>
                      <a:effectRef idx="1">
                        <a:schemeClr val="accent1"/>
                      </a:effectRef>
                      <a:fontRef idx="minor">
                        <a:schemeClr val="tx1"/>
                      </a:fontRef>
                    </a:style>
                  </a:cxnSp>
                  <a:cxnSp>
                    <a:nvCxnSpPr>
                      <a:cNvPr id="122" name="Straight Arrow Connector 121"/>
                      <a:cNvCxnSpPr>
                        <a:stCxn id="9" idx="3"/>
                      </a:cNvCxnSpPr>
                    </a:nvCxnSpPr>
                    <a:spPr>
                      <a:xfrm>
                        <a:off x="4114800" y="2895600"/>
                        <a:ext cx="838200" cy="1295400"/>
                      </a:xfrm>
                      <a:prstGeom prst="straightConnector1">
                        <a:avLst/>
                      </a:prstGeom>
                      <a:ln w="25400">
                        <a:solidFill>
                          <a:schemeClr val="tx2"/>
                        </a:solidFill>
                        <a:tailEnd type="arrow" w="med" len="med"/>
                      </a:ln>
                    </a:spPr>
                    <a:style>
                      <a:lnRef idx="2">
                        <a:schemeClr val="accent1"/>
                      </a:lnRef>
                      <a:fillRef idx="0">
                        <a:schemeClr val="accent1"/>
                      </a:fillRef>
                      <a:effectRef idx="1">
                        <a:schemeClr val="accent1"/>
                      </a:effectRef>
                      <a:fontRef idx="minor">
                        <a:schemeClr val="tx1"/>
                      </a:fontRef>
                    </a:style>
                  </a:cxnSp>
                  <a:cxnSp>
                    <a:nvCxnSpPr>
                      <a:cNvPr id="124" name="Curved Connector 123"/>
                      <a:cNvCxnSpPr>
                        <a:stCxn id="5" idx="3"/>
                      </a:cNvCxnSpPr>
                    </a:nvCxnSpPr>
                    <a:spPr>
                      <a:xfrm>
                        <a:off x="1828800" y="2895600"/>
                        <a:ext cx="3124200" cy="1371600"/>
                      </a:xfrm>
                      <a:prstGeom prst="curvedConnector3">
                        <a:avLst>
                          <a:gd name="adj1" fmla="val 26422"/>
                        </a:avLst>
                      </a:prstGeom>
                      <a:ln w="25400">
                        <a:solidFill>
                          <a:schemeClr val="tx2"/>
                        </a:solidFill>
                        <a:tailEnd type="arrow" w="med" len="med"/>
                      </a:ln>
                    </a:spPr>
                    <a:style>
                      <a:lnRef idx="2">
                        <a:schemeClr val="accent1"/>
                      </a:lnRef>
                      <a:fillRef idx="0">
                        <a:schemeClr val="accent1"/>
                      </a:fillRef>
                      <a:effectRef idx="1">
                        <a:schemeClr val="accent1"/>
                      </a:effectRef>
                      <a:fontRef idx="minor">
                        <a:schemeClr val="tx1"/>
                      </a:fontRef>
                    </a:style>
                  </a:cxnSp>
                  <a:cxnSp>
                    <a:nvCxnSpPr>
                      <a:cNvPr id="127" name="Straight Arrow Connector 126"/>
                      <a:cNvCxnSpPr>
                        <a:stCxn id="13" idx="3"/>
                      </a:cNvCxnSpPr>
                    </a:nvCxnSpPr>
                    <a:spPr>
                      <a:xfrm>
                        <a:off x="6400800" y="4267200"/>
                        <a:ext cx="914400" cy="762000"/>
                      </a:xfrm>
                      <a:prstGeom prst="straightConnector1">
                        <a:avLst/>
                      </a:prstGeom>
                      <a:ln w="25400">
                        <a:solidFill>
                          <a:schemeClr val="tx2"/>
                        </a:solidFill>
                        <a:tailEnd type="arrow" w="med" len="med"/>
                      </a:ln>
                    </a:spPr>
                    <a:style>
                      <a:lnRef idx="2">
                        <a:schemeClr val="accent1"/>
                      </a:lnRef>
                      <a:fillRef idx="0">
                        <a:schemeClr val="accent1"/>
                      </a:fillRef>
                      <a:effectRef idx="1">
                        <a:schemeClr val="accent1"/>
                      </a:effectRef>
                      <a:fontRef idx="minor">
                        <a:schemeClr val="tx1"/>
                      </a:fontRef>
                    </a:style>
                  </a:cxnSp>
                  <a:cxnSp>
                    <a:nvCxnSpPr>
                      <a:cNvPr id="129" name="Straight Arrow Connector 128"/>
                      <a:cNvCxnSpPr>
                        <a:stCxn id="11" idx="3"/>
                      </a:cNvCxnSpPr>
                    </a:nvCxnSpPr>
                    <a:spPr>
                      <a:xfrm>
                        <a:off x="6400800" y="1524000"/>
                        <a:ext cx="914400" cy="2514600"/>
                      </a:xfrm>
                      <a:prstGeom prst="straightConnector1">
                        <a:avLst/>
                      </a:prstGeom>
                      <a:ln w="25400">
                        <a:solidFill>
                          <a:schemeClr val="tx2"/>
                        </a:solidFill>
                        <a:tailEnd type="arrow" w="med" len="med"/>
                      </a:ln>
                    </a:spPr>
                    <a:style>
                      <a:lnRef idx="2">
                        <a:schemeClr val="accent1"/>
                      </a:lnRef>
                      <a:fillRef idx="0">
                        <a:schemeClr val="accent1"/>
                      </a:fillRef>
                      <a:effectRef idx="1">
                        <a:schemeClr val="accent1"/>
                      </a:effectRef>
                      <a:fontRef idx="minor">
                        <a:schemeClr val="tx1"/>
                      </a:fontRef>
                    </a:style>
                  </a:cxnSp>
                  <a:cxnSp>
                    <a:nvCxnSpPr>
                      <a:cNvPr id="131" name="Straight Arrow Connector 130"/>
                      <a:cNvCxnSpPr>
                        <a:stCxn id="12" idx="3"/>
                      </a:cNvCxnSpPr>
                    </a:nvCxnSpPr>
                    <a:spPr>
                      <a:xfrm>
                        <a:off x="6400800" y="2895600"/>
                        <a:ext cx="838200" cy="1219200"/>
                      </a:xfrm>
                      <a:prstGeom prst="straightConnector1">
                        <a:avLst/>
                      </a:prstGeom>
                      <a:ln w="25400">
                        <a:solidFill>
                          <a:schemeClr val="tx2"/>
                        </a:solidFill>
                        <a:tailEnd type="arrow" w="med" len="med"/>
                      </a:ln>
                    </a:spPr>
                    <a:style>
                      <a:lnRef idx="2">
                        <a:schemeClr val="accent1"/>
                      </a:lnRef>
                      <a:fillRef idx="0">
                        <a:schemeClr val="accent1"/>
                      </a:fillRef>
                      <a:effectRef idx="1">
                        <a:schemeClr val="accent1"/>
                      </a:effectRef>
                      <a:fontRef idx="minor">
                        <a:schemeClr val="tx1"/>
                      </a:fontRef>
                    </a:style>
                  </a:cxnSp>
                  <a:cxnSp>
                    <a:nvCxnSpPr>
                      <a:cNvPr id="133" name="Straight Arrow Connector 132"/>
                      <a:cNvCxnSpPr>
                        <a:stCxn id="12" idx="3"/>
                      </a:cNvCxnSpPr>
                    </a:nvCxnSpPr>
                    <a:spPr>
                      <a:xfrm>
                        <a:off x="6400800" y="2895600"/>
                        <a:ext cx="838200" cy="381000"/>
                      </a:xfrm>
                      <a:prstGeom prst="straightConnector1">
                        <a:avLst/>
                      </a:prstGeom>
                      <a:ln w="25400">
                        <a:solidFill>
                          <a:schemeClr val="tx2"/>
                        </a:solidFill>
                        <a:tailEnd type="arrow" w="med" len="med"/>
                      </a:ln>
                    </a:spPr>
                    <a:style>
                      <a:lnRef idx="2">
                        <a:schemeClr val="accent1"/>
                      </a:lnRef>
                      <a:fillRef idx="0">
                        <a:schemeClr val="accent1"/>
                      </a:fillRef>
                      <a:effectRef idx="1">
                        <a:schemeClr val="accent1"/>
                      </a:effectRef>
                      <a:fontRef idx="minor">
                        <a:schemeClr val="tx1"/>
                      </a:fontRef>
                    </a:style>
                  </a:cxnSp>
                  <a:cxnSp>
                    <a:nvCxnSpPr>
                      <a:cNvPr id="135" name="Straight Arrow Connector 134"/>
                      <a:cNvCxnSpPr>
                        <a:stCxn id="12" idx="3"/>
                      </a:cNvCxnSpPr>
                    </a:nvCxnSpPr>
                    <a:spPr>
                      <a:xfrm flipV="1">
                        <a:off x="6400800" y="2514600"/>
                        <a:ext cx="838200" cy="381000"/>
                      </a:xfrm>
                      <a:prstGeom prst="straightConnector1">
                        <a:avLst/>
                      </a:prstGeom>
                      <a:ln w="25400">
                        <a:solidFill>
                          <a:schemeClr val="tx2"/>
                        </a:solidFill>
                        <a:tailEnd type="arrow" w="med" len="med"/>
                      </a:ln>
                    </a:spPr>
                    <a:style>
                      <a:lnRef idx="2">
                        <a:schemeClr val="accent1"/>
                      </a:lnRef>
                      <a:fillRef idx="0">
                        <a:schemeClr val="accent1"/>
                      </a:fillRef>
                      <a:effectRef idx="1">
                        <a:schemeClr val="accent1"/>
                      </a:effectRef>
                      <a:fontRef idx="minor">
                        <a:schemeClr val="tx1"/>
                      </a:fontRef>
                    </a:style>
                  </a:cxnSp>
                  <a:cxnSp>
                    <a:nvCxnSpPr>
                      <a:cNvPr id="137" name="Curved Connector 136"/>
                      <a:cNvCxnSpPr>
                        <a:stCxn id="14" idx="3"/>
                        <a:endCxn id="16" idx="3"/>
                      </a:cNvCxnSpPr>
                    </a:nvCxnSpPr>
                    <a:spPr>
                      <a:xfrm>
                        <a:off x="8686800" y="609600"/>
                        <a:ext cx="1588" cy="1828800"/>
                      </a:xfrm>
                      <a:prstGeom prst="curvedConnector3">
                        <a:avLst>
                          <a:gd name="adj1" fmla="val 14395466"/>
                        </a:avLst>
                      </a:prstGeom>
                      <a:ln w="25400">
                        <a:solidFill>
                          <a:schemeClr val="tx2"/>
                        </a:solidFill>
                        <a:tailEnd type="arrow" w="med" len="med"/>
                      </a:ln>
                    </a:spPr>
                    <a:style>
                      <a:lnRef idx="2">
                        <a:schemeClr val="accent1"/>
                      </a:lnRef>
                      <a:fillRef idx="0">
                        <a:schemeClr val="accent1"/>
                      </a:fillRef>
                      <a:effectRef idx="1">
                        <a:schemeClr val="accent1"/>
                      </a:effectRef>
                      <a:fontRef idx="minor">
                        <a:schemeClr val="tx1"/>
                      </a:fontRef>
                    </a:style>
                  </a:cxnSp>
                  <a:cxnSp>
                    <a:nvCxnSpPr>
                      <a:cNvPr id="139" name="Curved Connector 138"/>
                      <a:cNvCxnSpPr>
                        <a:stCxn id="15" idx="3"/>
                        <a:endCxn id="17" idx="3"/>
                      </a:cNvCxnSpPr>
                    </a:nvCxnSpPr>
                    <a:spPr>
                      <a:xfrm>
                        <a:off x="8686800" y="1524000"/>
                        <a:ext cx="1588" cy="1828800"/>
                      </a:xfrm>
                      <a:prstGeom prst="curvedConnector3">
                        <a:avLst>
                          <a:gd name="adj1" fmla="val 14395466"/>
                        </a:avLst>
                      </a:prstGeom>
                      <a:ln w="25400">
                        <a:solidFill>
                          <a:schemeClr val="tx2"/>
                        </a:solidFill>
                        <a:tailEnd type="arrow" w="med" len="med"/>
                      </a:ln>
                    </a:spPr>
                    <a:style>
                      <a:lnRef idx="2">
                        <a:schemeClr val="accent1"/>
                      </a:lnRef>
                      <a:fillRef idx="0">
                        <a:schemeClr val="accent1"/>
                      </a:fillRef>
                      <a:effectRef idx="1">
                        <a:schemeClr val="accent1"/>
                      </a:effectRef>
                      <a:fontRef idx="minor">
                        <a:schemeClr val="tx1"/>
                      </a:fontRef>
                    </a:style>
                  </a:cxnSp>
                  <a:cxnSp>
                    <a:nvCxnSpPr>
                      <a:cNvPr id="141" name="Straight Arrow Connector 140"/>
                      <a:cNvCxnSpPr>
                        <a:stCxn id="11" idx="3"/>
                      </a:cNvCxnSpPr>
                    </a:nvCxnSpPr>
                    <a:spPr>
                      <a:xfrm>
                        <a:off x="6400800" y="1524000"/>
                        <a:ext cx="838200" cy="1588"/>
                      </a:xfrm>
                      <a:prstGeom prst="straightConnector1">
                        <a:avLst/>
                      </a:prstGeom>
                      <a:ln w="25400">
                        <a:solidFill>
                          <a:schemeClr val="tx2"/>
                        </a:solidFill>
                        <a:tailEnd type="arrow" w="med" len="med"/>
                      </a:ln>
                    </a:spPr>
                    <a:style>
                      <a:lnRef idx="2">
                        <a:schemeClr val="accent1"/>
                      </a:lnRef>
                      <a:fillRef idx="0">
                        <a:schemeClr val="accent1"/>
                      </a:fillRef>
                      <a:effectRef idx="1">
                        <a:schemeClr val="accent1"/>
                      </a:effectRef>
                      <a:fontRef idx="minor">
                        <a:schemeClr val="tx1"/>
                      </a:fontRef>
                    </a:style>
                  </a:cxnSp>
                  <a:cxnSp>
                    <a:nvCxnSpPr>
                      <a:cNvPr id="145" name="Curved Connector 144"/>
                      <a:cNvCxnSpPr>
                        <a:stCxn id="16" idx="2"/>
                        <a:endCxn id="13" idx="0"/>
                      </a:cNvCxnSpPr>
                    </a:nvCxnSpPr>
                    <a:spPr>
                      <a:xfrm rot="5400000">
                        <a:off x="6172200" y="2209800"/>
                        <a:ext cx="1371600" cy="2286000"/>
                      </a:xfrm>
                      <a:prstGeom prst="curvedConnector3">
                        <a:avLst>
                          <a:gd name="adj1" fmla="val 37037"/>
                        </a:avLst>
                      </a:prstGeom>
                      <a:ln w="25400">
                        <a:solidFill>
                          <a:schemeClr val="tx2"/>
                        </a:solidFill>
                        <a:tailEnd type="arrow" w="med" len="med"/>
                      </a:ln>
                    </a:spPr>
                    <a:style>
                      <a:lnRef idx="2">
                        <a:schemeClr val="accent1"/>
                      </a:lnRef>
                      <a:fillRef idx="0">
                        <a:schemeClr val="accent1"/>
                      </a:fillRef>
                      <a:effectRef idx="1">
                        <a:schemeClr val="accent1"/>
                      </a:effectRef>
                      <a:fontRef idx="minor">
                        <a:schemeClr val="tx1"/>
                      </a:fontRef>
                    </a:style>
                  </a:cxnSp>
                </lc:lockedCanvas>
              </a:graphicData>
            </a:graphic>
          </wp:inline>
        </w:drawing>
      </w:r>
    </w:p>
    <w:p w:rsidR="00053A06" w:rsidRDefault="006B1499" w:rsidP="006B1499">
      <w:pPr>
        <w:rPr>
          <w:b/>
        </w:rPr>
      </w:pPr>
      <w:r w:rsidRPr="004F1F9C">
        <w:rPr>
          <w:b/>
        </w:rPr>
        <w:t xml:space="preserve">Figure 4.3 Modeling </w:t>
      </w:r>
      <w:r>
        <w:rPr>
          <w:b/>
        </w:rPr>
        <w:t>t</w:t>
      </w:r>
      <w:r w:rsidRPr="004F1F9C">
        <w:rPr>
          <w:b/>
        </w:rPr>
        <w:t xml:space="preserve">ransportation </w:t>
      </w:r>
      <w:r>
        <w:rPr>
          <w:b/>
        </w:rPr>
        <w:t>i</w:t>
      </w:r>
      <w:r w:rsidRPr="004F1F9C">
        <w:rPr>
          <w:b/>
        </w:rPr>
        <w:t>nfrastructure in IFs</w:t>
      </w:r>
    </w:p>
    <w:p w:rsidR="006B1499" w:rsidRPr="004F1F9C" w:rsidRDefault="006B1499" w:rsidP="006B1499"/>
    <w:p w:rsidR="0029638B" w:rsidRDefault="006B1499" w:rsidP="006B1499">
      <w:r w:rsidRPr="004F1F9C">
        <w:t>We forecast the demand for total road density as a function of income density (GDP per unit land area), population density, and land area using the following equation:</w:t>
      </w:r>
    </w:p>
    <w:p w:rsidR="006B1499" w:rsidRPr="004F1F9C" w:rsidRDefault="006B1499" w:rsidP="006B1499"/>
    <w:p w:rsidR="006B1499" w:rsidRPr="000F11AC" w:rsidRDefault="00F7383F" w:rsidP="006B1499">
      <m:oMathPara>
        <m:oMath>
          <m:func>
            <m:funcPr>
              <m:ctrlPr>
                <w:rPr>
                  <w:rFonts w:ascii="Cambria Math" w:hAnsi="Cambria Math"/>
                  <w:i/>
                </w:rPr>
              </m:ctrlPr>
            </m:funcPr>
            <m:fName>
              <m:r>
                <m:rPr>
                  <m:nor/>
                </m:rPr>
                <w:rPr>
                  <w:rFonts w:ascii="Cambria Math" w:hAnsi="Cambria Math"/>
                </w:rPr>
                <m:t>ln</m:t>
              </m:r>
            </m:fName>
            <m:e>
              <m:d>
                <m:dPr>
                  <m:ctrlPr>
                    <w:rPr>
                      <w:rFonts w:ascii="Cambria Math" w:hAnsi="Cambria Math"/>
                      <w:i/>
                    </w:rPr>
                  </m:ctrlPr>
                </m:dPr>
                <m:e>
                  <m:r>
                    <m:rPr>
                      <m:nor/>
                    </m:rPr>
                    <w:rPr>
                      <w:rFonts w:ascii="Cambria Math" w:hAnsi="Cambria Math" w:cs="STIXGeneral"/>
                    </w:rPr>
                    <m:t>INFRAROAD</m:t>
                  </m:r>
                </m:e>
              </m:d>
            </m:e>
          </m:func>
          <m:r>
            <m:rPr>
              <m:nor/>
            </m:rPr>
            <w:rPr>
              <w:rFonts w:ascii="Cambria Math" w:hAnsi="Cambria Math"/>
            </w:rPr>
            <m:t>=-2.539+0.483</m:t>
          </m:r>
          <m:r>
            <m:rPr>
              <m:nor/>
            </m:rPr>
            <w:rPr>
              <w:rFonts w:ascii="Cambria Math" w:hAnsi="Cambria Math" w:cs="Menlo Regular"/>
            </w:rPr>
            <m:t>*</m:t>
          </m:r>
          <m:func>
            <m:funcPr>
              <m:ctrlPr>
                <w:rPr>
                  <w:rFonts w:ascii="Cambria Math" w:hAnsi="Cambria Math"/>
                </w:rPr>
              </m:ctrlPr>
            </m:funcPr>
            <m:fName>
              <m:r>
                <m:rPr>
                  <m:nor/>
                </m:rPr>
                <w:rPr>
                  <w:rFonts w:ascii="Cambria Math" w:hAnsi="Cambria Math"/>
                </w:rPr>
                <m:t>ln</m:t>
              </m:r>
              <m:ctrlPr>
                <w:rPr>
                  <w:rFonts w:ascii="Cambria Math" w:hAnsi="Cambria Math"/>
                  <w:i/>
                </w:rPr>
              </m:ctrlPr>
            </m:fName>
            <m:e>
              <m:d>
                <m:dPr>
                  <m:ctrlPr>
                    <w:rPr>
                      <w:rFonts w:ascii="Cambria Math" w:hAnsi="Cambria Math"/>
                      <w:i/>
                    </w:rPr>
                  </m:ctrlPr>
                </m:dPr>
                <m:e>
                  <m:r>
                    <m:rPr>
                      <m:nor/>
                    </m:rPr>
                    <w:rPr>
                      <w:rFonts w:ascii="Cambria Math" w:hAnsi="Cambria Math" w:cs="STIXGeneral"/>
                    </w:rPr>
                    <m:t>income</m:t>
                  </m:r>
                  <m:r>
                    <m:rPr>
                      <m:nor/>
                    </m:rPr>
                    <w:rPr>
                      <w:rFonts w:ascii="Cambria Math" w:hAnsi="Cambria Math"/>
                    </w:rPr>
                    <m:t xml:space="preserve"> </m:t>
                  </m:r>
                  <m:r>
                    <m:rPr>
                      <m:nor/>
                    </m:rPr>
                    <w:rPr>
                      <w:rFonts w:ascii="Cambria Math" w:hAnsi="Cambria Math" w:cs="STIXGeneral"/>
                    </w:rPr>
                    <m:t>density</m:t>
                  </m:r>
                </m:e>
              </m:d>
            </m:e>
          </m:func>
          <m:r>
            <m:rPr>
              <m:nor/>
            </m:rPr>
            <w:rPr>
              <w:rFonts w:ascii="Cambria Math" w:hAnsi="Cambria Math"/>
            </w:rPr>
            <m:t>+0.183</m:t>
          </m:r>
          <m:r>
            <m:rPr>
              <m:nor/>
            </m:rPr>
            <w:rPr>
              <w:rFonts w:ascii="Cambria Math" w:hAnsi="Cambria Math" w:cs="Menlo Regular"/>
            </w:rPr>
            <m:t>*</m:t>
          </m:r>
          <m:func>
            <m:funcPr>
              <m:ctrlPr>
                <w:rPr>
                  <w:rFonts w:ascii="Cambria Math" w:hAnsi="Cambria Math"/>
                </w:rPr>
              </m:ctrlPr>
            </m:funcPr>
            <m:fName>
              <m:r>
                <m:rPr>
                  <m:nor/>
                </m:rPr>
                <w:rPr>
                  <w:rFonts w:ascii="Cambria Math" w:hAnsi="Cambria Math"/>
                </w:rPr>
                <m:t>ln</m:t>
              </m:r>
              <m:ctrlPr>
                <w:rPr>
                  <w:rFonts w:ascii="Cambria Math" w:hAnsi="Cambria Math"/>
                  <w:i/>
                </w:rPr>
              </m:ctrlPr>
            </m:fName>
            <m:e>
              <m:d>
                <m:dPr>
                  <m:ctrlPr>
                    <w:rPr>
                      <w:rFonts w:ascii="Cambria Math" w:hAnsi="Cambria Math"/>
                      <w:i/>
                    </w:rPr>
                  </m:ctrlPr>
                </m:dPr>
                <m:e>
                  <m:r>
                    <m:rPr>
                      <m:nor/>
                    </m:rPr>
                    <w:rPr>
                      <w:rFonts w:ascii="Cambria Math" w:hAnsi="Cambria Math" w:cs="STIXGeneral"/>
                    </w:rPr>
                    <m:t>population</m:t>
                  </m:r>
                  <m:r>
                    <m:rPr>
                      <m:nor/>
                    </m:rPr>
                    <w:rPr>
                      <w:rFonts w:ascii="Cambria Math" w:hAnsi="Cambria Math"/>
                    </w:rPr>
                    <m:t xml:space="preserve"> </m:t>
                  </m:r>
                  <m:r>
                    <m:rPr>
                      <m:nor/>
                    </m:rPr>
                    <w:rPr>
                      <w:rFonts w:ascii="Cambria Math" w:hAnsi="Cambria Math" w:cs="STIXGeneral"/>
                    </w:rPr>
                    <m:t>density</m:t>
                  </m:r>
                </m:e>
              </m:d>
            </m:e>
          </m:func>
          <m:r>
            <m:rPr>
              <m:nor/>
            </m:rPr>
            <w:rPr>
              <w:rFonts w:ascii="Cambria Math" w:hAnsi="Cambria Math"/>
            </w:rPr>
            <m:t>-</m:t>
          </m:r>
        </m:oMath>
      </m:oMathPara>
    </w:p>
    <w:p w:rsidR="004C4744" w:rsidRDefault="006B1499" w:rsidP="006B1499">
      <w:pPr>
        <w:rPr>
          <w:oMath/>
          <w:rFonts w:ascii="Wingdings 2"/>
        </w:rPr>
      </w:pPr>
      <m:oMathPara>
        <m:oMath>
          <m:r>
            <m:rPr>
              <m:nor/>
            </m:rPr>
            <w:rPr>
              <w:rFonts w:ascii="Cambria Math" w:hAnsi="Cambria Math"/>
            </w:rPr>
            <m:t>0.102</m:t>
          </m:r>
          <m:r>
            <m:rPr>
              <m:nor/>
            </m:rPr>
            <w:rPr>
              <w:rFonts w:ascii="Cambria Math" w:hAnsi="Cambria Math" w:cs="Menlo Regular"/>
            </w:rPr>
            <m:t>*</m:t>
          </m:r>
          <m:func>
            <m:funcPr>
              <m:ctrlPr>
                <w:rPr>
                  <w:rFonts w:ascii="Cambria Math" w:hAnsi="Cambria Math"/>
                </w:rPr>
              </m:ctrlPr>
            </m:funcPr>
            <m:fName>
              <m:r>
                <m:rPr>
                  <m:nor/>
                </m:rPr>
                <w:rPr>
                  <w:rFonts w:ascii="Cambria Math" w:hAnsi="Cambria Math"/>
                </w:rPr>
                <m:t>ln</m:t>
              </m:r>
              <m:ctrlPr>
                <w:rPr>
                  <w:rFonts w:ascii="Cambria Math" w:hAnsi="Cambria Math"/>
                  <w:i/>
                </w:rPr>
              </m:ctrlPr>
            </m:fName>
            <m:e>
              <m:d>
                <m:dPr>
                  <m:ctrlPr>
                    <w:rPr>
                      <w:rFonts w:ascii="Cambria Math" w:hAnsi="Cambria Math"/>
                      <w:i/>
                    </w:rPr>
                  </m:ctrlPr>
                </m:dPr>
                <m:e>
                  <m:r>
                    <m:rPr>
                      <m:nor/>
                    </m:rPr>
                    <w:rPr>
                      <w:rFonts w:ascii="Cambria Math" w:hAnsi="Cambria Math" w:cs="STIXGeneral"/>
                    </w:rPr>
                    <m:t>LANDAREA</m:t>
                  </m:r>
                </m:e>
              </m:d>
            </m:e>
          </m:func>
        </m:oMath>
      </m:oMathPara>
    </w:p>
    <w:p w:rsidR="006B1499" w:rsidRPr="000F11AC" w:rsidRDefault="006B1499" w:rsidP="006B1499">
      <w:pPr>
        <w:rPr>
          <w:oMath/>
        </w:rPr>
      </w:pPr>
    </w:p>
    <w:p w:rsidR="006B1499" w:rsidRPr="004F1F9C" w:rsidRDefault="006B1499" w:rsidP="006B1499">
      <w:r w:rsidRPr="004F1F9C">
        <w:t>where</w:t>
      </w:r>
    </w:p>
    <w:p w:rsidR="004C4744" w:rsidRDefault="006B1499" w:rsidP="006B1499">
      <w:pPr>
        <w:ind w:left="360"/>
      </w:pPr>
      <w:r w:rsidRPr="004F1F9C">
        <w:t>INFRAROAD is total road density in kilometers per thousand hectares, income density is measured at PPP in year 2000 dollars per hectare, population density is measure in persons per hectare, and LANDAREA is total land area in million hectares. (we need to say we used x number of countries and y number of years of data)</w:t>
      </w:r>
    </w:p>
    <w:p w:rsidR="006B1499" w:rsidRPr="004F1F9C" w:rsidRDefault="006B1499" w:rsidP="006B1499">
      <w:pPr>
        <w:ind w:left="360"/>
      </w:pPr>
    </w:p>
    <w:p w:rsidR="004C4744" w:rsidRDefault="006B1499" w:rsidP="006B1499">
      <w:r w:rsidRPr="004F1F9C">
        <w:t>Both income density and population density have positive coefficients in this equation, indicating that the demand for road density increases with increasing values of these variables. The opposite is true for land area. Since land area for a given country will not change in our analysis, this implies that for each country, increasing economic activity and growing populations both lead to an increasing demand for total road density, or equivalently total roads. If we compare countries with equivalent income density and population density, the demand for road density will be lower in the larger country. As we show below, however, this does not mean a demand for fewer roads.</w:t>
      </w:r>
    </w:p>
    <w:p w:rsidR="006B1499" w:rsidRPr="004F1F9C" w:rsidRDefault="006B1499" w:rsidP="006B1499"/>
    <w:p w:rsidR="004C4744" w:rsidRDefault="006B1499" w:rsidP="006B1499">
      <w:r w:rsidRPr="004F1F9C">
        <w:t>Given the nature of the equation, which is linear in logarithms, the coefficients can be treated as elasticities. Furthermore, they are all less than 1 in absolute values, implying that the demand for total road density changes less than proportionately with a change in any of the driving variables. A 10 percent increase in income density or population density results in approximately only a 5 percent or 2 percent increase in demand for road density (or total roads), respectively. A country that is 10 percent larger than another country with the same levels of income and population density would demand a total road density that is only 1 percent lower. The larger country would still demand more roads in total.</w:t>
      </w:r>
    </w:p>
    <w:p w:rsidR="006B1499" w:rsidRPr="004F1F9C" w:rsidRDefault="006B1499" w:rsidP="006B1499"/>
    <w:p w:rsidR="004C4744" w:rsidRDefault="006B1499" w:rsidP="006B1499">
      <w:r w:rsidRPr="004F1F9C">
        <w:t>We forecast the demand for paved road percentage as a function of per capita income, population, land area, and road density:</w:t>
      </w:r>
    </w:p>
    <w:p w:rsidR="006B1499" w:rsidRPr="004F1F9C" w:rsidRDefault="006B1499" w:rsidP="006B1499"/>
    <w:p w:rsidR="004C4744" w:rsidRDefault="006B1499" w:rsidP="006B1499">
      <w:pPr>
        <w:rPr>
          <w:oMath/>
          <w:rFonts w:ascii="Wingdings 2" w:hAnsi="Cambria Math"/>
        </w:rPr>
      </w:pPr>
      <m:oMathPara>
        <m:oMath>
          <m:r>
            <m:rPr>
              <m:nor/>
            </m:rPr>
            <w:rPr>
              <w:rFonts w:ascii="Cambria Math" w:hAnsi="Cambria Math" w:cs="STIXGeneral"/>
            </w:rPr>
            <m:t>INFRAROADPAVEDPCNT</m:t>
          </m:r>
          <m:r>
            <m:rPr>
              <m:nor/>
            </m:rPr>
            <w:rPr>
              <w:rFonts w:ascii="Cambria Math" w:hAnsi="Cambria Math"/>
            </w:rPr>
            <m:t xml:space="preserve">= </m:t>
          </m:r>
          <m:f>
            <m:fPr>
              <m:ctrlPr>
                <w:rPr>
                  <w:rFonts w:ascii="Cambria Math" w:hAnsi="Cambria Math"/>
                  <w:i/>
                </w:rPr>
              </m:ctrlPr>
            </m:fPr>
            <m:num>
              <m:r>
                <m:rPr>
                  <m:nor/>
                </m:rPr>
                <w:rPr>
                  <w:rFonts w:ascii="Cambria Math" w:hAnsi="Cambria Math"/>
                </w:rPr>
                <m:t>100</m:t>
              </m:r>
            </m:num>
            <m:den>
              <m:r>
                <m:rPr>
                  <m:nor/>
                </m:rPr>
                <w:rPr>
                  <w:rFonts w:ascii="Cambria Math" w:hAnsi="Cambria Math"/>
                </w:rPr>
                <m:t>1+</m:t>
              </m:r>
              <m:sSup>
                <m:sSupPr>
                  <m:ctrlPr>
                    <w:rPr>
                      <w:rFonts w:ascii="Cambria Math" w:hAnsi="Cambria Math"/>
                      <w:i/>
                    </w:rPr>
                  </m:ctrlPr>
                </m:sSupPr>
                <m:e>
                  <m:r>
                    <m:rPr>
                      <m:nor/>
                    </m:rPr>
                    <w:rPr>
                      <w:rFonts w:ascii="Cambria Math" w:hAnsi="Cambria Math" w:cs="STIXGeneral"/>
                    </w:rPr>
                    <m:t>e</m:t>
                  </m:r>
                </m:e>
                <m:sup>
                  <m:r>
                    <m:rPr>
                      <m:nor/>
                    </m:rPr>
                    <w:rPr>
                      <w:rFonts w:ascii="Cambria Math" w:hAnsi="Cambria Math"/>
                    </w:rPr>
                    <m:t>-(-1.022+2.779</m:t>
                  </m:r>
                  <m:r>
                    <m:rPr>
                      <m:nor/>
                    </m:rPr>
                    <w:rPr>
                      <w:rFonts w:ascii="Cambria Math" w:hAnsi="Cambria Math" w:cs="Menlo Regular"/>
                    </w:rPr>
                    <m:t>*</m:t>
                  </m:r>
                  <m:r>
                    <m:rPr>
                      <m:nor/>
                    </m:rPr>
                    <w:rPr>
                      <w:rFonts w:ascii="Cambria Math" w:hAnsi="Cambria Math" w:cs="STIXGeneral"/>
                    </w:rPr>
                    <m:t>GDPPCP</m:t>
                  </m:r>
                  <m:r>
                    <m:rPr>
                      <m:nor/>
                    </m:rPr>
                    <w:rPr>
                      <w:rFonts w:ascii="Cambria Math" w:hAnsi="Cambria Math"/>
                    </w:rPr>
                    <m:t>+0.833</m:t>
                  </m:r>
                  <m:r>
                    <m:rPr>
                      <m:nor/>
                    </m:rPr>
                    <w:rPr>
                      <w:rFonts w:ascii="Cambria Math" w:hAnsi="Cambria Math" w:cs="Menlo Regular"/>
                    </w:rPr>
                    <m:t>*</m:t>
                  </m:r>
                  <m:r>
                    <m:rPr>
                      <m:nor/>
                    </m:rPr>
                    <w:rPr>
                      <w:rFonts w:ascii="Cambria Math" w:hAnsi="Cambria Math" w:cs="STIXGeneral"/>
                    </w:rPr>
                    <m:t>POP</m:t>
                  </m:r>
                  <m:r>
                    <m:rPr>
                      <m:nor/>
                    </m:rPr>
                    <w:rPr>
                      <w:rFonts w:ascii="Cambria Math" w:hAnsi="Cambria Math"/>
                    </w:rPr>
                    <m:t>-0.726</m:t>
                  </m:r>
                  <m:r>
                    <m:rPr>
                      <m:nor/>
                    </m:rPr>
                    <w:rPr>
                      <w:rFonts w:ascii="Cambria Math" w:hAnsi="Cambria Math" w:cs="Menlo Regular"/>
                    </w:rPr>
                    <m:t>*</m:t>
                  </m:r>
                  <m:r>
                    <m:rPr>
                      <m:nor/>
                    </m:rPr>
                    <w:rPr>
                      <w:rFonts w:ascii="Cambria Math" w:hAnsi="Cambria Math" w:cs="STIXGeneral"/>
                    </w:rPr>
                    <m:t>LANDAREA</m:t>
                  </m:r>
                  <m:r>
                    <m:rPr>
                      <m:nor/>
                    </m:rPr>
                    <w:rPr>
                      <w:rFonts w:ascii="Cambria Math" w:hAnsi="Cambria Math"/>
                    </w:rPr>
                    <m:t>-0.267</m:t>
                  </m:r>
                  <m:r>
                    <m:rPr>
                      <m:nor/>
                    </m:rPr>
                    <w:rPr>
                      <w:rFonts w:ascii="Cambria Math" w:hAnsi="Cambria Math" w:cs="Menlo Regular"/>
                    </w:rPr>
                    <m:t>*</m:t>
                  </m:r>
                  <m:r>
                    <m:rPr>
                      <m:nor/>
                    </m:rPr>
                    <w:rPr>
                      <w:rFonts w:ascii="Cambria Math" w:hAnsi="Cambria Math" w:cs="STIXGeneral"/>
                    </w:rPr>
                    <m:t>INFRAROAD</m:t>
                  </m:r>
                  <m:r>
                    <m:rPr>
                      <m:nor/>
                    </m:rPr>
                    <w:rPr>
                      <w:rFonts w:ascii="Cambria Math" w:hAnsi="Cambria Math"/>
                    </w:rPr>
                    <m:t>)</m:t>
                  </m:r>
                </m:sup>
              </m:sSup>
            </m:den>
          </m:f>
        </m:oMath>
      </m:oMathPara>
    </w:p>
    <w:p w:rsidR="006B1499" w:rsidRPr="004F1F9C" w:rsidRDefault="006B1499" w:rsidP="006B1499"/>
    <w:p w:rsidR="006B1499" w:rsidRPr="004F1F9C" w:rsidRDefault="006B1499" w:rsidP="006B1499">
      <w:r w:rsidRPr="004F1F9C">
        <w:t>where</w:t>
      </w:r>
    </w:p>
    <w:p w:rsidR="004C4744" w:rsidRDefault="006B1499" w:rsidP="006B1499">
      <w:pPr>
        <w:ind w:left="720"/>
      </w:pPr>
      <w:r w:rsidRPr="004F1F9C">
        <w:t>INFRAROADPAVEDPCNT is the percentage of total roads that are paved, GDPPCP is average income at PPP in thousands of year 2000 dollars, POP is total population in million persons, LANDAREA is total land area in million hectares, and INFRAROAD is total road density in kilometers per thousand hectares</w:t>
      </w:r>
    </w:p>
    <w:p w:rsidR="006B1499" w:rsidRPr="004F1F9C" w:rsidRDefault="006B1499" w:rsidP="006B1499">
      <w:pPr>
        <w:ind w:left="720"/>
      </w:pPr>
    </w:p>
    <w:p w:rsidR="004C4744" w:rsidRDefault="006B1499" w:rsidP="006B1499">
      <w:r w:rsidRPr="004F1F9C">
        <w:t>This rather daunting looking equation is a version of a logistic equation (see Box 4.2). This representation ensures that the estimated value for the percentage of total roads that are paved falls between 0 and 100 percent. This percentage rises with average income and total population, but declines with total land area and the density of the road network. Based on the size of the coefficients, average income has the strongest effect.</w:t>
      </w:r>
    </w:p>
    <w:p w:rsidR="006B1499" w:rsidRPr="004F1F9C" w:rsidRDefault="006B1499" w:rsidP="006B1499"/>
    <w:p w:rsidR="004C4744" w:rsidRDefault="006B1499" w:rsidP="006B1499">
      <w:r w:rsidRPr="004F1F9C">
        <w:t>Finally, we forecast rural road access as a function of income density (GDP per unit land area) and paved road density (paved roads per person):</w:t>
      </w:r>
    </w:p>
    <w:p w:rsidR="006B1499" w:rsidRPr="004F1F9C" w:rsidRDefault="006B1499" w:rsidP="006B1499"/>
    <w:p w:rsidR="004C4744" w:rsidRDefault="006B1499" w:rsidP="006B1499">
      <w:pPr>
        <w:rPr>
          <w:oMath/>
          <w:rFonts w:ascii="Wingdings 2" w:hAnsi="Cambria Math"/>
        </w:rPr>
      </w:pPr>
      <m:oMathPara>
        <m:oMath>
          <m:r>
            <m:rPr>
              <m:nor/>
            </m:rPr>
            <w:rPr>
              <w:rFonts w:ascii="Cambria Math" w:hAnsi="Cambria Math" w:cs="STIXGeneral"/>
            </w:rPr>
            <m:t>INFRAROADRAI</m:t>
          </m:r>
          <m:r>
            <m:rPr>
              <m:nor/>
            </m:rPr>
            <w:rPr>
              <w:rFonts w:ascii="Cambria Math" w:hAnsi="Cambria Math"/>
            </w:rPr>
            <m:t xml:space="preserve">= </m:t>
          </m:r>
          <m:f>
            <m:fPr>
              <m:ctrlPr>
                <w:rPr>
                  <w:rFonts w:ascii="Cambria Math" w:hAnsi="Cambria Math"/>
                  <w:i/>
                </w:rPr>
              </m:ctrlPr>
            </m:fPr>
            <m:num>
              <m:r>
                <m:rPr>
                  <m:nor/>
                </m:rPr>
                <w:rPr>
                  <w:rFonts w:ascii="Cambria Math" w:hAnsi="Cambria Math"/>
                </w:rPr>
                <m:t>100</m:t>
              </m:r>
            </m:num>
            <m:den>
              <m:r>
                <m:rPr>
                  <m:nor/>
                </m:rPr>
                <w:rPr>
                  <w:rFonts w:ascii="Cambria Math" w:hAnsi="Cambria Math"/>
                </w:rPr>
                <m:t>1+</m:t>
              </m:r>
              <m:sSup>
                <m:sSupPr>
                  <m:ctrlPr>
                    <w:rPr>
                      <w:rFonts w:ascii="Cambria Math" w:hAnsi="Cambria Math"/>
                      <w:i/>
                    </w:rPr>
                  </m:ctrlPr>
                </m:sSupPr>
                <m:e>
                  <m:r>
                    <m:rPr>
                      <m:nor/>
                    </m:rPr>
                    <w:rPr>
                      <w:rFonts w:ascii="Cambria Math" w:hAnsi="Cambria Math" w:cs="STIXGeneral"/>
                    </w:rPr>
                    <m:t>e</m:t>
                  </m:r>
                </m:e>
                <m:sup>
                  <m:r>
                    <m:rPr>
                      <m:nor/>
                    </m:rPr>
                    <w:rPr>
                      <w:rFonts w:ascii="Cambria Math" w:hAnsi="Cambria Math"/>
                    </w:rPr>
                    <m:t>-(-5.27+0.353</m:t>
                  </m:r>
                  <m:r>
                    <m:rPr>
                      <m:nor/>
                    </m:rPr>
                    <w:rPr>
                      <w:rFonts w:ascii="Cambria Math" w:hAnsi="Cambria Math" w:cs="Menlo Regular"/>
                    </w:rPr>
                    <m:t>*</m:t>
                  </m:r>
                  <m:r>
                    <m:rPr>
                      <m:nor/>
                    </m:rPr>
                    <w:rPr>
                      <w:rFonts w:ascii="Cambria Math" w:hAnsi="Cambria Math"/>
                    </w:rPr>
                    <m:t>ln(</m:t>
                  </m:r>
                  <m:r>
                    <m:rPr>
                      <m:nor/>
                    </m:rPr>
                    <w:rPr>
                      <w:rFonts w:ascii="Cambria Math" w:hAnsi="Cambria Math" w:cs="STIXGeneral"/>
                    </w:rPr>
                    <m:t>income</m:t>
                  </m:r>
                  <m:r>
                    <m:rPr>
                      <m:nor/>
                    </m:rPr>
                    <w:rPr>
                      <w:rFonts w:ascii="Cambria Math" w:hAnsi="Cambria Math"/>
                    </w:rPr>
                    <m:t xml:space="preserve"> </m:t>
                  </m:r>
                  <m:r>
                    <m:rPr>
                      <m:nor/>
                    </m:rPr>
                    <w:rPr>
                      <w:rFonts w:ascii="Cambria Math" w:hAnsi="Cambria Math" w:cs="STIXGeneral"/>
                    </w:rPr>
                    <m:t>density</m:t>
                  </m:r>
                  <m:r>
                    <m:rPr>
                      <m:nor/>
                    </m:rPr>
                    <w:rPr>
                      <w:rFonts w:ascii="Cambria Math" w:hAnsi="Cambria Math"/>
                    </w:rPr>
                    <m:t>)+0.484</m:t>
                  </m:r>
                  <m:r>
                    <m:rPr>
                      <m:nor/>
                    </m:rPr>
                    <w:rPr>
                      <w:rFonts w:ascii="Cambria Math" w:hAnsi="Cambria Math" w:cs="Menlo Regular"/>
                    </w:rPr>
                    <m:t>*</m:t>
                  </m:r>
                  <m:r>
                    <m:rPr>
                      <m:nor/>
                    </m:rPr>
                    <w:rPr>
                      <w:rFonts w:ascii="Cambria Math" w:hAnsi="Cambria Math"/>
                    </w:rPr>
                    <m:t>ln(</m:t>
                  </m:r>
                  <m:r>
                    <m:rPr>
                      <m:nor/>
                    </m:rPr>
                    <w:rPr>
                      <w:rFonts w:ascii="Cambria Math" w:hAnsi="Cambria Math" w:cs="STIXGeneral"/>
                    </w:rPr>
                    <m:t>paved</m:t>
                  </m:r>
                  <m:r>
                    <m:rPr>
                      <m:nor/>
                    </m:rPr>
                    <w:rPr>
                      <w:rFonts w:ascii="Cambria Math" w:hAnsi="Cambria Math"/>
                    </w:rPr>
                    <m:t xml:space="preserve"> </m:t>
                  </m:r>
                  <m:r>
                    <m:rPr>
                      <m:nor/>
                    </m:rPr>
                    <w:rPr>
                      <w:rFonts w:ascii="Cambria Math" w:hAnsi="Cambria Math" w:cs="STIXGeneral"/>
                    </w:rPr>
                    <m:t>roads</m:t>
                  </m:r>
                  <m:r>
                    <m:rPr>
                      <m:nor/>
                    </m:rPr>
                    <w:rPr>
                      <w:rFonts w:ascii="Cambria Math" w:hAnsi="Cambria Math"/>
                    </w:rPr>
                    <m:t xml:space="preserve"> </m:t>
                  </m:r>
                  <m:r>
                    <m:rPr>
                      <m:nor/>
                    </m:rPr>
                    <w:rPr>
                      <w:rFonts w:ascii="Cambria Math" w:hAnsi="Cambria Math" w:cs="STIXGeneral"/>
                    </w:rPr>
                    <m:t>per</m:t>
                  </m:r>
                  <m:r>
                    <m:rPr>
                      <m:nor/>
                    </m:rPr>
                    <w:rPr>
                      <w:rFonts w:ascii="Cambria Math" w:hAnsi="Cambria Math"/>
                    </w:rPr>
                    <m:t xml:space="preserve"> </m:t>
                  </m:r>
                  <m:r>
                    <m:rPr>
                      <m:nor/>
                    </m:rPr>
                    <w:rPr>
                      <w:rFonts w:ascii="Cambria Math" w:hAnsi="Cambria Math" w:cs="STIXGeneral"/>
                    </w:rPr>
                    <m:t>person</m:t>
                  </m:r>
                  <m:r>
                    <m:rPr>
                      <m:nor/>
                    </m:rPr>
                    <w:rPr>
                      <w:rFonts w:ascii="Cambria Math" w:hAnsi="Cambria Math"/>
                    </w:rPr>
                    <m:t>))</m:t>
                  </m:r>
                </m:sup>
              </m:sSup>
            </m:den>
          </m:f>
        </m:oMath>
      </m:oMathPara>
    </w:p>
    <w:p w:rsidR="006B1499" w:rsidRPr="004F1F9C" w:rsidRDefault="006B1499" w:rsidP="006B1499"/>
    <w:p w:rsidR="006B1499" w:rsidRPr="004F1F9C" w:rsidRDefault="006B1499" w:rsidP="006B1499">
      <w:r w:rsidRPr="004F1F9C">
        <w:t>where</w:t>
      </w:r>
    </w:p>
    <w:p w:rsidR="004C4744" w:rsidRDefault="006B1499" w:rsidP="006B1499">
      <w:pPr>
        <w:ind w:left="720"/>
      </w:pPr>
      <w:r w:rsidRPr="004F1F9C">
        <w:t>INFRAROADRAI is the rural road access index, income density is measured at PPP in year 2000 dollars per hectare, and paved roads per person are measured in kilometers per millions persons.</w:t>
      </w:r>
    </w:p>
    <w:p w:rsidR="006B1499" w:rsidRPr="004F1F9C" w:rsidRDefault="006B1499" w:rsidP="006B1499">
      <w:pPr>
        <w:ind w:left="720"/>
      </w:pPr>
    </w:p>
    <w:p w:rsidR="004C4744" w:rsidRDefault="006B1499" w:rsidP="006B1499">
      <w:r w:rsidRPr="004F1F9C">
        <w:t>The sign of the coefficients show that rural road access increases with both income density and paved road density.</w:t>
      </w:r>
    </w:p>
    <w:p w:rsidR="006B1499" w:rsidRPr="004F1F9C" w:rsidRDefault="006B1499" w:rsidP="006B1499"/>
    <w:p w:rsidR="006B1499" w:rsidRPr="004F1F9C" w:rsidRDefault="00F7383F" w:rsidP="006B1499">
      <w:r>
        <w:rPr>
          <w:noProof/>
        </w:rPr>
        <w:pict>
          <v:shape id="_x0000_s1035" type="#_x0000_t202" style="position:absolute;margin-left:7.5pt;margin-top:80.9pt;width:452.1pt;height:403.2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DNHKAIAAE8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VZcBNqZ+oTUOjN0OE4kblrjvlHSYXdX1H89gOOU&#10;yHca5VmOp9M4DsmYzuYFGu7as7v2gGYIVdFAybDdhDRCiTh7hzJuRSI46j1kcs4Zuzbxfp6wOBbX&#10;dor68R9Yfwc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C29DNHKAIAAE8EAAAOAAAAAAAAAAAAAAAAAC4CAABkcnMvZTJvRG9j&#10;LnhtbFBLAQItABQABgAIAAAAIQD9LzLW2wAAAAUBAAAPAAAAAAAAAAAAAAAAAIIEAABkcnMvZG93&#10;bnJldi54bWxQSwUGAAAAAAQABADzAAAAigUAAAAA&#10;" fillcolor="#d8d8d8 [2732]">
            <v:textbox style="mso-next-textbox:#_x0000_s1035">
              <w:txbxContent>
                <w:p w:rsidR="002C11AA" w:rsidRPr="00B67CD4" w:rsidRDefault="002C11AA" w:rsidP="006B1499">
                  <w:r w:rsidRPr="00B67CD4">
                    <w:rPr>
                      <w:b/>
                    </w:rPr>
                    <w:t xml:space="preserve">BOX 4.2 Estimating </w:t>
                  </w:r>
                  <w:r>
                    <w:rPr>
                      <w:b/>
                    </w:rPr>
                    <w:t>v</w:t>
                  </w:r>
                  <w:r w:rsidRPr="00B67CD4">
                    <w:rPr>
                      <w:b/>
                    </w:rPr>
                    <w:t xml:space="preserve">ariables with </w:t>
                  </w:r>
                  <w:r>
                    <w:rPr>
                      <w:b/>
                    </w:rPr>
                    <w:t>n</w:t>
                  </w:r>
                  <w:r w:rsidRPr="00B67CD4">
                    <w:rPr>
                      <w:b/>
                    </w:rPr>
                    <w:t xml:space="preserve">atural </w:t>
                  </w:r>
                  <w:r>
                    <w:rPr>
                      <w:b/>
                    </w:rPr>
                    <w:t>m</w:t>
                  </w:r>
                  <w:r w:rsidRPr="00B67CD4">
                    <w:rPr>
                      <w:b/>
                    </w:rPr>
                    <w:t xml:space="preserve">inimums and </w:t>
                  </w:r>
                  <w:r>
                    <w:rPr>
                      <w:b/>
                    </w:rPr>
                    <w:t>m</w:t>
                  </w:r>
                  <w:r w:rsidRPr="00B67CD4">
                    <w:rPr>
                      <w:b/>
                    </w:rPr>
                    <w:t xml:space="preserve">aximum </w:t>
                  </w:r>
                  <w:r>
                    <w:rPr>
                      <w:b/>
                    </w:rPr>
                    <w:t>v</w:t>
                  </w:r>
                  <w:r w:rsidRPr="00B67CD4">
                    <w:rPr>
                      <w:b/>
                    </w:rPr>
                    <w:t>alues</w:t>
                  </w:r>
                </w:p>
                <w:p w:rsidR="002C11AA" w:rsidRDefault="002C11AA" w:rsidP="006B1499">
                  <w:r w:rsidRPr="00B67CD4">
                    <w:t>A number of variables have values that have natural minimums and maximums. For example, the percentage of roads that are paved should always be between 0 and 100 percent. Thus, it makes sense to forecast these variables using functional forms that guarantee that the forecasted values fall in this range.</w:t>
                  </w:r>
                </w:p>
                <w:p w:rsidR="002C11AA" w:rsidRPr="00B67CD4" w:rsidRDefault="002C11AA" w:rsidP="006B1499"/>
                <w:p w:rsidR="002C11AA" w:rsidRPr="00B67CD4" w:rsidRDefault="002C11AA" w:rsidP="006B1499">
                  <w:r w:rsidRPr="00B67CD4">
                    <w:t>One of the simplest of these functional forms is the logistic:</w:t>
                  </w:r>
                </w:p>
                <w:p w:rsidR="002C11AA" w:rsidRPr="00B67CD4" w:rsidRDefault="002C11AA" w:rsidP="006B1499">
                  <w:r w:rsidRPr="00B67CD4">
                    <w:t>(equation?)</w:t>
                  </w:r>
                </w:p>
                <w:p w:rsidR="002C11AA" w:rsidRPr="00B67CD4" w:rsidRDefault="002C11AA" w:rsidP="006B1499">
                  <w:r w:rsidRPr="00B67CD4">
                    <w:t>where</w:t>
                  </w:r>
                </w:p>
                <w:p w:rsidR="002C11AA" w:rsidRDefault="002C11AA" w:rsidP="006B1499">
                  <w:pPr>
                    <w:ind w:left="720"/>
                  </w:pPr>
                  <w:r w:rsidRPr="00B67CD4">
                    <w:t>y is the value of the predicted variable; x is the value of the i</w:t>
                  </w:r>
                  <w:r w:rsidRPr="00B67CD4">
                    <w:rPr>
                      <w:vertAlign w:val="superscript"/>
                    </w:rPr>
                    <w:t>th</w:t>
                  </w:r>
                  <w:r w:rsidRPr="00B67CD4">
                    <w:t xml:space="preserve"> explanatory variable and </w:t>
                  </w:r>
                  <w:r w:rsidRPr="00B67CD4">
                    <w:rPr>
                      <w:rFonts w:cstheme="minorHAnsi"/>
                    </w:rPr>
                    <w:t>α</w:t>
                  </w:r>
                  <w:r w:rsidRPr="00B67CD4">
                    <w:t xml:space="preserve"> and </w:t>
                  </w:r>
                  <w:r w:rsidRPr="00B67CD4">
                    <w:rPr>
                      <w:rFonts w:cstheme="minorHAnsi"/>
                    </w:rPr>
                    <w:t>β</w:t>
                  </w:r>
                  <w:r w:rsidRPr="00B67CD4">
                    <w:rPr>
                      <w:vertAlign w:val="subscript"/>
                    </w:rPr>
                    <w:t>i</w:t>
                  </w:r>
                  <w:r w:rsidRPr="00B67CD4">
                    <w:t xml:space="preserve"> are estimated coefficients.</w:t>
                  </w:r>
                </w:p>
                <w:p w:rsidR="002C11AA" w:rsidRPr="00B67CD4" w:rsidRDefault="002C11AA" w:rsidP="006B1499">
                  <w:pPr>
                    <w:ind w:left="720"/>
                  </w:pPr>
                </w:p>
                <w:p w:rsidR="002C11AA" w:rsidRDefault="002C11AA" w:rsidP="006B1499">
                  <w:r w:rsidRPr="00B67CD4">
                    <w:t>If an explanatory variable has a positive coefficient,</w:t>
                  </w:r>
                  <w:r w:rsidRPr="00B67CD4">
                    <w:rPr>
                      <w:rFonts w:cstheme="minorHAnsi"/>
                    </w:rPr>
                    <w:t xml:space="preserve"> β,</w:t>
                  </w:r>
                  <w:r w:rsidRPr="00B67CD4">
                    <w:t xml:space="preserve"> then the value of the predicted variable increases with the value of the explanatory variable and vice versa (see below). The size of the absolute value of the coefficient determines how much the value of the predicted variable changes with a change in the explanatory variable.</w:t>
                  </w:r>
                </w:p>
                <w:p w:rsidR="002C11AA" w:rsidRDefault="002C11AA" w:rsidP="006B1499">
                  <w:r>
                    <w:rPr>
                      <w:noProof/>
                    </w:rPr>
                    <w:drawing>
                      <wp:inline distT="0" distB="0" distL="0" distR="0">
                        <wp:extent cx="5520267" cy="2209800"/>
                        <wp:effectExtent l="0" t="0" r="0" b="0"/>
                        <wp:docPr id="65" name="O 4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67730" cy="3791129"/>
                                  <a:chOff x="104670" y="1533435"/>
                                  <a:chExt cx="7667730" cy="3791129"/>
                                </a:xfrm>
                              </a:grpSpPr>
                              <a:cxnSp>
                                <a:nvCxnSpPr>
                                  <a:cNvPr id="5" name="Straight Arrow Connector 4"/>
                                  <a:cNvCxnSpPr/>
                                </a:nvCxnSpPr>
                                <a:spPr>
                                  <a:xfrm>
                                    <a:off x="1524000" y="2133600"/>
                                    <a:ext cx="5638800" cy="0"/>
                                  </a:xfrm>
                                  <a:prstGeom prst="straightConnector1">
                                    <a:avLst/>
                                  </a:prstGeom>
                                  <a:ln w="19050">
                                    <a:solidFill>
                                      <a:schemeClr val="tx1"/>
                                    </a:solidFill>
                                    <a:prstDash val="sysDash"/>
                                    <a:tailEnd type="none"/>
                                  </a:ln>
                                </a:spPr>
                                <a:style>
                                  <a:lnRef idx="1">
                                    <a:schemeClr val="accent1"/>
                                  </a:lnRef>
                                  <a:fillRef idx="0">
                                    <a:schemeClr val="accent1"/>
                                  </a:fillRef>
                                  <a:effectRef idx="0">
                                    <a:schemeClr val="accent1"/>
                                  </a:effectRef>
                                  <a:fontRef idx="minor">
                                    <a:schemeClr val="tx1"/>
                                  </a:fontRef>
                                </a:style>
                              </a:cxnSp>
                              <a:cxnSp>
                                <a:nvCxnSpPr>
                                  <a:cNvPr id="6" name="Straight Arrow Connector 5"/>
                                  <a:cNvCxnSpPr/>
                                </a:nvCxnSpPr>
                                <a:spPr>
                                  <a:xfrm>
                                    <a:off x="1524000" y="4724400"/>
                                    <a:ext cx="5638800" cy="0"/>
                                  </a:xfrm>
                                  <a:prstGeom prst="straightConnector1">
                                    <a:avLst/>
                                  </a:prstGeom>
                                  <a:ln w="19050">
                                    <a:solidFill>
                                      <a:schemeClr val="tx1"/>
                                    </a:solidFill>
                                    <a:prstDash val="sysDash"/>
                                    <a:tailEnd type="none"/>
                                  </a:ln>
                                </a:spPr>
                                <a:style>
                                  <a:lnRef idx="1">
                                    <a:schemeClr val="accent1"/>
                                  </a:lnRef>
                                  <a:fillRef idx="0">
                                    <a:schemeClr val="accent1"/>
                                  </a:fillRef>
                                  <a:effectRef idx="0">
                                    <a:schemeClr val="accent1"/>
                                  </a:effectRef>
                                  <a:fontRef idx="minor">
                                    <a:schemeClr val="tx1"/>
                                  </a:fontRef>
                                </a:style>
                              </a:cxnSp>
                              <a:sp>
                                <a:nvSpPr>
                                  <a:cNvPr id="8" name="TextBox 7"/>
                                  <a:cNvSpPr txBox="1"/>
                                </a:nvSpPr>
                                <a:spPr>
                                  <a:xfrm>
                                    <a:off x="104670" y="4124235"/>
                                    <a:ext cx="1343129" cy="120032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latin typeface="Times New Roman"/>
                                          <a:cs typeface="Times New Roman"/>
                                        </a:rPr>
                                        <a:t>Minimum value of the predicted variable</a:t>
                                      </a:r>
                                      <a:endParaRPr lang="en-US" dirty="0">
                                        <a:latin typeface="Times New Roman"/>
                                        <a:cs typeface="Times New Roman"/>
                                      </a:endParaRPr>
                                    </a:p>
                                  </a:txBody>
                                  <a:useSpRect/>
                                </a:txSp>
                              </a:sp>
                              <a:sp>
                                <a:nvSpPr>
                                  <a:cNvPr id="9" name="TextBox 8"/>
                                  <a:cNvSpPr txBox="1"/>
                                </a:nvSpPr>
                                <a:spPr>
                                  <a:xfrm>
                                    <a:off x="104671" y="1533435"/>
                                    <a:ext cx="1343129" cy="120032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latin typeface="Times New Roman"/>
                                          <a:cs typeface="Times New Roman"/>
                                        </a:rPr>
                                        <a:t>Maximum value of the predicted variable</a:t>
                                      </a:r>
                                      <a:endParaRPr lang="en-US" dirty="0">
                                        <a:latin typeface="Times New Roman"/>
                                        <a:cs typeface="Times New Roman"/>
                                      </a:endParaRPr>
                                    </a:p>
                                  </a:txBody>
                                  <a:useSpRect/>
                                </a:txSp>
                              </a:sp>
                              <a:sp>
                                <a:nvSpPr>
                                  <a:cNvPr id="10" name="TextBox 9"/>
                                  <a:cNvSpPr txBox="1"/>
                                </a:nvSpPr>
                                <a:spPr>
                                  <a:xfrm>
                                    <a:off x="2667000" y="4953000"/>
                                    <a:ext cx="3505200"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a:latin typeface="Times New Roman"/>
                                          <a:cs typeface="Times New Roman"/>
                                        </a:rPr>
                                        <a:t>V</a:t>
                                      </a:r>
                                      <a:r>
                                        <a:rPr lang="en-US" dirty="0" smtClean="0">
                                          <a:latin typeface="Times New Roman"/>
                                          <a:cs typeface="Times New Roman"/>
                                        </a:rPr>
                                        <a:t>alue of the explanatory variable</a:t>
                                      </a:r>
                                      <a:endParaRPr lang="en-US" dirty="0">
                                        <a:latin typeface="Times New Roman"/>
                                        <a:cs typeface="Times New Roman"/>
                                      </a:endParaRPr>
                                    </a:p>
                                  </a:txBody>
                                  <a:useSpRect/>
                                </a:txSp>
                              </a:sp>
                              <a:sp>
                                <a:nvSpPr>
                                  <a:cNvPr id="16" name="Freeform 15"/>
                                  <a:cNvSpPr/>
                                </a:nvSpPr>
                                <a:spPr>
                                  <a:xfrm>
                                    <a:off x="1607736" y="2180365"/>
                                    <a:ext cx="5576835" cy="2492119"/>
                                  </a:xfrm>
                                  <a:custGeom>
                                    <a:avLst/>
                                    <a:gdLst>
                                      <a:gd name="connsiteX0" fmla="*/ 0 w 5576835"/>
                                      <a:gd name="connsiteY0" fmla="*/ 2492119 h 2492119"/>
                                      <a:gd name="connsiteX1" fmla="*/ 1637882 w 5576835"/>
                                      <a:gd name="connsiteY1" fmla="*/ 2421780 h 2492119"/>
                                      <a:gd name="connsiteX2" fmla="*/ 2471895 w 5576835"/>
                                      <a:gd name="connsiteY2" fmla="*/ 2130378 h 2492119"/>
                                      <a:gd name="connsiteX3" fmla="*/ 2934119 w 5576835"/>
                                      <a:gd name="connsiteY3" fmla="*/ 1457138 h 2492119"/>
                                      <a:gd name="connsiteX4" fmla="*/ 3486778 w 5576835"/>
                                      <a:gd name="connsiteY4" fmla="*/ 713560 h 2492119"/>
                                      <a:gd name="connsiteX5" fmla="*/ 4360985 w 5576835"/>
                                      <a:gd name="connsiteY5" fmla="*/ 110659 h 2492119"/>
                                      <a:gd name="connsiteX6" fmla="*/ 5576835 w 5576835"/>
                                      <a:gd name="connsiteY6" fmla="*/ 127 h 2492119"/>
                                      <a:gd name="connsiteX7" fmla="*/ 5576835 w 5576835"/>
                                      <a:gd name="connsiteY7" fmla="*/ 127 h 2492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76835" h="2492119">
                                        <a:moveTo>
                                          <a:pt x="0" y="2492119"/>
                                        </a:moveTo>
                                        <a:cubicBezTo>
                                          <a:pt x="612950" y="2487094"/>
                                          <a:pt x="1225900" y="2482070"/>
                                          <a:pt x="1637882" y="2421780"/>
                                        </a:cubicBezTo>
                                        <a:cubicBezTo>
                                          <a:pt x="2049864" y="2361490"/>
                                          <a:pt x="2255856" y="2291152"/>
                                          <a:pt x="2471895" y="2130378"/>
                                        </a:cubicBezTo>
                                        <a:cubicBezTo>
                                          <a:pt x="2687935" y="1969604"/>
                                          <a:pt x="2764972" y="1693274"/>
                                          <a:pt x="2934119" y="1457138"/>
                                        </a:cubicBezTo>
                                        <a:cubicBezTo>
                                          <a:pt x="3103266" y="1221002"/>
                                          <a:pt x="3248967" y="937973"/>
                                          <a:pt x="3486778" y="713560"/>
                                        </a:cubicBezTo>
                                        <a:cubicBezTo>
                                          <a:pt x="3724589" y="489147"/>
                                          <a:pt x="4012642" y="229564"/>
                                          <a:pt x="4360985" y="110659"/>
                                        </a:cubicBezTo>
                                        <a:cubicBezTo>
                                          <a:pt x="4709328" y="-8246"/>
                                          <a:pt x="5576835" y="127"/>
                                          <a:pt x="5576835" y="127"/>
                                        </a:cubicBezTo>
                                        <a:lnTo>
                                          <a:pt x="5576835" y="127"/>
                                        </a:lnTo>
                                      </a:path>
                                    </a:pathLst>
                                  </a:cu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Freeform 16"/>
                                  <a:cNvSpPr/>
                                </a:nvSpPr>
                                <a:spPr>
                                  <a:xfrm flipH="1">
                                    <a:off x="1600200" y="2159001"/>
                                    <a:ext cx="5576835" cy="2492119"/>
                                  </a:xfrm>
                                  <a:custGeom>
                                    <a:avLst/>
                                    <a:gdLst>
                                      <a:gd name="connsiteX0" fmla="*/ 0 w 5576835"/>
                                      <a:gd name="connsiteY0" fmla="*/ 2492119 h 2492119"/>
                                      <a:gd name="connsiteX1" fmla="*/ 1637882 w 5576835"/>
                                      <a:gd name="connsiteY1" fmla="*/ 2421780 h 2492119"/>
                                      <a:gd name="connsiteX2" fmla="*/ 2471895 w 5576835"/>
                                      <a:gd name="connsiteY2" fmla="*/ 2130378 h 2492119"/>
                                      <a:gd name="connsiteX3" fmla="*/ 2934119 w 5576835"/>
                                      <a:gd name="connsiteY3" fmla="*/ 1457138 h 2492119"/>
                                      <a:gd name="connsiteX4" fmla="*/ 3486778 w 5576835"/>
                                      <a:gd name="connsiteY4" fmla="*/ 713560 h 2492119"/>
                                      <a:gd name="connsiteX5" fmla="*/ 4360985 w 5576835"/>
                                      <a:gd name="connsiteY5" fmla="*/ 110659 h 2492119"/>
                                      <a:gd name="connsiteX6" fmla="*/ 5576835 w 5576835"/>
                                      <a:gd name="connsiteY6" fmla="*/ 127 h 2492119"/>
                                      <a:gd name="connsiteX7" fmla="*/ 5576835 w 5576835"/>
                                      <a:gd name="connsiteY7" fmla="*/ 127 h 2492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76835" h="2492119">
                                        <a:moveTo>
                                          <a:pt x="0" y="2492119"/>
                                        </a:moveTo>
                                        <a:cubicBezTo>
                                          <a:pt x="612950" y="2487094"/>
                                          <a:pt x="1225900" y="2482070"/>
                                          <a:pt x="1637882" y="2421780"/>
                                        </a:cubicBezTo>
                                        <a:cubicBezTo>
                                          <a:pt x="2049864" y="2361490"/>
                                          <a:pt x="2255856" y="2291152"/>
                                          <a:pt x="2471895" y="2130378"/>
                                        </a:cubicBezTo>
                                        <a:cubicBezTo>
                                          <a:pt x="2687935" y="1969604"/>
                                          <a:pt x="2764972" y="1693274"/>
                                          <a:pt x="2934119" y="1457138"/>
                                        </a:cubicBezTo>
                                        <a:cubicBezTo>
                                          <a:pt x="3103266" y="1221002"/>
                                          <a:pt x="3248967" y="937973"/>
                                          <a:pt x="3486778" y="713560"/>
                                        </a:cubicBezTo>
                                        <a:cubicBezTo>
                                          <a:pt x="3724589" y="489147"/>
                                          <a:pt x="4012642" y="229564"/>
                                          <a:pt x="4360985" y="110659"/>
                                        </a:cubicBezTo>
                                        <a:cubicBezTo>
                                          <a:pt x="4709328" y="-8246"/>
                                          <a:pt x="5576835" y="127"/>
                                          <a:pt x="5576835" y="127"/>
                                        </a:cubicBezTo>
                                        <a:lnTo>
                                          <a:pt x="5576835" y="127"/>
                                        </a:lnTo>
                                      </a:path>
                                    </a:pathLst>
                                  </a:custGeom>
                                  <a:noFill/>
                                  <a:ln>
                                    <a:solidFill>
                                      <a:srgbClr val="FF0000"/>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TextBox 17"/>
                                  <a:cNvSpPr txBox="1"/>
                                </a:nvSpPr>
                                <a:spPr>
                                  <a:xfrm>
                                    <a:off x="5029200" y="3200400"/>
                                    <a:ext cx="27432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latin typeface="Times New Roman"/>
                                          <a:cs typeface="Times New Roman"/>
                                        </a:rPr>
                                        <a:t>explanatory variable with a positive coefficient</a:t>
                                      </a:r>
                                      <a:endParaRPr lang="en-US" dirty="0">
                                        <a:latin typeface="Times New Roman"/>
                                        <a:cs typeface="Times New Roman"/>
                                      </a:endParaRPr>
                                    </a:p>
                                  </a:txBody>
                                  <a:useSpRect/>
                                </a:txSp>
                              </a:sp>
                              <a:sp>
                                <a:nvSpPr>
                                  <a:cNvPr id="19" name="TextBox 18"/>
                                  <a:cNvSpPr txBox="1"/>
                                </a:nvSpPr>
                                <a:spPr>
                                  <a:xfrm>
                                    <a:off x="1219200" y="3124200"/>
                                    <a:ext cx="27432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latin typeface="Times New Roman"/>
                                          <a:cs typeface="Times New Roman"/>
                                        </a:rPr>
                                        <a:t>explanatory variable with a negative coefficient</a:t>
                                      </a:r>
                                      <a:endParaRPr lang="en-US" dirty="0">
                                        <a:latin typeface="Times New Roman"/>
                                        <a:cs typeface="Times New Roman"/>
                                      </a:endParaRPr>
                                    </a:p>
                                  </a:txBody>
                                  <a:useSpRect/>
                                </a:txSp>
                              </a:sp>
                              <a:cxnSp>
                                <a:nvCxnSpPr>
                                  <a:cNvPr id="21" name="Straight Arrow Connector 20"/>
                                  <a:cNvCxnSpPr>
                                    <a:stCxn id="18" idx="0"/>
                                  </a:cNvCxnSpPr>
                                </a:nvCxnSpPr>
                                <a:spPr>
                                  <a:xfrm flipH="1" flipV="1">
                                    <a:off x="5410200" y="2733764"/>
                                    <a:ext cx="990600" cy="46663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22" name="Straight Arrow Connector 21"/>
                                  <a:cNvCxnSpPr>
                                    <a:stCxn id="19" idx="0"/>
                                  </a:cNvCxnSpPr>
                                </a:nvCxnSpPr>
                                <a:spPr>
                                  <a:xfrm flipV="1">
                                    <a:off x="2590800" y="2590800"/>
                                    <a:ext cx="685800" cy="53340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txbxContent>
            </v:textbox>
            <w10:wrap type="topAndBottom"/>
          </v:shape>
        </w:pict>
      </w:r>
      <w:r w:rsidR="006B1499" w:rsidRPr="004F1F9C">
        <w:t>As shown in Figure 4.3, we use these three indicators to calculate a number of further indicators of transportation infrastructure. In particular, we can calculate the demand for net changes in paved and unpaved roads. These represent the demand for new construction in the transportation sector, which, along with the maintenance of existing roads, determines the financial demand from the transportation sector.</w:t>
      </w:r>
    </w:p>
    <w:p w:rsidR="006B1499" w:rsidRPr="004F1F9C" w:rsidRDefault="006B1499" w:rsidP="006B1499"/>
    <w:p w:rsidR="006B1499" w:rsidRPr="004F1F9C" w:rsidRDefault="006B1499" w:rsidP="006B1499">
      <w:pPr>
        <w:pStyle w:val="Heading4"/>
      </w:pPr>
      <w:bookmarkStart w:id="113" w:name="_Toc326061517"/>
      <w:bookmarkStart w:id="114" w:name="_Toc200095299"/>
      <w:r w:rsidRPr="004F1F9C">
        <w:t>4.4.1.2 Electricity</w:t>
      </w:r>
      <w:bookmarkEnd w:id="113"/>
      <w:bookmarkEnd w:id="114"/>
    </w:p>
    <w:p w:rsidR="004C4744" w:rsidRDefault="006B1499" w:rsidP="006B1499">
      <w:r w:rsidRPr="004F1F9C">
        <w:t>Our focus in the energy sector is on the generation and use of electricity. In terms of physical infrastructure the key indicator we wish to forecast is the level of electricity generating capacity. From the user perspective, we also wish to forecast the percentage of the population that has access to electricity.</w:t>
      </w:r>
    </w:p>
    <w:p w:rsidR="006B1499" w:rsidRPr="004F1F9C" w:rsidRDefault="006B1499" w:rsidP="006B1499"/>
    <w:p w:rsidR="004C4744" w:rsidRDefault="006B1499" w:rsidP="006B1499">
      <w:r w:rsidRPr="004F1F9C">
        <w:t>Figure 4.4 presents an overview of the electricity sub-model in IFs. This contains three components – estimating consumption, estimating production, and sending a signal for additional generating capacity in the case of a gap between production and consumption. Beginning with consumption, we first estimate the percentage of the population with access to electricity. This is forecasted as a function of poverty levels and a measure of governance. The levels of access, along with average income, are used to forecast the expected ratio of electricity use to primary energy use. With this ratio and the level of total primary energy use, forecasted elsewhere in IFs, we then calculate the desired electricity use. This desired electricity use can be met by either domestic production or imports. We make the simplifying assumption that share of electricity use met by imports will remain close to the historical value for each country. This then allows us to calculate the desired amount of electricity use to be met from domestic production.</w:t>
      </w:r>
    </w:p>
    <w:p w:rsidR="006B1499" w:rsidRPr="004F1F9C" w:rsidRDefault="006B1499" w:rsidP="006B1499"/>
    <w:p w:rsidR="004C4744" w:rsidRDefault="006B1499" w:rsidP="006B1499">
      <w:r w:rsidRPr="004F1F9C">
        <w:t>The amount of domestically produced electricity is determined by the existing generating capacity, adjusted by a capacity utilization factor. We estimated the initial capacity utilization factor for each country based on historical data; in the future, it is assumed to slowly converge to a global average value, 0.55, which we calculated from current data on generating capacity and production in high income countries. We also account for transmission and distribution loss, which we forecast as a function of average income and a measure of governance. The resulting available electricity can be used for either domestic consumption or exports. Following the same logic used for imports, we assume that the share of available electricity that is exported will remain close to the historical value for each country.</w:t>
      </w:r>
    </w:p>
    <w:p w:rsidR="006B1499" w:rsidRPr="004F1F9C" w:rsidRDefault="006B1499" w:rsidP="006B1499"/>
    <w:p w:rsidR="006B1499" w:rsidRPr="004F1F9C" w:rsidRDefault="006B1499" w:rsidP="006B1499">
      <w:r w:rsidRPr="004F1F9C">
        <w:t>We then compare the desired amount of domestically available electricity to the actual amount available. If there is a shortfall, the model generates a signal to build additional generating capacity. It is this desire for additional capacity, along with the need to maintain existing capacity that determines the financial demand for energy infrastructure.</w:t>
      </w:r>
    </w:p>
    <w:p w:rsidR="006B1499" w:rsidRDefault="006B1499" w:rsidP="006B1499">
      <w:pPr>
        <w:rPr>
          <w:b/>
        </w:rPr>
      </w:pPr>
      <w:r w:rsidRPr="00940813">
        <w:rPr>
          <w:b/>
          <w:noProof/>
        </w:rPr>
        <w:drawing>
          <wp:inline distT="0" distB="0" distL="0" distR="0">
            <wp:extent cx="5486400" cy="4940300"/>
            <wp:effectExtent l="25400" t="0" r="0" b="0"/>
            <wp:docPr id="69" name="O 4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14411" cy="6316579"/>
                      <a:chOff x="72189" y="360947"/>
                      <a:chExt cx="7014411" cy="6316579"/>
                    </a:xfrm>
                  </a:grpSpPr>
                  <a:sp>
                    <a:nvSpPr>
                      <a:cNvPr id="221" name="Freeform 220"/>
                      <a:cNvSpPr/>
                    </a:nvSpPr>
                    <a:spPr>
                      <a:xfrm>
                        <a:off x="5378116" y="2899611"/>
                        <a:ext cx="1708484" cy="3513221"/>
                      </a:xfrm>
                      <a:custGeom>
                        <a:avLst/>
                        <a:gdLst>
                          <a:gd name="connsiteX0" fmla="*/ 0 w 1708484"/>
                          <a:gd name="connsiteY0" fmla="*/ 300789 h 3513221"/>
                          <a:gd name="connsiteX1" fmla="*/ 36095 w 1708484"/>
                          <a:gd name="connsiteY1" fmla="*/ 3513221 h 3513221"/>
                          <a:gd name="connsiteX2" fmla="*/ 1708484 w 1708484"/>
                          <a:gd name="connsiteY2" fmla="*/ 3501189 h 3513221"/>
                          <a:gd name="connsiteX3" fmla="*/ 1612232 w 1708484"/>
                          <a:gd name="connsiteY3" fmla="*/ 300789 h 3513221"/>
                          <a:gd name="connsiteX4" fmla="*/ 1251284 w 1708484"/>
                          <a:gd name="connsiteY4" fmla="*/ 12031 h 3513221"/>
                          <a:gd name="connsiteX5" fmla="*/ 348916 w 1708484"/>
                          <a:gd name="connsiteY5" fmla="*/ 0 h 3513221"/>
                          <a:gd name="connsiteX6" fmla="*/ 0 w 1708484"/>
                          <a:gd name="connsiteY6" fmla="*/ 300789 h 3513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708484" h="3513221">
                            <a:moveTo>
                              <a:pt x="0" y="300789"/>
                            </a:moveTo>
                            <a:lnTo>
                              <a:pt x="36095" y="3513221"/>
                            </a:lnTo>
                            <a:lnTo>
                              <a:pt x="1708484" y="3501189"/>
                            </a:lnTo>
                            <a:lnTo>
                              <a:pt x="1612232" y="300789"/>
                            </a:lnTo>
                            <a:lnTo>
                              <a:pt x="1251284" y="12031"/>
                            </a:lnTo>
                            <a:lnTo>
                              <a:pt x="348916" y="0"/>
                            </a:lnTo>
                            <a:lnTo>
                              <a:pt x="0" y="300789"/>
                            </a:lnTo>
                            <a:close/>
                          </a:path>
                        </a:pathLst>
                      </a:custGeom>
                      <a:solidFill>
                        <a:schemeClr val="accent3">
                          <a:lumMod val="60000"/>
                          <a:lumOff val="4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20" name="Freeform 219"/>
                      <a:cNvSpPr/>
                    </a:nvSpPr>
                    <a:spPr>
                      <a:xfrm>
                        <a:off x="156411" y="3356811"/>
                        <a:ext cx="5125452" cy="3320715"/>
                      </a:xfrm>
                      <a:custGeom>
                        <a:avLst/>
                        <a:gdLst>
                          <a:gd name="connsiteX0" fmla="*/ 0 w 5125452"/>
                          <a:gd name="connsiteY0" fmla="*/ 589547 h 3320715"/>
                          <a:gd name="connsiteX1" fmla="*/ 1528010 w 5125452"/>
                          <a:gd name="connsiteY1" fmla="*/ 60157 h 3320715"/>
                          <a:gd name="connsiteX2" fmla="*/ 4692315 w 5125452"/>
                          <a:gd name="connsiteY2" fmla="*/ 0 h 3320715"/>
                          <a:gd name="connsiteX3" fmla="*/ 5125452 w 5125452"/>
                          <a:gd name="connsiteY3" fmla="*/ 637673 h 3320715"/>
                          <a:gd name="connsiteX4" fmla="*/ 3982452 w 5125452"/>
                          <a:gd name="connsiteY4" fmla="*/ 3164305 h 3320715"/>
                          <a:gd name="connsiteX5" fmla="*/ 409073 w 5125452"/>
                          <a:gd name="connsiteY5" fmla="*/ 3320715 h 3320715"/>
                          <a:gd name="connsiteX6" fmla="*/ 0 w 5125452"/>
                          <a:gd name="connsiteY6" fmla="*/ 589547 h 3320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125452" h="3320715">
                            <a:moveTo>
                              <a:pt x="0" y="589547"/>
                            </a:moveTo>
                            <a:lnTo>
                              <a:pt x="1528010" y="60157"/>
                            </a:lnTo>
                            <a:lnTo>
                              <a:pt x="4692315" y="0"/>
                            </a:lnTo>
                            <a:lnTo>
                              <a:pt x="5125452" y="637673"/>
                            </a:lnTo>
                            <a:lnTo>
                              <a:pt x="3982452" y="3164305"/>
                            </a:lnTo>
                            <a:lnTo>
                              <a:pt x="409073" y="3320715"/>
                            </a:lnTo>
                            <a:lnTo>
                              <a:pt x="0" y="589547"/>
                            </a:lnTo>
                            <a:close/>
                          </a:path>
                        </a:pathLst>
                      </a:custGeom>
                      <a:solidFill>
                        <a:schemeClr val="accent2">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19" name="Freeform 218"/>
                      <a:cNvSpPr/>
                    </a:nvSpPr>
                    <a:spPr>
                      <a:xfrm>
                        <a:off x="72189" y="360947"/>
                        <a:ext cx="6039853" cy="2911642"/>
                      </a:xfrm>
                      <a:custGeom>
                        <a:avLst/>
                        <a:gdLst>
                          <a:gd name="connsiteX0" fmla="*/ 216569 w 6039853"/>
                          <a:gd name="connsiteY0" fmla="*/ 2466474 h 2911642"/>
                          <a:gd name="connsiteX1" fmla="*/ 1540043 w 6039853"/>
                          <a:gd name="connsiteY1" fmla="*/ 2911642 h 2911642"/>
                          <a:gd name="connsiteX2" fmla="*/ 4680285 w 6039853"/>
                          <a:gd name="connsiteY2" fmla="*/ 2863516 h 2911642"/>
                          <a:gd name="connsiteX3" fmla="*/ 6039853 w 6039853"/>
                          <a:gd name="connsiteY3" fmla="*/ 2117558 h 2911642"/>
                          <a:gd name="connsiteX4" fmla="*/ 6027822 w 6039853"/>
                          <a:gd name="connsiteY4" fmla="*/ 950495 h 2911642"/>
                          <a:gd name="connsiteX5" fmla="*/ 3982453 w 6039853"/>
                          <a:gd name="connsiteY5" fmla="*/ 12032 h 2911642"/>
                          <a:gd name="connsiteX6" fmla="*/ 914400 w 6039853"/>
                          <a:gd name="connsiteY6" fmla="*/ 0 h 2911642"/>
                          <a:gd name="connsiteX7" fmla="*/ 0 w 6039853"/>
                          <a:gd name="connsiteY7" fmla="*/ 830179 h 2911642"/>
                          <a:gd name="connsiteX8" fmla="*/ 216569 w 6039853"/>
                          <a:gd name="connsiteY8" fmla="*/ 2466474 h 29116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039853" h="2911642">
                            <a:moveTo>
                              <a:pt x="216569" y="2466474"/>
                            </a:moveTo>
                            <a:lnTo>
                              <a:pt x="1540043" y="2911642"/>
                            </a:lnTo>
                            <a:lnTo>
                              <a:pt x="4680285" y="2863516"/>
                            </a:lnTo>
                            <a:lnTo>
                              <a:pt x="6039853" y="2117558"/>
                            </a:lnTo>
                            <a:lnTo>
                              <a:pt x="6027822" y="950495"/>
                            </a:lnTo>
                            <a:lnTo>
                              <a:pt x="3982453" y="12032"/>
                            </a:lnTo>
                            <a:lnTo>
                              <a:pt x="914400" y="0"/>
                            </a:lnTo>
                            <a:lnTo>
                              <a:pt x="0" y="830179"/>
                            </a:lnTo>
                            <a:lnTo>
                              <a:pt x="216569" y="2466474"/>
                            </a:lnTo>
                            <a:close/>
                          </a:path>
                        </a:pathLst>
                      </a:custGeom>
                      <a:solidFill>
                        <a:schemeClr val="accent1">
                          <a:lumMod val="40000"/>
                          <a:lumOff val="60000"/>
                        </a:schemeClr>
                      </a:solid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Oval 6"/>
                      <a:cNvSpPr/>
                    </a:nvSpPr>
                    <a:spPr>
                      <a:xfrm>
                        <a:off x="2176741" y="5940828"/>
                        <a:ext cx="1058662" cy="609600"/>
                      </a:xfrm>
                      <a:prstGeom prst="ellipse">
                        <a:avLst/>
                      </a:prstGeom>
                      <a:noFill/>
                      <a:ln>
                        <a:solidFill>
                          <a:schemeClr val="accent1">
                            <a:lumMod val="75000"/>
                          </a:schemeClr>
                        </a:solidFill>
                      </a:ln>
                    </a:spPr>
                    <a:txSp>
                      <a:txBody>
                        <a:bodyPr lIns="0" tIns="0" rIns="0" bIns="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latin typeface="Times New Roman"/>
                              <a:cs typeface="Times New Roman"/>
                            </a:rPr>
                            <a:t>Generating capacity</a:t>
                          </a:r>
                          <a:endParaRPr lang="en-US" sz="1200" dirty="0">
                            <a:solidFill>
                              <a:schemeClr val="tx1"/>
                            </a:solidFill>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Oval 7"/>
                      <a:cNvSpPr/>
                    </a:nvSpPr>
                    <a:spPr>
                      <a:xfrm>
                        <a:off x="722267" y="5493729"/>
                        <a:ext cx="1024631" cy="609600"/>
                      </a:xfrm>
                      <a:prstGeom prst="ellipse">
                        <a:avLst/>
                      </a:prstGeom>
                      <a:noFill/>
                      <a:ln>
                        <a:solidFill>
                          <a:schemeClr val="accent1">
                            <a:lumMod val="75000"/>
                          </a:schemeClr>
                        </a:solidFill>
                      </a:ln>
                    </a:spPr>
                    <a:txSp>
                      <a:txBody>
                        <a:bodyPr lIns="0" tIns="0" rIns="0" bIns="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latin typeface="Times New Roman"/>
                              <a:cs typeface="Times New Roman"/>
                            </a:rPr>
                            <a:t>Capacity utilization</a:t>
                          </a:r>
                          <a:endParaRPr lang="en-US" sz="1200" dirty="0">
                            <a:solidFill>
                              <a:schemeClr val="tx1"/>
                            </a:solidFill>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Oval 8"/>
                      <a:cNvSpPr/>
                    </a:nvSpPr>
                    <a:spPr>
                      <a:xfrm>
                        <a:off x="2209800" y="5029200"/>
                        <a:ext cx="990600" cy="533400"/>
                      </a:xfrm>
                      <a:prstGeom prst="ellipse">
                        <a:avLst/>
                      </a:prstGeom>
                      <a:noFill/>
                    </a:spPr>
                    <a:txSp>
                      <a:txBody>
                        <a:bodyPr lIns="0" tIns="0" rIns="0" bIns="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latin typeface="Times New Roman"/>
                              <a:cs typeface="Times New Roman"/>
                            </a:rPr>
                            <a:t>Electricity production</a:t>
                          </a:r>
                          <a:endParaRPr lang="en-US" sz="1200" dirty="0">
                            <a:solidFill>
                              <a:schemeClr val="tx1"/>
                            </a:solidFill>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1" name="Straight Arrow Connector 10"/>
                      <a:cNvCxnSpPr>
                        <a:stCxn id="7" idx="0"/>
                        <a:endCxn id="9" idx="4"/>
                      </a:cNvCxnSpPr>
                    </a:nvCxnSpPr>
                    <a:spPr>
                      <a:xfrm rot="16200000" flipV="1">
                        <a:off x="2516472" y="5751228"/>
                        <a:ext cx="378228" cy="972"/>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cxnSp>
                    <a:nvCxnSpPr>
                      <a:cNvPr id="16" name="Straight Arrow Connector 15"/>
                      <a:cNvCxnSpPr>
                        <a:stCxn id="8" idx="7"/>
                        <a:endCxn id="9" idx="3"/>
                      </a:cNvCxnSpPr>
                    </a:nvCxnSpPr>
                    <a:spPr>
                      <a:xfrm rot="5400000" flipH="1" flipV="1">
                        <a:off x="1926598" y="5154731"/>
                        <a:ext cx="98518" cy="758026"/>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sp>
                    <a:nvSpPr>
                      <a:cNvPr id="18" name="Oval 17"/>
                      <a:cNvSpPr/>
                    </a:nvSpPr>
                    <a:spPr>
                      <a:xfrm>
                        <a:off x="304800" y="3931517"/>
                        <a:ext cx="1432992" cy="716683"/>
                      </a:xfrm>
                      <a:prstGeom prst="ellipse">
                        <a:avLst/>
                      </a:prstGeom>
                      <a:noFill/>
                    </a:spPr>
                    <a:txSp>
                      <a:txBody>
                        <a:bodyPr lIns="0" tIns="0" rIns="0" bIns="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latin typeface="Times New Roman"/>
                              <a:cs typeface="Times New Roman"/>
                            </a:rPr>
                            <a:t>Transmission and distribution loss</a:t>
                          </a:r>
                          <a:endParaRPr lang="en-US" sz="1200" dirty="0">
                            <a:solidFill>
                              <a:schemeClr val="tx1"/>
                            </a:solidFill>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Oval 18"/>
                      <a:cNvSpPr/>
                    </a:nvSpPr>
                    <a:spPr>
                      <a:xfrm>
                        <a:off x="2181728" y="3437430"/>
                        <a:ext cx="1066800" cy="597024"/>
                      </a:xfrm>
                      <a:prstGeom prst="ellipse">
                        <a:avLst/>
                      </a:prstGeom>
                      <a:noFill/>
                    </a:spPr>
                    <a:txSp>
                      <a:txBody>
                        <a:bodyPr lIns="0" tIns="0" rIns="0" bIns="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latin typeface="Times New Roman"/>
                              <a:cs typeface="Times New Roman"/>
                            </a:rPr>
                            <a:t>Available electricity</a:t>
                          </a:r>
                          <a:endParaRPr lang="en-US" sz="1200" dirty="0">
                            <a:solidFill>
                              <a:schemeClr val="tx1"/>
                            </a:solidFill>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1" name="Straight Arrow Connector 20"/>
                      <a:cNvCxnSpPr>
                        <a:stCxn id="9" idx="0"/>
                        <a:endCxn id="19" idx="4"/>
                      </a:cNvCxnSpPr>
                    </a:nvCxnSpPr>
                    <a:spPr>
                      <a:xfrm rot="5400000" flipH="1" flipV="1">
                        <a:off x="2212741" y="4526813"/>
                        <a:ext cx="994746" cy="10028"/>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cxnSp>
                    <a:nvCxnSpPr>
                      <a:cNvPr id="23" name="Straight Arrow Connector 22"/>
                      <a:cNvCxnSpPr>
                        <a:stCxn id="18" idx="6"/>
                        <a:endCxn id="19" idx="2"/>
                      </a:cNvCxnSpPr>
                    </a:nvCxnSpPr>
                    <a:spPr>
                      <a:xfrm flipV="1">
                        <a:off x="1737792" y="3735942"/>
                        <a:ext cx="443936" cy="553917"/>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sp>
                    <a:nvSpPr>
                      <a:cNvPr id="30" name="Oval 29"/>
                      <a:cNvSpPr/>
                    </a:nvSpPr>
                    <a:spPr>
                      <a:xfrm>
                        <a:off x="1662674" y="1837359"/>
                        <a:ext cx="1438633" cy="899360"/>
                      </a:xfrm>
                      <a:prstGeom prst="ellipse">
                        <a:avLst/>
                      </a:prstGeom>
                      <a:noFill/>
                    </a:spPr>
                    <a:txSp>
                      <a:txBody>
                        <a:bodyPr lIns="0" tIns="0" rIns="0" bIns="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latin typeface="Times New Roman"/>
                              <a:cs typeface="Times New Roman"/>
                            </a:rPr>
                            <a:t>Ratio of electricity use to primary energy use</a:t>
                          </a:r>
                          <a:endParaRPr lang="en-US" sz="1200" dirty="0">
                            <a:solidFill>
                              <a:schemeClr val="tx1"/>
                            </a:solidFill>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Oval 38"/>
                      <a:cNvSpPr/>
                    </a:nvSpPr>
                    <a:spPr>
                      <a:xfrm>
                        <a:off x="3453064" y="555863"/>
                        <a:ext cx="1122161" cy="815737"/>
                      </a:xfrm>
                      <a:prstGeom prst="ellipse">
                        <a:avLst/>
                      </a:prstGeom>
                      <a:noFill/>
                    </a:spPr>
                    <a:txSp>
                      <a:txBody>
                        <a:bodyPr lIns="0" tIns="0" rIns="0" bIns="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latin typeface="Times New Roman"/>
                              <a:cs typeface="Times New Roman"/>
                            </a:rPr>
                            <a:t>Total primary energy use</a:t>
                          </a:r>
                          <a:endParaRPr lang="en-US" sz="1200" dirty="0">
                            <a:solidFill>
                              <a:schemeClr val="tx1"/>
                            </a:solidFill>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Oval 44"/>
                      <a:cNvSpPr/>
                    </a:nvSpPr>
                    <a:spPr>
                      <a:xfrm>
                        <a:off x="3505200" y="1639255"/>
                        <a:ext cx="1028699" cy="610710"/>
                      </a:xfrm>
                      <a:prstGeom prst="ellipse">
                        <a:avLst/>
                      </a:prstGeom>
                      <a:noFill/>
                    </a:spPr>
                    <a:txSp>
                      <a:txBody>
                        <a:bodyPr lIns="0" tIns="0" rIns="0" bIns="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latin typeface="Times New Roman"/>
                              <a:cs typeface="Times New Roman"/>
                            </a:rPr>
                            <a:t>Desired electricity use</a:t>
                          </a:r>
                          <a:endParaRPr lang="en-US" sz="1200" dirty="0">
                            <a:solidFill>
                              <a:schemeClr val="tx1"/>
                            </a:solidFill>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7" name="Oval 76"/>
                      <a:cNvSpPr/>
                    </a:nvSpPr>
                    <a:spPr>
                      <a:xfrm>
                        <a:off x="3829050" y="3424888"/>
                        <a:ext cx="1200477" cy="691016"/>
                      </a:xfrm>
                      <a:prstGeom prst="ellipse">
                        <a:avLst/>
                      </a:prstGeom>
                      <a:noFill/>
                    </a:spPr>
                    <a:txSp>
                      <a:txBody>
                        <a:bodyPr lIns="0" tIns="0" rIns="0" bIns="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latin typeface="Times New Roman"/>
                              <a:cs typeface="Times New Roman"/>
                            </a:rPr>
                            <a:t>Available  domestic electricity</a:t>
                          </a:r>
                          <a:endParaRPr lang="en-US" sz="1200" dirty="0">
                            <a:solidFill>
                              <a:schemeClr val="tx1"/>
                            </a:solidFill>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6" name="Oval 55"/>
                      <a:cNvSpPr/>
                    </a:nvSpPr>
                    <a:spPr>
                      <a:xfrm>
                        <a:off x="143843" y="969594"/>
                        <a:ext cx="1378447" cy="533400"/>
                      </a:xfrm>
                      <a:prstGeom prst="ellipse">
                        <a:avLst/>
                      </a:prstGeom>
                      <a:noFill/>
                    </a:spPr>
                    <a:txSp>
                      <a:txBody>
                        <a:bodyPr lIns="0" tIns="0" rIns="0" bIns="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latin typeface="Times New Roman"/>
                              <a:cs typeface="Times New Roman"/>
                            </a:rPr>
                            <a:t>Poverty</a:t>
                          </a:r>
                          <a:endParaRPr lang="en-US" sz="1200" dirty="0">
                            <a:solidFill>
                              <a:schemeClr val="tx1"/>
                            </a:solidFill>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7" name="Oval 56"/>
                      <a:cNvSpPr/>
                    </a:nvSpPr>
                    <a:spPr>
                      <a:xfrm>
                        <a:off x="201399" y="1654463"/>
                        <a:ext cx="1201539" cy="528457"/>
                      </a:xfrm>
                      <a:prstGeom prst="ellipse">
                        <a:avLst/>
                      </a:prstGeom>
                      <a:noFill/>
                    </a:spPr>
                    <a:txSp>
                      <a:txBody>
                        <a:bodyPr lIns="0" tIns="0" rIns="0" bIns="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latin typeface="Times New Roman"/>
                              <a:cs typeface="Times New Roman"/>
                            </a:rPr>
                            <a:t>Governance</a:t>
                          </a:r>
                          <a:endParaRPr lang="en-US" sz="1200" dirty="0">
                            <a:solidFill>
                              <a:schemeClr val="tx1"/>
                            </a:solidFill>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93" name="Straight Arrow Connector 92"/>
                      <a:cNvCxnSpPr>
                        <a:stCxn id="19" idx="6"/>
                        <a:endCxn id="77" idx="2"/>
                      </a:cNvCxnSpPr>
                    </a:nvCxnSpPr>
                    <a:spPr>
                      <a:xfrm>
                        <a:off x="3248528" y="3735942"/>
                        <a:ext cx="580522" cy="34454"/>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sp>
                    <a:nvSpPr>
                      <a:cNvPr id="111" name="Oval 110"/>
                      <a:cNvSpPr/>
                    </a:nvSpPr>
                    <a:spPr>
                      <a:xfrm>
                        <a:off x="5562600" y="5334000"/>
                        <a:ext cx="1331728" cy="894198"/>
                      </a:xfrm>
                      <a:prstGeom prst="ellipse">
                        <a:avLst/>
                      </a:prstGeom>
                      <a:noFill/>
                      <a:ln>
                        <a:solidFill>
                          <a:schemeClr val="accent1">
                            <a:lumMod val="75000"/>
                          </a:schemeClr>
                        </a:solidFill>
                      </a:ln>
                    </a:spPr>
                    <a:txSp>
                      <a:txBody>
                        <a:bodyPr lIns="0" tIns="0" rIns="0" bIns="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latin typeface="Times New Roman"/>
                              <a:cs typeface="Times New Roman"/>
                            </a:rPr>
                            <a:t>Desired additional generating capacity</a:t>
                          </a:r>
                          <a:endParaRPr lang="en-US" sz="1200" dirty="0">
                            <a:solidFill>
                              <a:schemeClr val="tx1"/>
                            </a:solidFill>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48" name="Oval 247"/>
                      <a:cNvSpPr/>
                    </a:nvSpPr>
                    <a:spPr>
                      <a:xfrm>
                        <a:off x="1890800" y="1025146"/>
                        <a:ext cx="981300" cy="457200"/>
                      </a:xfrm>
                      <a:prstGeom prst="ellipse">
                        <a:avLst/>
                      </a:prstGeom>
                      <a:noFill/>
                    </a:spPr>
                    <a:txSp>
                      <a:txBody>
                        <a:bodyPr lIns="0" tIns="0" rIns="0" bIns="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latin typeface="Times New Roman"/>
                              <a:cs typeface="Times New Roman"/>
                            </a:rPr>
                            <a:t>Access to electricity</a:t>
                          </a:r>
                          <a:endParaRPr lang="en-US" sz="1200" dirty="0">
                            <a:solidFill>
                              <a:schemeClr val="tx1"/>
                            </a:solidFill>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50" name="Straight Arrow Connector 249"/>
                      <a:cNvCxnSpPr>
                        <a:stCxn id="57" idx="6"/>
                        <a:endCxn id="248" idx="2"/>
                      </a:cNvCxnSpPr>
                    </a:nvCxnSpPr>
                    <a:spPr>
                      <a:xfrm flipV="1">
                        <a:off x="1402938" y="1253746"/>
                        <a:ext cx="487862" cy="664946"/>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cxnSp>
                    <a:nvCxnSpPr>
                      <a:cNvPr id="256" name="Straight Arrow Connector 255"/>
                      <a:cNvCxnSpPr>
                        <a:stCxn id="56" idx="7"/>
                        <a:endCxn id="248" idx="2"/>
                      </a:cNvCxnSpPr>
                    </a:nvCxnSpPr>
                    <a:spPr>
                      <a:xfrm>
                        <a:off x="1320421" y="1047709"/>
                        <a:ext cx="570379" cy="206037"/>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sp>
                    <a:nvSpPr>
                      <a:cNvPr id="384" name="TextBox 383"/>
                      <a:cNvSpPr txBox="1"/>
                    </a:nvSpPr>
                    <a:spPr>
                      <a:xfrm>
                        <a:off x="722267" y="528935"/>
                        <a:ext cx="2407781"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smtClean="0">
                              <a:latin typeface="Times New Roman"/>
                              <a:cs typeface="Times New Roman"/>
                            </a:rPr>
                            <a:t>CONSUMPTION</a:t>
                          </a:r>
                          <a:endParaRPr lang="en-US" sz="2400" dirty="0">
                            <a:latin typeface="Times New Roman"/>
                            <a:cs typeface="Times New Roman"/>
                          </a:endParaRPr>
                        </a:p>
                      </a:txBody>
                      <a:useSpRect/>
                    </a:txSp>
                  </a:sp>
                  <a:sp>
                    <a:nvSpPr>
                      <a:cNvPr id="385" name="TextBox 384"/>
                      <a:cNvSpPr txBox="1"/>
                    </a:nvSpPr>
                    <a:spPr>
                      <a:xfrm>
                        <a:off x="317872" y="4724400"/>
                        <a:ext cx="2168232"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smtClean="0">
                              <a:latin typeface="Times New Roman"/>
                              <a:cs typeface="Times New Roman"/>
                            </a:rPr>
                            <a:t>PRODUCTION</a:t>
                          </a:r>
                          <a:endParaRPr lang="en-US" sz="2400" dirty="0">
                            <a:latin typeface="Times New Roman"/>
                            <a:cs typeface="Times New Roman"/>
                          </a:endParaRPr>
                        </a:p>
                      </a:txBody>
                      <a:useSpRect/>
                    </a:txSp>
                  </a:sp>
                  <a:sp>
                    <a:nvSpPr>
                      <a:cNvPr id="386" name="TextBox 385"/>
                      <a:cNvSpPr txBox="1"/>
                    </a:nvSpPr>
                    <a:spPr>
                      <a:xfrm rot="5400000">
                        <a:off x="5752178" y="4354323"/>
                        <a:ext cx="1301709"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400" dirty="0" smtClean="0">
                              <a:latin typeface="Times New Roman"/>
                              <a:cs typeface="Times New Roman"/>
                            </a:rPr>
                            <a:t>SIGNAL</a:t>
                          </a:r>
                          <a:endParaRPr lang="en-US" sz="2400" dirty="0">
                            <a:latin typeface="Times New Roman"/>
                            <a:cs typeface="Times New Roman"/>
                          </a:endParaRPr>
                        </a:p>
                      </a:txBody>
                      <a:useSpRect/>
                    </a:txSp>
                  </a:sp>
                  <a:sp>
                    <a:nvSpPr>
                      <a:cNvPr id="121" name="Oval 120"/>
                      <a:cNvSpPr/>
                    </a:nvSpPr>
                    <a:spPr>
                      <a:xfrm>
                        <a:off x="493296" y="2411790"/>
                        <a:ext cx="1066800" cy="457200"/>
                      </a:xfrm>
                      <a:prstGeom prst="ellipse">
                        <a:avLst/>
                      </a:prstGeom>
                      <a:noFill/>
                    </a:spPr>
                    <a:txSp>
                      <a:txBody>
                        <a:bodyPr lIns="0" tIns="0" rIns="0" bIns="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latin typeface="Times New Roman"/>
                              <a:cs typeface="Times New Roman"/>
                            </a:rPr>
                            <a:t>Average income</a:t>
                          </a:r>
                          <a:endParaRPr lang="en-US" sz="1200" dirty="0">
                            <a:solidFill>
                              <a:schemeClr val="tx1"/>
                            </a:solidFill>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29" name="Straight Arrow Connector 228"/>
                      <a:cNvCxnSpPr>
                        <a:stCxn id="121" idx="6"/>
                        <a:endCxn id="30" idx="3"/>
                      </a:cNvCxnSpPr>
                    </a:nvCxnSpPr>
                    <a:spPr>
                      <a:xfrm flipV="1">
                        <a:off x="1560096" y="2605011"/>
                        <a:ext cx="313261" cy="35379"/>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cxnSp>
                    <a:nvCxnSpPr>
                      <a:cNvPr id="123" name="Straight Arrow Connector 122"/>
                      <a:cNvCxnSpPr>
                        <a:stCxn id="248" idx="4"/>
                        <a:endCxn id="30" idx="0"/>
                      </a:cNvCxnSpPr>
                    </a:nvCxnSpPr>
                    <a:spPr>
                      <a:xfrm>
                        <a:off x="2381450" y="1482346"/>
                        <a:ext cx="541" cy="355013"/>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cxnSp>
                    <a:nvCxnSpPr>
                      <a:cNvPr id="126" name="Straight Arrow Connector 125"/>
                      <a:cNvCxnSpPr>
                        <a:stCxn id="30" idx="6"/>
                        <a:endCxn id="45" idx="2"/>
                      </a:cNvCxnSpPr>
                    </a:nvCxnSpPr>
                    <a:spPr>
                      <a:xfrm flipV="1">
                        <a:off x="3101307" y="1944610"/>
                        <a:ext cx="403893" cy="342429"/>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cxnSp>
                    <a:nvCxnSpPr>
                      <a:cNvPr id="129" name="Straight Arrow Connector 128"/>
                      <a:cNvCxnSpPr>
                        <a:stCxn id="39" idx="4"/>
                        <a:endCxn id="45" idx="0"/>
                      </a:cNvCxnSpPr>
                    </a:nvCxnSpPr>
                    <a:spPr>
                      <a:xfrm>
                        <a:off x="4014145" y="1371600"/>
                        <a:ext cx="5405" cy="267655"/>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sp>
                    <a:nvSpPr>
                      <a:cNvPr id="142" name="Oval 141"/>
                      <a:cNvSpPr/>
                    </a:nvSpPr>
                    <a:spPr>
                      <a:xfrm>
                        <a:off x="3910032" y="4267200"/>
                        <a:ext cx="1028699" cy="610710"/>
                      </a:xfrm>
                      <a:prstGeom prst="ellipse">
                        <a:avLst/>
                      </a:prstGeom>
                      <a:noFill/>
                    </a:spPr>
                    <a:txSp>
                      <a:txBody>
                        <a:bodyPr lIns="0" tIns="0" rIns="0" bIns="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latin typeface="Times New Roman"/>
                              <a:cs typeface="Times New Roman"/>
                            </a:rPr>
                            <a:t>Expected electricity</a:t>
                          </a:r>
                        </a:p>
                        <a:p>
                          <a:pPr algn="ctr"/>
                          <a:r>
                            <a:rPr lang="en-US" sz="1200" dirty="0" smtClean="0">
                              <a:solidFill>
                                <a:schemeClr val="tx1"/>
                              </a:solidFill>
                              <a:latin typeface="Times New Roman"/>
                              <a:cs typeface="Times New Roman"/>
                            </a:rPr>
                            <a:t>exports</a:t>
                          </a:r>
                          <a:endParaRPr lang="en-US" sz="1200" dirty="0">
                            <a:solidFill>
                              <a:schemeClr val="tx1"/>
                            </a:solidFill>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44" name="Straight Arrow Connector 143"/>
                      <a:cNvCxnSpPr>
                        <a:stCxn id="19" idx="5"/>
                        <a:endCxn id="142" idx="1"/>
                      </a:cNvCxnSpPr>
                    </a:nvCxnSpPr>
                    <a:spPr>
                      <a:xfrm>
                        <a:off x="3092299" y="3947022"/>
                        <a:ext cx="968382" cy="409614"/>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sp>
                    <a:nvSpPr>
                      <a:cNvPr id="155" name="Oval 154"/>
                      <a:cNvSpPr/>
                    </a:nvSpPr>
                    <a:spPr>
                      <a:xfrm>
                        <a:off x="4938731" y="1635728"/>
                        <a:ext cx="1028699" cy="610710"/>
                      </a:xfrm>
                      <a:prstGeom prst="ellipse">
                        <a:avLst/>
                      </a:prstGeom>
                      <a:noFill/>
                    </a:spPr>
                    <a:txSp>
                      <a:txBody>
                        <a:bodyPr lIns="0" tIns="0" rIns="0" bIns="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latin typeface="Times New Roman"/>
                              <a:cs typeface="Times New Roman"/>
                            </a:rPr>
                            <a:t>Expected electricity imports</a:t>
                          </a:r>
                          <a:endParaRPr lang="en-US" sz="1200" dirty="0">
                            <a:solidFill>
                              <a:schemeClr val="tx1"/>
                            </a:solidFill>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61" name="Oval 160"/>
                      <a:cNvSpPr/>
                    </a:nvSpPr>
                    <a:spPr>
                      <a:xfrm>
                        <a:off x="3879335" y="2431364"/>
                        <a:ext cx="1000547" cy="692836"/>
                      </a:xfrm>
                      <a:prstGeom prst="ellipse">
                        <a:avLst/>
                      </a:prstGeom>
                      <a:noFill/>
                    </a:spPr>
                    <a:txSp>
                      <a:txBody>
                        <a:bodyPr lIns="0" tIns="0" rIns="0" bIns="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latin typeface="Times New Roman"/>
                              <a:cs typeface="Times New Roman"/>
                            </a:rPr>
                            <a:t>Desired domestic electricity</a:t>
                          </a:r>
                          <a:endParaRPr lang="en-US" sz="1200" dirty="0">
                            <a:solidFill>
                              <a:schemeClr val="tx1"/>
                            </a:solidFill>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64" name="Straight Arrow Connector 163"/>
                      <a:cNvCxnSpPr>
                        <a:stCxn id="45" idx="4"/>
                        <a:endCxn id="161" idx="1"/>
                      </a:cNvCxnSpPr>
                    </a:nvCxnSpPr>
                    <a:spPr>
                      <a:xfrm>
                        <a:off x="4019550" y="2249965"/>
                        <a:ext cx="6312" cy="282862"/>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cxnSp>
                    <a:nvCxnSpPr>
                      <a:cNvPr id="167" name="Straight Arrow Connector 166"/>
                      <a:cNvCxnSpPr>
                        <a:stCxn id="155" idx="4"/>
                        <a:endCxn id="161" idx="7"/>
                      </a:cNvCxnSpPr>
                    </a:nvCxnSpPr>
                    <a:spPr>
                      <a:xfrm flipH="1">
                        <a:off x="4733355" y="2246438"/>
                        <a:ext cx="719726" cy="286389"/>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cxnSp>
                    <a:nvCxnSpPr>
                      <a:cNvPr id="223" name="Straight Arrow Connector 222"/>
                      <a:cNvCxnSpPr>
                        <a:stCxn id="121" idx="4"/>
                        <a:endCxn id="18" idx="0"/>
                      </a:cNvCxnSpPr>
                    </a:nvCxnSpPr>
                    <a:spPr>
                      <a:xfrm flipH="1">
                        <a:off x="1021296" y="2868990"/>
                        <a:ext cx="5400" cy="1062527"/>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cxnSp>
                    <a:nvCxnSpPr>
                      <a:cNvPr id="288" name="Straight Arrow Connector 287"/>
                      <a:cNvCxnSpPr>
                        <a:stCxn id="57" idx="3"/>
                        <a:endCxn id="18" idx="1"/>
                      </a:cNvCxnSpPr>
                    </a:nvCxnSpPr>
                    <a:spPr>
                      <a:xfrm>
                        <a:off x="377360" y="2105529"/>
                        <a:ext cx="137297" cy="1930944"/>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sp>
                    <a:nvSpPr>
                      <a:cNvPr id="289" name="Oval 288"/>
                      <a:cNvSpPr/>
                    </a:nvSpPr>
                    <a:spPr>
                      <a:xfrm>
                        <a:off x="5562601" y="3037946"/>
                        <a:ext cx="1331728" cy="692836"/>
                      </a:xfrm>
                      <a:prstGeom prst="ellipse">
                        <a:avLst/>
                      </a:prstGeom>
                      <a:noFill/>
                    </a:spPr>
                    <a:txSp>
                      <a:txBody>
                        <a:bodyPr lIns="0" tIns="0" rIns="0" bIns="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solidFill>
                                <a:schemeClr val="tx1"/>
                              </a:solidFill>
                              <a:latin typeface="Times New Roman"/>
                              <a:cs typeface="Times New Roman"/>
                            </a:rPr>
                            <a:t>Gap in domestic electricity</a:t>
                          </a:r>
                          <a:endParaRPr lang="en-US" sz="1200" dirty="0">
                            <a:solidFill>
                              <a:schemeClr val="tx1"/>
                            </a:solidFill>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290" name="Straight Arrow Connector 289"/>
                      <a:cNvCxnSpPr>
                        <a:stCxn id="45" idx="6"/>
                        <a:endCxn id="155" idx="2"/>
                      </a:cNvCxnSpPr>
                    </a:nvCxnSpPr>
                    <a:spPr>
                      <a:xfrm flipV="1">
                        <a:off x="4533899" y="1941083"/>
                        <a:ext cx="404832" cy="3527"/>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cxnSp>
                    <a:nvCxnSpPr>
                      <a:cNvPr id="291" name="Straight Arrow Connector 290"/>
                      <a:cNvCxnSpPr>
                        <a:stCxn id="161" idx="6"/>
                        <a:endCxn id="289" idx="1"/>
                      </a:cNvCxnSpPr>
                    </a:nvCxnSpPr>
                    <a:spPr>
                      <a:xfrm>
                        <a:off x="4879882" y="2777782"/>
                        <a:ext cx="877746" cy="361627"/>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cxnSp>
                    <a:nvCxnSpPr>
                      <a:cNvPr id="292" name="Straight Arrow Connector 291"/>
                      <a:cNvCxnSpPr>
                        <a:stCxn id="77" idx="6"/>
                        <a:endCxn id="289" idx="3"/>
                      </a:cNvCxnSpPr>
                    </a:nvCxnSpPr>
                    <a:spPr>
                      <a:xfrm flipV="1">
                        <a:off x="5029527" y="3629319"/>
                        <a:ext cx="728101" cy="141077"/>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cxnSp>
                    <a:nvCxnSpPr>
                      <a:cNvPr id="293" name="Straight Arrow Connector 292"/>
                      <a:cNvCxnSpPr>
                        <a:stCxn id="289" idx="4"/>
                        <a:endCxn id="111" idx="0"/>
                      </a:cNvCxnSpPr>
                    </a:nvCxnSpPr>
                    <a:spPr>
                      <a:xfrm flipH="1">
                        <a:off x="6228464" y="3730782"/>
                        <a:ext cx="1" cy="1603218"/>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cxnSp>
                    <a:nvCxnSpPr>
                      <a:cNvPr id="305" name="Straight Arrow Connector 304"/>
                      <a:cNvCxnSpPr>
                        <a:stCxn id="18" idx="6"/>
                        <a:endCxn id="111" idx="1"/>
                      </a:cNvCxnSpPr>
                    </a:nvCxnSpPr>
                    <a:spPr>
                      <a:xfrm>
                        <a:off x="1737792" y="4289859"/>
                        <a:ext cx="4019835" cy="1175093"/>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cxnSp>
                    <a:nvCxnSpPr>
                      <a:cNvPr id="308" name="Straight Arrow Connector 307"/>
                      <a:cNvCxnSpPr>
                        <a:stCxn id="8" idx="6"/>
                        <a:endCxn id="111" idx="2"/>
                      </a:cNvCxnSpPr>
                    </a:nvCxnSpPr>
                    <a:spPr>
                      <a:xfrm flipV="1">
                        <a:off x="1746898" y="5781099"/>
                        <a:ext cx="3815702" cy="17430"/>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6B1499" w:rsidRPr="004F1F9C" w:rsidRDefault="006B1499" w:rsidP="006B1499">
      <w:r w:rsidRPr="004F1F9C">
        <w:rPr>
          <w:b/>
        </w:rPr>
        <w:t xml:space="preserve">Figure 4.4 </w:t>
      </w:r>
      <w:r>
        <w:rPr>
          <w:b/>
        </w:rPr>
        <w:t>M</w:t>
      </w:r>
      <w:r w:rsidRPr="004F1F9C">
        <w:rPr>
          <w:b/>
        </w:rPr>
        <w:t xml:space="preserve">odeling </w:t>
      </w:r>
      <w:r>
        <w:rPr>
          <w:b/>
        </w:rPr>
        <w:t>e</w:t>
      </w:r>
      <w:r w:rsidRPr="004F1F9C">
        <w:rPr>
          <w:b/>
        </w:rPr>
        <w:t xml:space="preserve">nergy </w:t>
      </w:r>
      <w:r>
        <w:rPr>
          <w:b/>
        </w:rPr>
        <w:t>i</w:t>
      </w:r>
      <w:r w:rsidRPr="004F1F9C">
        <w:rPr>
          <w:b/>
        </w:rPr>
        <w:t>nfrastructure in IFs</w:t>
      </w:r>
    </w:p>
    <w:p w:rsidR="004C4744" w:rsidRDefault="006B1499" w:rsidP="006B1499">
      <w:r w:rsidRPr="004F1F9C">
        <w:t>We estimate access to electricity separately for urban and rural populations using the following equations:</w:t>
      </w:r>
    </w:p>
    <w:p w:rsidR="006B1499" w:rsidRPr="004F1F9C" w:rsidRDefault="006B1499" w:rsidP="006B1499"/>
    <w:p w:rsidR="006B1499" w:rsidRPr="004F1F9C" w:rsidRDefault="00F7383F" w:rsidP="006B1499">
      <m:oMathPara>
        <m:oMath>
          <m:sSub>
            <m:sSubPr>
              <m:ctrlPr>
                <w:rPr>
                  <w:rFonts w:ascii="Cambria Math" w:hAnsi="Cambria Math"/>
                  <w:i/>
                </w:rPr>
              </m:ctrlPr>
            </m:sSubPr>
            <m:e>
              <m:r>
                <m:rPr>
                  <m:nor/>
                </m:rPr>
                <w:rPr>
                  <w:rFonts w:ascii="Cambria Math" w:hAnsi="Cambria Math" w:cs="STIXGeneral"/>
                </w:rPr>
                <m:t>INFRAELECACC</m:t>
              </m:r>
            </m:e>
            <m:sub>
              <m:r>
                <m:rPr>
                  <m:nor/>
                </m:rPr>
                <w:rPr>
                  <w:rFonts w:ascii="Cambria Math" w:hAnsi="Cambria Math" w:cs="STIXGeneral"/>
                </w:rPr>
                <m:t>urban</m:t>
              </m:r>
            </m:sub>
          </m:sSub>
          <m:r>
            <m:rPr>
              <m:nor/>
            </m:rPr>
            <w:rPr>
              <w:rFonts w:ascii="Cambria Math" w:hAnsi="Cambria Math"/>
            </w:rPr>
            <m:t xml:space="preserve">= </m:t>
          </m:r>
          <m:f>
            <m:fPr>
              <m:ctrlPr>
                <w:rPr>
                  <w:rFonts w:ascii="Cambria Math" w:hAnsi="Cambria Math"/>
                  <w:i/>
                </w:rPr>
              </m:ctrlPr>
            </m:fPr>
            <m:num>
              <m:r>
                <m:rPr>
                  <m:nor/>
                </m:rPr>
                <w:rPr>
                  <w:rFonts w:ascii="Cambria Math" w:hAnsi="Cambria Math"/>
                </w:rPr>
                <m:t>100</m:t>
              </m:r>
            </m:num>
            <m:den>
              <m:r>
                <m:rPr>
                  <m:nor/>
                </m:rPr>
                <w:rPr>
                  <w:rFonts w:ascii="Cambria Math" w:hAnsi="Cambria Math"/>
                </w:rPr>
                <m:t>1+</m:t>
              </m:r>
              <m:sSup>
                <m:sSupPr>
                  <m:ctrlPr>
                    <w:rPr>
                      <w:rFonts w:ascii="Cambria Math" w:hAnsi="Cambria Math"/>
                      <w:i/>
                    </w:rPr>
                  </m:ctrlPr>
                </m:sSupPr>
                <m:e>
                  <m:r>
                    <m:rPr>
                      <m:nor/>
                    </m:rPr>
                    <w:rPr>
                      <w:rFonts w:ascii="Cambria Math" w:hAnsi="Cambria Math" w:cs="STIXGeneral"/>
                    </w:rPr>
                    <m:t>e</m:t>
                  </m:r>
                </m:e>
                <m:sup>
                  <m:r>
                    <m:rPr>
                      <m:nor/>
                    </m:rPr>
                    <w:rPr>
                      <w:rFonts w:ascii="Cambria Math" w:hAnsi="Cambria Math"/>
                    </w:rPr>
                    <m:t>-(1.144-4.858</m:t>
                  </m:r>
                  <m:r>
                    <m:rPr>
                      <m:nor/>
                    </m:rPr>
                    <w:rPr>
                      <w:rFonts w:ascii="Cambria Math" w:hAnsi="Cambria Math" w:cs="Menlo Regular"/>
                    </w:rPr>
                    <m:t>*</m:t>
                  </m:r>
                  <m:r>
                    <m:rPr>
                      <m:nor/>
                    </m:rPr>
                    <w:rPr>
                      <w:rFonts w:ascii="Cambria Math" w:hAnsi="Cambria Math" w:cs="STIXGeneral"/>
                    </w:rPr>
                    <m:t>poverty</m:t>
                  </m:r>
                  <m:r>
                    <m:rPr>
                      <m:nor/>
                    </m:rPr>
                    <w:rPr>
                      <w:rFonts w:ascii="Cambria Math" w:hAnsi="Cambria Math"/>
                    </w:rPr>
                    <m:t xml:space="preserve"> </m:t>
                  </m:r>
                  <m:r>
                    <m:rPr>
                      <m:nor/>
                    </m:rPr>
                    <w:rPr>
                      <w:rFonts w:ascii="Cambria Math" w:hAnsi="Cambria Math" w:cs="STIXGeneral"/>
                    </w:rPr>
                    <m:t>level</m:t>
                  </m:r>
                  <m:r>
                    <m:rPr>
                      <m:nor/>
                    </m:rPr>
                    <w:rPr>
                      <w:rFonts w:ascii="Cambria Math" w:hAnsi="Cambria Math"/>
                    </w:rPr>
                    <m:t>+0.837</m:t>
                  </m:r>
                  <m:r>
                    <m:rPr>
                      <m:nor/>
                    </m:rPr>
                    <w:rPr>
                      <w:rFonts w:ascii="Cambria Math" w:hAnsi="Cambria Math" w:cs="Menlo Regular"/>
                    </w:rPr>
                    <m:t>*</m:t>
                  </m:r>
                  <m:r>
                    <m:rPr>
                      <m:nor/>
                    </m:rPr>
                    <w:rPr>
                      <w:rFonts w:ascii="Cambria Math" w:hAnsi="Cambria Math" w:cs="STIXGeneral"/>
                    </w:rPr>
                    <m:t>GOVEFFECT</m:t>
                  </m:r>
                  <m:r>
                    <m:rPr>
                      <m:nor/>
                    </m:rPr>
                    <w:rPr>
                      <w:rFonts w:ascii="Cambria Math" w:hAnsi="Cambria Math"/>
                    </w:rPr>
                    <m:t>)</m:t>
                  </m:r>
                </m:sup>
              </m:sSup>
            </m:den>
          </m:f>
        </m:oMath>
      </m:oMathPara>
    </w:p>
    <w:p w:rsidR="004C4744" w:rsidRDefault="00F7383F" w:rsidP="006B1499">
      <w:pPr>
        <w:rPr>
          <w:oMath/>
          <w:rFonts w:ascii="Wingdings 2" w:hAnsi="Cambria Math"/>
        </w:rPr>
      </w:pPr>
      <m:oMathPara>
        <m:oMath>
          <m:sSub>
            <m:sSubPr>
              <m:ctrlPr>
                <w:rPr>
                  <w:rFonts w:ascii="Cambria Math" w:hAnsi="Cambria Math"/>
                  <w:i/>
                </w:rPr>
              </m:ctrlPr>
            </m:sSubPr>
            <m:e>
              <m:r>
                <m:rPr>
                  <m:nor/>
                </m:rPr>
                <w:rPr>
                  <w:rFonts w:ascii="Cambria Math" w:hAnsi="Cambria Math" w:cs="STIXGeneral"/>
                </w:rPr>
                <m:t>INFRAELECACC</m:t>
              </m:r>
            </m:e>
            <m:sub>
              <m:r>
                <m:rPr>
                  <m:nor/>
                </m:rPr>
                <w:rPr>
                  <w:rFonts w:ascii="Cambria Math" w:hAnsi="Cambria Math" w:cs="STIXGeneral"/>
                </w:rPr>
                <m:t>rural</m:t>
              </m:r>
            </m:sub>
          </m:sSub>
          <m:r>
            <m:rPr>
              <m:nor/>
            </m:rPr>
            <w:rPr>
              <w:rFonts w:ascii="Cambria Math" w:hAnsi="Cambria Math"/>
            </w:rPr>
            <m:t xml:space="preserve">= </m:t>
          </m:r>
          <m:f>
            <m:fPr>
              <m:ctrlPr>
                <w:rPr>
                  <w:rFonts w:ascii="Cambria Math" w:hAnsi="Cambria Math"/>
                  <w:i/>
                </w:rPr>
              </m:ctrlPr>
            </m:fPr>
            <m:num>
              <m:r>
                <m:rPr>
                  <m:nor/>
                </m:rPr>
                <w:rPr>
                  <w:rFonts w:ascii="Cambria Math" w:hAnsi="Cambria Math"/>
                </w:rPr>
                <m:t>100</m:t>
              </m:r>
            </m:num>
            <m:den>
              <m:r>
                <m:rPr>
                  <m:nor/>
                </m:rPr>
                <w:rPr>
                  <w:rFonts w:ascii="Cambria Math" w:hAnsi="Cambria Math"/>
                </w:rPr>
                <m:t>1+</m:t>
              </m:r>
              <m:sSup>
                <m:sSupPr>
                  <m:ctrlPr>
                    <w:rPr>
                      <w:rFonts w:ascii="Cambria Math" w:hAnsi="Cambria Math"/>
                      <w:i/>
                    </w:rPr>
                  </m:ctrlPr>
                </m:sSupPr>
                <m:e>
                  <m:r>
                    <m:rPr>
                      <m:nor/>
                    </m:rPr>
                    <w:rPr>
                      <w:rFonts w:ascii="Cambria Math" w:hAnsi="Cambria Math" w:cs="STIXGeneral"/>
                    </w:rPr>
                    <m:t>e</m:t>
                  </m:r>
                </m:e>
                <m:sup>
                  <m:r>
                    <m:rPr>
                      <m:nor/>
                    </m:rPr>
                    <w:rPr>
                      <w:rFonts w:ascii="Cambria Math" w:hAnsi="Cambria Math"/>
                    </w:rPr>
                    <m:t>-(-0.500-6.925</m:t>
                  </m:r>
                  <m:r>
                    <m:rPr>
                      <m:nor/>
                    </m:rPr>
                    <w:rPr>
                      <w:rFonts w:ascii="Cambria Math" w:hAnsi="Cambria Math" w:cs="Menlo Regular"/>
                    </w:rPr>
                    <m:t>*</m:t>
                  </m:r>
                  <m:r>
                    <m:rPr>
                      <m:nor/>
                    </m:rPr>
                    <w:rPr>
                      <w:rFonts w:ascii="Cambria Math" w:hAnsi="Cambria Math" w:cs="STIXGeneral"/>
                    </w:rPr>
                    <m:t>poverty</m:t>
                  </m:r>
                  <m:r>
                    <m:rPr>
                      <m:nor/>
                    </m:rPr>
                    <w:rPr>
                      <w:rFonts w:ascii="Cambria Math" w:hAnsi="Cambria Math"/>
                    </w:rPr>
                    <m:t xml:space="preserve"> </m:t>
                  </m:r>
                  <m:r>
                    <m:rPr>
                      <m:nor/>
                    </m:rPr>
                    <w:rPr>
                      <w:rFonts w:ascii="Cambria Math" w:hAnsi="Cambria Math" w:cs="STIXGeneral"/>
                    </w:rPr>
                    <m:t>level</m:t>
                  </m:r>
                  <m:r>
                    <m:rPr>
                      <m:nor/>
                    </m:rPr>
                    <w:rPr>
                      <w:rFonts w:ascii="Cambria Math" w:hAnsi="Cambria Math"/>
                    </w:rPr>
                    <m:t>+0.858</m:t>
                  </m:r>
                  <m:r>
                    <m:rPr>
                      <m:nor/>
                    </m:rPr>
                    <w:rPr>
                      <w:rFonts w:ascii="Cambria Math" w:hAnsi="Cambria Math" w:cs="Menlo Regular"/>
                    </w:rPr>
                    <m:t>*</m:t>
                  </m:r>
                  <m:r>
                    <m:rPr>
                      <m:nor/>
                    </m:rPr>
                    <w:rPr>
                      <w:rFonts w:ascii="Cambria Math" w:hAnsi="Cambria Math" w:cs="STIXGeneral"/>
                    </w:rPr>
                    <m:t>GOVEFFECT</m:t>
                  </m:r>
                  <m:r>
                    <m:rPr>
                      <m:nor/>
                    </m:rPr>
                    <w:rPr>
                      <w:rFonts w:ascii="Cambria Math" w:hAnsi="Cambria Math"/>
                    </w:rPr>
                    <m:t>)</m:t>
                  </m:r>
                </m:sup>
              </m:sSup>
            </m:den>
          </m:f>
        </m:oMath>
      </m:oMathPara>
    </w:p>
    <w:p w:rsidR="006B1499" w:rsidRPr="004F1F9C" w:rsidRDefault="006B1499" w:rsidP="006B1499"/>
    <w:p w:rsidR="006B1499" w:rsidRPr="004F1F9C" w:rsidRDefault="006B1499" w:rsidP="006B1499">
      <w:r w:rsidRPr="004F1F9C">
        <w:t>where</w:t>
      </w:r>
    </w:p>
    <w:p w:rsidR="004C4744" w:rsidRDefault="006B1499" w:rsidP="006B1499">
      <w:pPr>
        <w:ind w:left="720"/>
      </w:pPr>
      <w:r w:rsidRPr="004F1F9C">
        <w:t xml:space="preserve">INFRAELECACC is the percentage of the urban or rural population with access to electricity, poverty level is the fraction of the total population that lives on less than $1.25 per day, and GOVEFFECT is a measure of governance effectiveness developed as part of the World Bank’s World Governance Indicators project </w:t>
      </w:r>
      <w:r w:rsidR="00F7383F" w:rsidRPr="004F1F9C">
        <w:fldChar w:fldCharType="begin"/>
      </w:r>
      <w:r>
        <w:instrText xml:space="preserve"> ADDIN ZOTERO_ITEM CSL_CITATION {"citationID":"F04vQhIQ","properties":{"formattedCitation":"(Kaufmann, Kraay, and Mastruzzi 2010)","plainCitation":"(Kaufmann, Kraay, and Mastruzzi 2010)"},"citationItems":[{"id":1662,"uris":["http://zotero.org/groups/4482/items/VRJSKFPT"],"uri":["http://zotero.org/groups/4482/items/VRJSKFPT"],"itemData":{"id":1662,"type":"report","title":"The Worldwide Governance Indicators: Methodology and Analytical Issues","publisher":"World Bank","publisher-place":"Washington, DC","genre":"World Bank Policy Research Working Paper","event-place":"Washington, DC","number":"5430","author":[{"family":"Kaufmann","given":"Daniel"},{"family":"Kraay","given":"Aart"},{"family":"Mastruzzi","given":"Massimo"}],"issued":{"year":2010}}}],"schema":"https://github.com/citation-style-language/schema/raw/master/csl-citation.json"} </w:instrText>
      </w:r>
      <w:r w:rsidR="00F7383F" w:rsidRPr="004F1F9C">
        <w:fldChar w:fldCharType="separate"/>
      </w:r>
      <w:r w:rsidRPr="004F1F9C">
        <w:rPr>
          <w:noProof/>
        </w:rPr>
        <w:t>(Kaufmann, Kraay, and Mastruzzi 2010)</w:t>
      </w:r>
      <w:r w:rsidR="00F7383F" w:rsidRPr="004F1F9C">
        <w:fldChar w:fldCharType="end"/>
      </w:r>
      <w:r w:rsidRPr="004F1F9C">
        <w:t>.</w:t>
      </w:r>
      <w:r w:rsidRPr="004F1F9C">
        <w:rPr>
          <w:rStyle w:val="FootnoteReference"/>
        </w:rPr>
        <w:footnoteReference w:id="66"/>
      </w:r>
    </w:p>
    <w:p w:rsidR="006B1499" w:rsidRPr="004F1F9C" w:rsidRDefault="006B1499" w:rsidP="006B1499">
      <w:pPr>
        <w:ind w:left="720"/>
      </w:pPr>
    </w:p>
    <w:p w:rsidR="004C4744" w:rsidRDefault="006B1499" w:rsidP="006B1499">
      <w:r w:rsidRPr="004F1F9C">
        <w:t>In both the urban and rural equations, increased levels of electricity access are associated with decreasing levels of poverty and increasing levels of governance effectiveness. Based on the specific coefficients and the possible values of the explanatory, we can also show that for any values these take, the estimated values for urban access will always equal or exceed those for rural access.</w:t>
      </w:r>
    </w:p>
    <w:p w:rsidR="006B1499" w:rsidRPr="004F1F9C" w:rsidRDefault="006B1499" w:rsidP="006B1499"/>
    <w:p w:rsidR="004C4744" w:rsidRDefault="006B1499" w:rsidP="006B1499">
      <w:r w:rsidRPr="004F1F9C">
        <w:t>We calculate the percentage of the total population with access to electricity as a population weighted average of the urban and rural values. This is then combined with average income to forecast the ratio of electricity use to total primary energy use with the following equation:</w:t>
      </w:r>
    </w:p>
    <w:p w:rsidR="006B1499" w:rsidRPr="004F1F9C" w:rsidRDefault="006B1499" w:rsidP="006B1499"/>
    <w:p w:rsidR="004C4744" w:rsidRDefault="00F7383F" w:rsidP="006B1499">
      <w:pPr>
        <w:rPr>
          <w:oMath/>
          <w:rFonts w:ascii="Wingdings 2" w:hAnsi="Cambria Math"/>
        </w:rPr>
      </w:pPr>
      <m:oMathPara>
        <m:oMath>
          <m:func>
            <m:funcPr>
              <m:ctrlPr>
                <w:rPr>
                  <w:rFonts w:ascii="Cambria Math" w:hAnsi="Cambria Math"/>
                  <w:i/>
                </w:rPr>
              </m:ctrlPr>
            </m:funcPr>
            <m:fName>
              <m:r>
                <m:rPr>
                  <m:nor/>
                </m:rPr>
                <w:rPr>
                  <w:rFonts w:ascii="Cambria Math" w:hAnsi="Cambria Math"/>
                </w:rPr>
                <m:t>ln</m:t>
              </m:r>
            </m:fName>
            <m:e>
              <m:d>
                <m:dPr>
                  <m:ctrlPr>
                    <w:rPr>
                      <w:rFonts w:ascii="Cambria Math" w:hAnsi="Cambria Math"/>
                      <w:i/>
                    </w:rPr>
                  </m:ctrlPr>
                </m:dPr>
                <m:e>
                  <m:r>
                    <m:rPr>
                      <m:nor/>
                    </m:rPr>
                    <w:rPr>
                      <w:rFonts w:ascii="Cambria Math" w:hAnsi="Cambria Math" w:cs="STIXGeneral"/>
                    </w:rPr>
                    <m:t>ENELECSHRENDEM</m:t>
                  </m:r>
                </m:e>
              </m:d>
            </m:e>
          </m:func>
          <m:r>
            <m:rPr>
              <m:nor/>
            </m:rPr>
            <w:rPr>
              <w:rFonts w:ascii="Cambria Math" w:hAnsi="Cambria Math"/>
            </w:rPr>
            <m:t>=-5.135+0.315</m:t>
          </m:r>
          <m:r>
            <m:rPr>
              <m:nor/>
            </m:rPr>
            <w:rPr>
              <w:rFonts w:ascii="Cambria Math" w:hAnsi="Cambria Math" w:cs="Menlo Regular"/>
            </w:rPr>
            <m:t>*</m:t>
          </m:r>
          <m:func>
            <m:funcPr>
              <m:ctrlPr>
                <w:rPr>
                  <w:rFonts w:ascii="Cambria Math" w:hAnsi="Cambria Math"/>
                </w:rPr>
              </m:ctrlPr>
            </m:funcPr>
            <m:fName>
              <m:r>
                <m:rPr>
                  <m:nor/>
                </m:rPr>
                <w:rPr>
                  <w:rFonts w:ascii="Cambria Math" w:hAnsi="Cambria Math"/>
                </w:rPr>
                <m:t>ln</m:t>
              </m:r>
              <m:ctrlPr>
                <w:rPr>
                  <w:rFonts w:ascii="Cambria Math" w:hAnsi="Cambria Math"/>
                  <w:i/>
                </w:rPr>
              </m:ctrlPr>
            </m:fName>
            <m:e>
              <m:d>
                <m:dPr>
                  <m:ctrlPr>
                    <w:rPr>
                      <w:rFonts w:ascii="Cambria Math" w:hAnsi="Cambria Math"/>
                      <w:i/>
                    </w:rPr>
                  </m:ctrlPr>
                </m:dPr>
                <m:e>
                  <m:r>
                    <m:rPr>
                      <m:nor/>
                    </m:rPr>
                    <w:rPr>
                      <w:rFonts w:ascii="Cambria Math" w:hAnsi="Cambria Math" w:cs="STIXGeneral"/>
                    </w:rPr>
                    <m:t>GDPPCP</m:t>
                  </m:r>
                </m:e>
              </m:d>
            </m:e>
          </m:func>
          <m:r>
            <m:rPr>
              <m:nor/>
            </m:rPr>
            <w:rPr>
              <w:rFonts w:ascii="Cambria Math" w:hAnsi="Cambria Math"/>
            </w:rPr>
            <m:t>+0.494</m:t>
          </m:r>
          <m:r>
            <m:rPr>
              <m:nor/>
            </m:rPr>
            <w:rPr>
              <w:rFonts w:ascii="Cambria Math" w:hAnsi="Cambria Math" w:cs="Menlo Regular"/>
            </w:rPr>
            <m:t>*</m:t>
          </m:r>
          <m:func>
            <m:funcPr>
              <m:ctrlPr>
                <w:rPr>
                  <w:rFonts w:ascii="Cambria Math" w:hAnsi="Cambria Math"/>
                </w:rPr>
              </m:ctrlPr>
            </m:funcPr>
            <m:fName>
              <m:r>
                <m:rPr>
                  <m:nor/>
                </m:rPr>
                <w:rPr>
                  <w:rFonts w:ascii="Cambria Math" w:hAnsi="Cambria Math"/>
                </w:rPr>
                <m:t>ln</m:t>
              </m:r>
              <m:ctrlPr>
                <w:rPr>
                  <w:rFonts w:ascii="Cambria Math" w:hAnsi="Cambria Math"/>
                  <w:i/>
                </w:rPr>
              </m:ctrlPr>
            </m:fName>
            <m:e>
              <m:d>
                <m:dPr>
                  <m:ctrlPr>
                    <w:rPr>
                      <w:rFonts w:ascii="Cambria Math" w:hAnsi="Cambria Math"/>
                      <w:i/>
                    </w:rPr>
                  </m:ctrlPr>
                </m:dPr>
                <m:e>
                  <m:sSub>
                    <m:sSubPr>
                      <m:ctrlPr>
                        <w:rPr>
                          <w:rFonts w:ascii="Cambria Math" w:hAnsi="Cambria Math"/>
                          <w:i/>
                        </w:rPr>
                      </m:ctrlPr>
                    </m:sSubPr>
                    <m:e>
                      <m:r>
                        <m:rPr>
                          <m:nor/>
                        </m:rPr>
                        <w:rPr>
                          <w:rFonts w:ascii="Cambria Math" w:hAnsi="Cambria Math" w:cs="STIXGeneral"/>
                        </w:rPr>
                        <m:t>INFRAELECACC</m:t>
                      </m:r>
                    </m:e>
                    <m:sub>
                      <m:r>
                        <m:rPr>
                          <m:nor/>
                        </m:rPr>
                        <w:rPr>
                          <w:rFonts w:ascii="Cambria Math" w:hAnsi="Cambria Math" w:cs="STIXGeneral"/>
                        </w:rPr>
                        <m:t>national</m:t>
                      </m:r>
                    </m:sub>
                  </m:sSub>
                </m:e>
              </m:d>
            </m:e>
          </m:func>
        </m:oMath>
      </m:oMathPara>
    </w:p>
    <w:p w:rsidR="006B1499" w:rsidRPr="004F1F9C" w:rsidRDefault="006B1499" w:rsidP="006B1499"/>
    <w:p w:rsidR="006B1499" w:rsidRPr="004F1F9C" w:rsidRDefault="006B1499" w:rsidP="006B1499">
      <w:r w:rsidRPr="004F1F9C">
        <w:t>where</w:t>
      </w:r>
    </w:p>
    <w:p w:rsidR="004C4744" w:rsidRDefault="006B1499" w:rsidP="006B1499">
      <w:pPr>
        <w:ind w:left="720"/>
      </w:pPr>
      <w:r w:rsidRPr="004F1F9C">
        <w:t>ENELECSHRENDEM is ratio of electricity use to total energy use, GDPPCP is average income measured at PPP in thousands of year 2000 dollars, and INFRAELECACC</w:t>
      </w:r>
      <w:r w:rsidRPr="004F1F9C">
        <w:rPr>
          <w:vertAlign w:val="subscript"/>
        </w:rPr>
        <w:t>national</w:t>
      </w:r>
      <w:r w:rsidRPr="004F1F9C">
        <w:t xml:space="preserve"> is the percentage of the total population with access to electricity.</w:t>
      </w:r>
    </w:p>
    <w:p w:rsidR="006B1499" w:rsidRPr="004F1F9C" w:rsidRDefault="006B1499" w:rsidP="006B1499">
      <w:pPr>
        <w:ind w:left="720"/>
      </w:pPr>
    </w:p>
    <w:p w:rsidR="006B1499" w:rsidRPr="004F1F9C" w:rsidRDefault="006B1499" w:rsidP="006B1499">
      <w:r w:rsidRPr="004F1F9C">
        <w:t>This uses a functional form that is linear in logarithms, just as for our forecast for total road density.</w:t>
      </w:r>
      <w:r w:rsidRPr="004F1F9C">
        <w:rPr>
          <w:rStyle w:val="FootnoteReference"/>
        </w:rPr>
        <w:footnoteReference w:id="67"/>
      </w:r>
      <w:r w:rsidRPr="004F1F9C">
        <w:t xml:space="preserve"> Based on this and the sign on the coefficients, we can see that the ratio of electricity use to total primary energy use increases with both increasing income and electricity access. The estimated elasticities imply that a 10 percent increase in average income, holding electricity access constant, would lead to a 3 percent increase in the ratio. A 10 percent increase in access, holding average income constant would lead to a 5 percent increase in the ratio.</w:t>
      </w:r>
    </w:p>
    <w:p w:rsidR="004C4744" w:rsidRDefault="006B1499" w:rsidP="006B1499">
      <w:r w:rsidRPr="004F1F9C">
        <w:t>The only estimated equation on the production side is for transmission loss. We forecast this as:</w:t>
      </w:r>
    </w:p>
    <w:p w:rsidR="006B1499" w:rsidRPr="004F1F9C" w:rsidRDefault="006B1499" w:rsidP="006B1499"/>
    <w:p w:rsidR="004C4744" w:rsidRDefault="006B1499" w:rsidP="006B1499">
      <w:pPr>
        <w:rPr>
          <w:oMath/>
          <w:rFonts w:ascii="Wingdings 2" w:hAnsi="Cambria Math"/>
        </w:rPr>
      </w:pPr>
      <m:oMathPara>
        <m:oMath>
          <m:r>
            <m:rPr>
              <m:nor/>
            </m:rPr>
            <w:rPr>
              <w:rFonts w:ascii="Cambria Math" w:hAnsi="Cambria Math" w:cs="STIXGeneral"/>
            </w:rPr>
            <m:t>INFRAELECTRANLOSS</m:t>
          </m:r>
          <m:r>
            <m:rPr>
              <m:nor/>
            </m:rPr>
            <w:rPr>
              <w:rFonts w:ascii="Cambria Math" w:hAnsi="Cambria Math"/>
            </w:rPr>
            <m:t>=</m:t>
          </m:r>
          <m:sSup>
            <m:sSupPr>
              <m:ctrlPr>
                <w:rPr>
                  <w:rFonts w:ascii="Cambria Math" w:hAnsi="Cambria Math"/>
                  <w:i/>
                </w:rPr>
              </m:ctrlPr>
            </m:sSupPr>
            <m:e>
              <m:r>
                <m:rPr>
                  <m:nor/>
                </m:rPr>
                <w:rPr>
                  <w:rFonts w:ascii="Cambria Math" w:hAnsi="Cambria Math" w:cs="STIXGeneral"/>
                </w:rPr>
                <m:t>e</m:t>
              </m:r>
            </m:e>
            <m:sup>
              <m:r>
                <m:rPr>
                  <m:nor/>
                </m:rPr>
                <w:rPr>
                  <w:rFonts w:ascii="Cambria Math" w:hAnsi="Cambria Math"/>
                </w:rPr>
                <m:t>3.1253418-0.026</m:t>
              </m:r>
              <m:r>
                <m:rPr>
                  <m:nor/>
                </m:rPr>
                <w:rPr>
                  <w:rFonts w:ascii="Cambria Math" w:hAnsi="Cambria Math" w:cs="Menlo Regular"/>
                </w:rPr>
                <m:t>*</m:t>
              </m:r>
              <m:r>
                <m:rPr>
                  <m:nor/>
                </m:rPr>
                <w:rPr>
                  <w:rFonts w:ascii="Cambria Math" w:hAnsi="Cambria Math"/>
                </w:rPr>
                <m:t>GDPPCP-0.125</m:t>
              </m:r>
              <m:r>
                <m:rPr>
                  <m:nor/>
                </m:rPr>
                <w:rPr>
                  <w:rFonts w:ascii="Cambria Math" w:hAnsi="Cambria Math" w:cs="Menlo Regular"/>
                </w:rPr>
                <m:t>*</m:t>
              </m:r>
              <m:r>
                <m:rPr>
                  <m:nor/>
                </m:rPr>
                <w:rPr>
                  <w:rFonts w:ascii="Cambria Math" w:hAnsi="Cambria Math" w:cs="STIXGeneral"/>
                </w:rPr>
                <m:t>GOVREGQUAL</m:t>
              </m:r>
            </m:sup>
          </m:sSup>
        </m:oMath>
      </m:oMathPara>
    </w:p>
    <w:p w:rsidR="006B1499" w:rsidRPr="004F1F9C" w:rsidRDefault="006B1499" w:rsidP="006B1499"/>
    <w:p w:rsidR="006B1499" w:rsidRPr="004F1F9C" w:rsidRDefault="006B1499" w:rsidP="006B1499">
      <w:r w:rsidRPr="004F1F9C">
        <w:t>where</w:t>
      </w:r>
    </w:p>
    <w:p w:rsidR="00597AF3" w:rsidRDefault="006B1499" w:rsidP="006B1499">
      <w:pPr>
        <w:ind w:left="720"/>
      </w:pPr>
      <w:r w:rsidRPr="004F1F9C">
        <w:t xml:space="preserve">INFRAELECTRANLOSS is the percentage of electricity that is lost during transmission and distribution, GDPPCP is average income at PPP measured in thousands of year 2000 dollars, and GOVREGQUAL is a measure of governance regulatory quality developed as part of the World Bank’s World Governance Indicators project </w:t>
      </w:r>
      <w:r w:rsidR="00F7383F" w:rsidRPr="004F1F9C">
        <w:fldChar w:fldCharType="begin"/>
      </w:r>
      <w:r>
        <w:instrText xml:space="preserve"> ADDIN ZOTERO_ITEM CSL_CITATION {"citationID":"kkI3SyJM","properties":{"formattedCitation":"(Kaufmann, Kraay, and Mastruzzi 2010)","plainCitation":"(Kaufmann, Kraay, and Mastruzzi 2010)"},"citationItems":[{"id":1662,"uris":["http://zotero.org/groups/4482/items/VRJSKFPT"],"uri":["http://zotero.org/groups/4482/items/VRJSKFPT"],"itemData":{"id":1662,"type":"report","title":"The Worldwide Governance Indicators: Methodology and Analytical Issues","publisher":"World Bank","publisher-place":"Washington, DC","genre":"World Bank Policy Research Working Paper","event-place":"Washington, DC","number":"5430","author":[{"family":"Kaufmann","given":"Daniel"},{"family":"Kraay","given":"Aart"},{"family":"Mastruzzi","given":"Massimo"}],"issued":{"year":2010}}}],"schema":"https://github.com/citation-style-language/schema/raw/master/csl-citation.json"} </w:instrText>
      </w:r>
      <w:r w:rsidR="00F7383F" w:rsidRPr="004F1F9C">
        <w:fldChar w:fldCharType="separate"/>
      </w:r>
      <w:r w:rsidRPr="004F1F9C">
        <w:rPr>
          <w:noProof/>
        </w:rPr>
        <w:t>(Kaufmann, Kraay, and Mastruzzi 2010)</w:t>
      </w:r>
      <w:r w:rsidR="00F7383F" w:rsidRPr="004F1F9C">
        <w:fldChar w:fldCharType="end"/>
      </w:r>
      <w:r w:rsidRPr="004F1F9C">
        <w:t>.</w:t>
      </w:r>
      <w:r w:rsidRPr="004F1F9C">
        <w:rPr>
          <w:rStyle w:val="FootnoteReference"/>
        </w:rPr>
        <w:footnoteReference w:id="68"/>
      </w:r>
    </w:p>
    <w:p w:rsidR="006B1499" w:rsidRPr="004F1F9C" w:rsidRDefault="006B1499" w:rsidP="006B1499">
      <w:pPr>
        <w:ind w:left="720"/>
      </w:pPr>
    </w:p>
    <w:p w:rsidR="00597AF3" w:rsidRDefault="006B1499" w:rsidP="006B1499">
      <w:r w:rsidRPr="004F1F9C">
        <w:t>This formulation implies that transmission loss falls with increasing income and improved governance regulatory quality.</w:t>
      </w:r>
    </w:p>
    <w:p w:rsidR="006B1499" w:rsidRPr="004F1F9C" w:rsidRDefault="006B1499" w:rsidP="006B1499"/>
    <w:p w:rsidR="00597AF3" w:rsidRDefault="006B1499" w:rsidP="006B1499">
      <w:r w:rsidRPr="004F1F9C">
        <w:t xml:space="preserve">Finally, although it was not shown in Figure 4.4, we recognize that there is a strong connection between the use of electricity and of solid fuels in the home. In general, as households move up the energy ladder </w:t>
      </w:r>
      <w:r w:rsidR="00F7383F" w:rsidRPr="004F1F9C">
        <w:fldChar w:fldCharType="begin"/>
      </w:r>
      <w:r>
        <w:instrText xml:space="preserve"> ADDIN ZOTERO_ITEM CSL_CITATION {"citationID":"QNJee5FL","properties":{"formattedCitation":"(Holdren and Smith 2000)","plainCitation":"(Holdren and Smith 2000)"},"citationItems":[{"id":1663,"uris":["http://zotero.org/groups/4482/items/2TFFZBAD"],"uri":["http://zotero.org/groups/4482/items/2TFFZBAD"],"itemData":{"id":1663,"type":"chapter","title":"Energy, the Environment, and Health","container-title":"The World Energy Assessment: Energy and the Challenge of Sustainability","collection-title":"The World Energy Assessment","publisher":"United Nations Development Program (UNDP)","publisher-place":"New York, NY","page":"61-110","event-place":"New York, NY","author":[{"family":"Holdren","given":"John P."},{"family":"Smith","given":"Kirk R."}],"editor":[{"family":"Goldemberg","given":"Jose"}],"issued":{"year":2000},"page-first":"61"}}],"schema":"https://github.com/citation-style-language/schema/raw/master/csl-citation.json"} </w:instrText>
      </w:r>
      <w:r w:rsidR="00F7383F" w:rsidRPr="004F1F9C">
        <w:fldChar w:fldCharType="separate"/>
      </w:r>
      <w:r w:rsidRPr="004F1F9C">
        <w:rPr>
          <w:noProof/>
        </w:rPr>
        <w:t>(Holdren and Smith 2000)</w:t>
      </w:r>
      <w:r w:rsidR="00F7383F" w:rsidRPr="004F1F9C">
        <w:fldChar w:fldCharType="end"/>
      </w:r>
      <w:r w:rsidRPr="004F1F9C">
        <w:t xml:space="preserve">, they increase their use of former and decrease their use of the latter. We also include a link from access to electricity to the use of solid fuels in the home. In previous versions of the model, where we did not estimate electricity access, we used income per capita, income distribution, and education as drivers in estimating the percentage of the population that primarily used solid fuels for heating and cooking </w:t>
      </w:r>
      <w:r w:rsidR="00F7383F" w:rsidRPr="004F1F9C">
        <w:fldChar w:fldCharType="begin"/>
      </w:r>
      <w:r>
        <w:instrText xml:space="preserve"> ADDIN ZOTERO_ITEM CSL_CITATION {"citationID":"X5TZXStI","properties":{"formattedCitation":"(Barry B. Hughes, Kuhn, et al. 2011, 98)","plainCitation":"(Barry B. Hughes, Kuhn, et al. 2011, 98)"},"citationItems":[{"id":680,"uris":["http://zotero.org/groups/4482/items/XWXBHFP5"],"uri":["http://zotero.org/groups/4482/items/XWXBHFP5"],"itemData":{"id":680,"type":"book","title":"Improving Global Health","collection-title":"Vol. 3 of the Patterns of Potential Human Progress series","publisher":"Paradigm Publishers and Oxford University Press","publisher-place":"Boulder, CO, and New Delhi, India","event-place":"Boulder, CO, and New Delhi, India","author":[{"family":"Hughes","given":"Barry B."},{"family":"Kuhn","given":"Randall"},{"family":"Peterson","given":"Cecilia"},{"family":"Rothman","given":"Dale S."},{"family":"Solórzano","given":"José Roberto"},{"family":"Dickson","given":"Janet R."}],"issued":{"year":2011}},"locator":"98","label":"page"}],"schema":"https://github.com/citation-style-language/schema/raw/master/csl-citation.json"} </w:instrText>
      </w:r>
      <w:r w:rsidR="00F7383F" w:rsidRPr="004F1F9C">
        <w:fldChar w:fldCharType="separate"/>
      </w:r>
      <w:r w:rsidRPr="004F1F9C">
        <w:rPr>
          <w:rFonts w:cs="Calibri"/>
        </w:rPr>
        <w:t>(Hughes, Kuhn, et al. 2011, 98)</w:t>
      </w:r>
      <w:r w:rsidR="00F7383F" w:rsidRPr="004F1F9C">
        <w:fldChar w:fldCharType="end"/>
      </w:r>
      <w:r w:rsidRPr="004F1F9C">
        <w:t>. We have now updated this formulation to include access</w:t>
      </w:r>
      <w:r w:rsidR="00597AF3">
        <w:t xml:space="preserve"> to electricity as a key driver:</w:t>
      </w:r>
    </w:p>
    <w:p w:rsidR="006B1499" w:rsidRPr="004F1F9C" w:rsidRDefault="006B1499" w:rsidP="006B1499"/>
    <w:p w:rsidR="00597AF3" w:rsidRDefault="006B1499" w:rsidP="006B1499">
      <w:pPr>
        <w:rPr>
          <w:oMath/>
          <w:rFonts w:ascii="Wingdings 2" w:hAnsi="Cambria Math"/>
        </w:rPr>
      </w:pPr>
      <m:oMathPara>
        <m:oMath>
          <m:r>
            <m:rPr>
              <m:nor/>
            </m:rPr>
            <w:rPr>
              <w:rFonts w:ascii="Cambria Math" w:hAnsi="Cambria Math" w:cs="STIXGeneral"/>
              <w:lang w:val="pt-BR"/>
            </w:rPr>
            <m:t>ENSOLFUEL</m:t>
          </m:r>
          <m:r>
            <m:rPr>
              <m:nor/>
            </m:rPr>
            <w:rPr>
              <w:rFonts w:ascii="Cambria Math" w:hAnsi="Cambria Math"/>
              <w:lang w:val="pt-BR"/>
            </w:rPr>
            <m:t xml:space="preserve">= </m:t>
          </m:r>
          <m:f>
            <m:fPr>
              <m:ctrlPr>
                <w:rPr>
                  <w:rFonts w:ascii="Cambria Math" w:hAnsi="Cambria Math"/>
                  <w:i/>
                </w:rPr>
              </m:ctrlPr>
            </m:fPr>
            <m:num>
              <m:r>
                <m:rPr>
                  <m:nor/>
                </m:rPr>
                <w:rPr>
                  <w:rFonts w:ascii="Cambria Math" w:hAnsi="Cambria Math"/>
                  <w:lang w:val="pt-BR"/>
                </w:rPr>
                <m:t>100</m:t>
              </m:r>
            </m:num>
            <m:den>
              <m:r>
                <m:rPr>
                  <m:nor/>
                </m:rPr>
                <w:rPr>
                  <w:rFonts w:ascii="Cambria Math" w:hAnsi="Cambria Math"/>
                  <w:lang w:val="pt-BR"/>
                </w:rPr>
                <m:t>1+</m:t>
              </m:r>
              <m:sSup>
                <m:sSupPr>
                  <m:ctrlPr>
                    <w:rPr>
                      <w:rFonts w:ascii="Cambria Math" w:hAnsi="Cambria Math"/>
                      <w:i/>
                    </w:rPr>
                  </m:ctrlPr>
                </m:sSupPr>
                <m:e>
                  <m:r>
                    <m:rPr>
                      <m:nor/>
                    </m:rPr>
                    <w:rPr>
                      <w:rFonts w:ascii="Cambria Math" w:hAnsi="Cambria Math" w:cs="STIXGeneral"/>
                      <w:lang w:val="pt-BR"/>
                    </w:rPr>
                    <m:t>e</m:t>
                  </m:r>
                </m:e>
                <m:sup>
                  <m:r>
                    <m:rPr>
                      <m:nor/>
                    </m:rPr>
                    <w:rPr>
                      <w:rFonts w:ascii="Cambria Math" w:hAnsi="Cambria Math"/>
                      <w:lang w:val="pt-BR"/>
                    </w:rPr>
                    <m:t>-(2.8241-0.166</m:t>
                  </m:r>
                  <m:r>
                    <m:rPr>
                      <m:nor/>
                    </m:rPr>
                    <w:rPr>
                      <w:rFonts w:ascii="Cambria Math" w:hAnsi="Cambria Math" w:cs="Menlo Regular"/>
                      <w:lang w:val="pt-BR"/>
                    </w:rPr>
                    <m:t>*</m:t>
                  </m:r>
                  <m:r>
                    <m:rPr>
                      <m:nor/>
                    </m:rPr>
                    <w:rPr>
                      <w:rFonts w:ascii="Cambria Math" w:hAnsi="Cambria Math" w:cs="STIXGeneral"/>
                      <w:lang w:val="pt-BR"/>
                    </w:rPr>
                    <m:t>GDPPCP</m:t>
                  </m:r>
                  <m:r>
                    <m:rPr>
                      <m:nor/>
                    </m:rPr>
                    <w:rPr>
                      <w:rFonts w:ascii="Cambria Math" w:hAnsi="Cambria Math"/>
                      <w:lang w:val="pt-BR"/>
                    </w:rPr>
                    <m:t>-0.0318</m:t>
                  </m:r>
                  <m:r>
                    <m:rPr>
                      <m:nor/>
                    </m:rPr>
                    <w:rPr>
                      <w:rFonts w:ascii="Cambria Math" w:hAnsi="Cambria Math" w:cs="Menlo Regular"/>
                      <w:lang w:val="pt-BR"/>
                    </w:rPr>
                    <m:t>*</m:t>
                  </m:r>
                  <m:sSub>
                    <m:sSubPr>
                      <m:ctrlPr>
                        <w:rPr>
                          <w:rFonts w:ascii="Cambria Math" w:hAnsi="Cambria Math"/>
                        </w:rPr>
                      </m:ctrlPr>
                    </m:sSubPr>
                    <m:e>
                      <m:r>
                        <m:rPr>
                          <m:nor/>
                        </m:rPr>
                        <w:rPr>
                          <w:rFonts w:ascii="Cambria Math" w:hAnsi="Cambria Math" w:cs="STIXGeneral"/>
                          <w:lang w:val="pt-BR"/>
                        </w:rPr>
                        <m:t>INFRAELECACC</m:t>
                      </m:r>
                    </m:e>
                    <m:sub>
                      <m:r>
                        <m:rPr>
                          <m:nor/>
                        </m:rPr>
                        <w:rPr>
                          <w:rFonts w:ascii="Cambria Math" w:hAnsi="Cambria Math" w:cs="STIXGeneral"/>
                          <w:lang w:val="pt-BR"/>
                        </w:rPr>
                        <m:t>national</m:t>
                      </m:r>
                    </m:sub>
                  </m:sSub>
                  <m:r>
                    <m:rPr>
                      <m:nor/>
                    </m:rPr>
                    <w:rPr>
                      <w:rFonts w:ascii="Cambria Math" w:hAnsi="Cambria Math"/>
                      <w:lang w:val="pt-BR"/>
                    </w:rPr>
                    <m:t>)</m:t>
                  </m:r>
                </m:sup>
              </m:sSup>
            </m:den>
          </m:f>
        </m:oMath>
      </m:oMathPara>
    </w:p>
    <w:p w:rsidR="006B1499" w:rsidRPr="000F11AC" w:rsidRDefault="006B1499" w:rsidP="006B1499">
      <w:pPr>
        <w:rPr>
          <w:lang w:val="pt-BR"/>
        </w:rPr>
      </w:pPr>
    </w:p>
    <w:p w:rsidR="006B1499" w:rsidRPr="004F1F9C" w:rsidRDefault="006B1499" w:rsidP="006B1499">
      <w:r w:rsidRPr="004F1F9C">
        <w:t>where</w:t>
      </w:r>
    </w:p>
    <w:p w:rsidR="00597AF3" w:rsidRDefault="006B1499" w:rsidP="006B1499">
      <w:pPr>
        <w:ind w:left="720"/>
      </w:pPr>
      <w:r w:rsidRPr="004F1F9C">
        <w:t>ENSOLFUEL is the percentage of the population using solid fuels as the primary fuel for heating and cooking, GDPPCP is average income measured in thousand $2000 PPP, and INFRAELECACC</w:t>
      </w:r>
      <w:r w:rsidRPr="004F1F9C">
        <w:rPr>
          <w:vertAlign w:val="subscript"/>
        </w:rPr>
        <w:t>national</w:t>
      </w:r>
      <w:r w:rsidRPr="004F1F9C">
        <w:t xml:space="preserve"> is the percentage of the total population with access to electricity.</w:t>
      </w:r>
    </w:p>
    <w:p w:rsidR="006B1499" w:rsidRPr="004F1F9C" w:rsidRDefault="006B1499" w:rsidP="006B1499">
      <w:pPr>
        <w:ind w:left="720"/>
      </w:pPr>
    </w:p>
    <w:p w:rsidR="00597AF3" w:rsidRDefault="006B1499" w:rsidP="006B1499">
      <w:r w:rsidRPr="004F1F9C">
        <w:t>As incomes and the access to electricity increases, the percentage of the population using solid fuels as the primary fuel for heating and cooking.</w:t>
      </w:r>
    </w:p>
    <w:p w:rsidR="006B1499" w:rsidRPr="004F1F9C" w:rsidRDefault="006B1499" w:rsidP="006B1499"/>
    <w:p w:rsidR="006B1499" w:rsidRPr="004F1F9C" w:rsidRDefault="006B1499" w:rsidP="006B1499">
      <w:pPr>
        <w:pStyle w:val="Heading4"/>
      </w:pPr>
      <w:bookmarkStart w:id="115" w:name="_Toc326061518"/>
      <w:bookmarkStart w:id="116" w:name="_Toc200095300"/>
      <w:r w:rsidRPr="004F1F9C">
        <w:t>4.4.1.3 Water and sanitation</w:t>
      </w:r>
      <w:bookmarkEnd w:id="115"/>
      <w:bookmarkEnd w:id="116"/>
    </w:p>
    <w:p w:rsidR="00597AF3" w:rsidRDefault="006B1499" w:rsidP="006B1499">
      <w:r w:rsidRPr="004F1F9C">
        <w:t xml:space="preserve">We originally introduced forecasts of access to improved sources of drinking water and sanitation into IFs in support of the previous volume in this series, </w:t>
      </w:r>
      <w:r w:rsidRPr="004F1F9C">
        <w:rPr>
          <w:i/>
        </w:rPr>
        <w:t xml:space="preserve">Improving Global Health </w:t>
      </w:r>
      <w:r w:rsidRPr="004F1F9C">
        <w:t>(</w:t>
      </w:r>
      <w:r w:rsidRPr="004F1F9C">
        <w:rPr>
          <w:rFonts w:cs="Calibri"/>
        </w:rPr>
        <w:t>Hughes et al. 2011)</w:t>
      </w:r>
      <w:r w:rsidRPr="004F1F9C">
        <w:t>, because of the health risks associated with a lack of clean water and sanitation. For the purposes of this volume, we have extended this portion of the model to include forecasts of the share of wastewater collected that is treated prior to being returned to the environment. In addition, we also forecast the area equipped for irrigation.</w:t>
      </w:r>
    </w:p>
    <w:p w:rsidR="006B1499" w:rsidRPr="004F1F9C" w:rsidRDefault="006B1499" w:rsidP="006B1499"/>
    <w:p w:rsidR="00597AF3" w:rsidRDefault="006B1499" w:rsidP="006B1499">
      <w:r w:rsidRPr="004F1F9C">
        <w:t xml:space="preserve">In Chapter 2 of this volume, Box 2.2, we introduced the concept of ‘ladders’ for drinking water and sanitation. As countries develop, they ascend these ladders, gradually moving from a situation in which the majority has no access to improved sources of drinking water or sanitation to a point where most households have piped connections delivering clean water and collecting sanitation. Using this concept, we forecast three levels of access for both drinking water and sanitation (see Figure 4.5 and Box 4.3). In both cases, we do so using a set of coupled logistic equations. This guarantees that the estimated percentage in each category falls between 0 and 100 percent, and the categories sum to 100 percent of the population. Based upon our analysis of historical data, we include average income, poverty levels (measured as the percentage of the population living on less than $1.25 per day), educational attainment (measured as the average number of years of formal education for adults over 25), and government spending on the health sector as a percentage of GDP as explanatory variables for both drinking water and sanitation. </w:t>
      </w:r>
    </w:p>
    <w:p w:rsidR="00597AF3" w:rsidRDefault="00597AF3" w:rsidP="006B1499"/>
    <w:p w:rsidR="00597AF3" w:rsidRDefault="006B1499" w:rsidP="006B1499">
      <w:r w:rsidRPr="004F1F9C">
        <w:t>Government spending is important because water and sanitation have been major targets of public health systems since at least the days of the Roman empire. In addition, we found that the percentage of population living in rural areas had a significant effect on access to drinking water, but not sanitation.</w:t>
      </w:r>
      <w:r w:rsidRPr="004F1F9C">
        <w:rPr>
          <w:rStyle w:val="FootnoteReference"/>
        </w:rPr>
        <w:footnoteReference w:id="69"/>
      </w:r>
      <w:r w:rsidRPr="004F1F9C">
        <w:t xml:space="preserve"> Countries move up the ladders as income, educational attainment, and government spending on health increase, and poverty levels and share of the population that is rural decreases. In general, the formulations forecast lower levels of access to improved sanitation than drinking water, reflecting the situation in most countries (see our discussion of the historical data in Chapter 2).</w:t>
      </w:r>
    </w:p>
    <w:p w:rsidR="006B1499" w:rsidRPr="004F1F9C" w:rsidRDefault="006B1499" w:rsidP="006B1499"/>
    <w:p w:rsidR="006B1499" w:rsidRDefault="006B1499" w:rsidP="006B1499">
      <w:pPr>
        <w:jc w:val="center"/>
        <w:rPr>
          <w:b/>
        </w:rPr>
      </w:pPr>
      <w:r w:rsidRPr="00940813">
        <w:rPr>
          <w:b/>
          <w:noProof/>
        </w:rPr>
        <w:drawing>
          <wp:inline distT="0" distB="0" distL="0" distR="0">
            <wp:extent cx="5138175" cy="4782501"/>
            <wp:effectExtent l="25400" t="0" r="0" b="0"/>
            <wp:docPr id="70" name="O 4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38175" cy="4782501"/>
                      <a:chOff x="1643625" y="871152"/>
                      <a:chExt cx="5138175" cy="4782501"/>
                    </a:xfrm>
                  </a:grpSpPr>
                  <a:grpSp>
                    <a:nvGrpSpPr>
                      <a:cNvPr id="27" name="Group 26"/>
                      <a:cNvGrpSpPr/>
                    </a:nvGrpSpPr>
                    <a:grpSpPr>
                      <a:xfrm>
                        <a:off x="3412958" y="871152"/>
                        <a:ext cx="1739213" cy="2203731"/>
                        <a:chOff x="2338814" y="914400"/>
                        <a:chExt cx="1739213" cy="2203731"/>
                      </a:xfrm>
                    </a:grpSpPr>
                    <a:sp>
                      <a:nvSpPr>
                        <a:cNvPr id="24" name="Rectangle 23"/>
                        <a:cNvSpPr/>
                      </a:nvSpPr>
                      <a:spPr>
                        <a:xfrm>
                          <a:off x="2338814" y="914400"/>
                          <a:ext cx="1739213" cy="2203731"/>
                        </a:xfrm>
                        <a:prstGeom prst="rect">
                          <a:avLst/>
                        </a:prstGeom>
                        <a:solidFill>
                          <a:schemeClr val="accent2"/>
                        </a:solidFill>
                      </a:spPr>
                      <a:txSp>
                        <a:txBody>
                          <a:bodyPr rtlCol="0" anchor="b" anchorCtr="1"/>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latin typeface="Times New Roman"/>
                                <a:cs typeface="Times New Roman"/>
                              </a:rPr>
                              <a:t>Access to improved source of drinking water</a:t>
                            </a:r>
                            <a:endParaRPr lang="en-US" sz="1200" dirty="0">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 name="Group 20"/>
                        <a:cNvGrpSpPr/>
                      </a:nvGrpSpPr>
                      <a:grpSpPr>
                        <a:xfrm>
                          <a:off x="2590799" y="1193131"/>
                          <a:ext cx="1235242" cy="1375610"/>
                          <a:chOff x="2193758" y="962526"/>
                          <a:chExt cx="1235242" cy="1375610"/>
                        </a:xfrm>
                      </a:grpSpPr>
                      <a:sp>
                        <a:nvSpPr>
                          <a:cNvPr id="2" name="Rectangle 3"/>
                          <a:cNvSpPr/>
                        </a:nvSpPr>
                        <a:spPr>
                          <a:xfrm>
                            <a:off x="2193758" y="962526"/>
                            <a:ext cx="1235242" cy="4572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latin typeface="Times New Roman"/>
                                  <a:cs typeface="Times New Roman"/>
                                </a:rPr>
                                <a:t>Household connection</a:t>
                              </a:r>
                              <a:endParaRPr lang="en-US" sz="1200" dirty="0">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Rectangle 4"/>
                          <a:cNvSpPr/>
                        </a:nvSpPr>
                        <a:spPr>
                          <a:xfrm>
                            <a:off x="2193758" y="1419726"/>
                            <a:ext cx="1235242" cy="4572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latin typeface="Times New Roman"/>
                                  <a:cs typeface="Times New Roman"/>
                                </a:rPr>
                                <a:t>Other improved access</a:t>
                              </a:r>
                              <a:endParaRPr lang="en-US" sz="1200" dirty="0">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Rectangle 5"/>
                          <a:cNvSpPr/>
                        </a:nvSpPr>
                        <a:spPr>
                          <a:xfrm>
                            <a:off x="2193758" y="1880936"/>
                            <a:ext cx="1235242" cy="4572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latin typeface="Times New Roman"/>
                                  <a:cs typeface="Times New Roman"/>
                                </a:rPr>
                                <a:t>No improved access</a:t>
                              </a:r>
                              <a:endParaRPr lang="en-US" sz="1200" dirty="0">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grpSp>
                  </a:grpSp>
                  <a:grpSp>
                    <a:nvGrpSpPr>
                      <a:cNvPr id="26" name="Group 25"/>
                      <a:cNvGrpSpPr/>
                    </a:nvGrpSpPr>
                    <a:grpSpPr>
                      <a:xfrm>
                        <a:off x="3412958" y="3449922"/>
                        <a:ext cx="1739213" cy="2203731"/>
                        <a:chOff x="1914999" y="3493170"/>
                        <a:chExt cx="1739213" cy="2203731"/>
                      </a:xfrm>
                    </a:grpSpPr>
                    <a:sp>
                      <a:nvSpPr>
                        <a:cNvPr id="25" name="Rectangle 24"/>
                        <a:cNvSpPr/>
                      </a:nvSpPr>
                      <a:spPr>
                        <a:xfrm>
                          <a:off x="1914999" y="3493170"/>
                          <a:ext cx="1739213" cy="2203731"/>
                        </a:xfrm>
                        <a:prstGeom prst="rect">
                          <a:avLst/>
                        </a:prstGeom>
                        <a:solidFill>
                          <a:schemeClr val="accent2"/>
                        </a:solidFill>
                      </a:spPr>
                      <a:txSp>
                        <a:txBody>
                          <a:bodyPr rtlCol="0" anchor="b" anchorCtr="1"/>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latin typeface="Times New Roman"/>
                                <a:cs typeface="Times New Roman"/>
                              </a:rPr>
                              <a:t>Access to improved sanitation</a:t>
                            </a:r>
                            <a:endParaRPr lang="en-US" sz="1200" dirty="0">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10" name="Group 21"/>
                        <a:cNvGrpSpPr/>
                      </a:nvGrpSpPr>
                      <a:grpSpPr>
                        <a:xfrm>
                          <a:off x="2166984" y="3767890"/>
                          <a:ext cx="1235242" cy="1375610"/>
                          <a:chOff x="2193758" y="3120190"/>
                          <a:chExt cx="1235242" cy="1375610"/>
                        </a:xfrm>
                      </a:grpSpPr>
                      <a:sp>
                        <a:nvSpPr>
                          <a:cNvPr id="7" name="Rectangle 6"/>
                          <a:cNvSpPr/>
                        </a:nvSpPr>
                        <a:spPr>
                          <a:xfrm>
                            <a:off x="2193758" y="3120190"/>
                            <a:ext cx="1235242" cy="4572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latin typeface="Times New Roman"/>
                                  <a:cs typeface="Times New Roman"/>
                                </a:rPr>
                                <a:t>Household connection</a:t>
                              </a:r>
                              <a:endParaRPr lang="en-US" sz="1200" dirty="0">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2193758" y="3577390"/>
                            <a:ext cx="1235242" cy="4572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latin typeface="Times New Roman"/>
                                  <a:cs typeface="Times New Roman"/>
                                </a:rPr>
                                <a:t>Other improved access</a:t>
                              </a:r>
                              <a:endParaRPr lang="en-US" sz="1200" dirty="0">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Rectangle 8"/>
                          <a:cNvSpPr/>
                        </a:nvSpPr>
                        <a:spPr>
                          <a:xfrm>
                            <a:off x="2193758" y="4038600"/>
                            <a:ext cx="1235242" cy="4572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latin typeface="Times New Roman"/>
                                  <a:cs typeface="Times New Roman"/>
                                </a:rPr>
                                <a:t>No improved access</a:t>
                              </a:r>
                              <a:endParaRPr lang="en-US" sz="1200" dirty="0">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grpSp>
                  </a:grpSp>
                  <a:sp>
                    <a:nvSpPr>
                      <a:cNvPr id="3" name="Rectangle 9"/>
                      <a:cNvSpPr/>
                    </a:nvSpPr>
                    <a:spPr>
                      <a:xfrm>
                        <a:off x="5546558" y="3023286"/>
                        <a:ext cx="1235242" cy="4572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latin typeface="Times New Roman"/>
                              <a:cs typeface="Times New Roman"/>
                            </a:rPr>
                            <a:t>Wastewater treated</a:t>
                          </a:r>
                          <a:endParaRPr lang="en-US" sz="1200" dirty="0">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2" name="Straight Arrow Connector 11"/>
                      <a:cNvCxnSpPr>
                        <a:stCxn id="7" idx="3"/>
                        <a:endCxn id="10" idx="1"/>
                      </a:cNvCxnSpPr>
                    </a:nvCxnSpPr>
                    <a:spPr>
                      <a:xfrm flipV="1">
                        <a:off x="4900185" y="3251886"/>
                        <a:ext cx="646373" cy="701356"/>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sp>
                    <a:nvSpPr>
                      <a:cNvPr id="13" name="Oval 12"/>
                      <a:cNvSpPr/>
                    </a:nvSpPr>
                    <a:spPr>
                      <a:xfrm>
                        <a:off x="1796025" y="3061875"/>
                        <a:ext cx="1143000" cy="3810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latin typeface="Times New Roman"/>
                              <a:cs typeface="Times New Roman"/>
                            </a:rPr>
                            <a:t>Average income</a:t>
                          </a:r>
                          <a:endParaRPr lang="en-US" sz="1200" dirty="0">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Oval 16"/>
                      <a:cNvSpPr/>
                    </a:nvSpPr>
                    <a:spPr>
                      <a:xfrm>
                        <a:off x="1738875" y="1752600"/>
                        <a:ext cx="1257300" cy="429126"/>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latin typeface="Times New Roman"/>
                              <a:cs typeface="Times New Roman"/>
                            </a:rPr>
                            <a:t>Rural population</a:t>
                          </a:r>
                          <a:endParaRPr lang="en-US" sz="1200" dirty="0">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Oval 17"/>
                      <a:cNvSpPr/>
                    </a:nvSpPr>
                    <a:spPr>
                      <a:xfrm>
                        <a:off x="1662675" y="2365289"/>
                        <a:ext cx="1409700" cy="513023"/>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latin typeface="Times New Roman"/>
                              <a:cs typeface="Times New Roman"/>
                            </a:rPr>
                            <a:t>Educational attainment</a:t>
                          </a:r>
                          <a:endParaRPr lang="en-US" sz="1200" dirty="0">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9" name="Oval 18"/>
                      <a:cNvSpPr/>
                    </a:nvSpPr>
                    <a:spPr>
                      <a:xfrm>
                        <a:off x="1796025" y="3626438"/>
                        <a:ext cx="1143000" cy="3810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latin typeface="Times New Roman"/>
                              <a:cs typeface="Times New Roman"/>
                            </a:rPr>
                            <a:t>Poverty</a:t>
                          </a:r>
                          <a:endParaRPr lang="en-US" sz="1200" dirty="0">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Oval 19"/>
                      <a:cNvSpPr/>
                    </a:nvSpPr>
                    <a:spPr>
                      <a:xfrm>
                        <a:off x="1643625" y="4191000"/>
                        <a:ext cx="1447800" cy="6096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dirty="0" smtClean="0">
                              <a:latin typeface="Times New Roman"/>
                              <a:cs typeface="Times New Roman"/>
                            </a:rPr>
                            <a:t>Public health expenditures</a:t>
                          </a:r>
                          <a:endParaRPr lang="en-US" sz="1200" dirty="0">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1" name="Straight Arrow Connector 30"/>
                      <a:cNvCxnSpPr>
                        <a:stCxn id="13" idx="6"/>
                        <a:endCxn id="10" idx="1"/>
                      </a:cNvCxnSpPr>
                    </a:nvCxnSpPr>
                    <a:spPr>
                      <a:xfrm flipV="1">
                        <a:off x="2939025" y="3251886"/>
                        <a:ext cx="2607533" cy="489"/>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cxnSp>
                    <a:nvCxnSpPr>
                      <a:cNvPr id="33" name="Straight Arrow Connector 32"/>
                      <a:cNvCxnSpPr>
                        <a:stCxn id="17" idx="6"/>
                        <a:endCxn id="24" idx="1"/>
                      </a:cNvCxnSpPr>
                    </a:nvCxnSpPr>
                    <a:spPr>
                      <a:xfrm>
                        <a:off x="2996175" y="1967163"/>
                        <a:ext cx="416783" cy="5855"/>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cxnSp>
                    <a:nvCxnSpPr>
                      <a:cNvPr id="36" name="Straight Arrow Connector 35"/>
                      <a:cNvCxnSpPr>
                        <a:stCxn id="18" idx="7"/>
                      </a:cNvCxnSpPr>
                    </a:nvCxnSpPr>
                    <a:spPr>
                      <a:xfrm flipV="1">
                        <a:off x="2865929" y="2296893"/>
                        <a:ext cx="547029" cy="143526"/>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cxnSp>
                    <a:nvCxnSpPr>
                      <a:cNvPr id="38" name="Straight Arrow Connector 37"/>
                      <a:cNvCxnSpPr>
                        <a:stCxn id="18" idx="5"/>
                      </a:cNvCxnSpPr>
                    </a:nvCxnSpPr>
                    <a:spPr>
                      <a:xfrm>
                        <a:off x="2865929" y="2803182"/>
                        <a:ext cx="547029" cy="1083018"/>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cxnSp>
                    <a:nvCxnSpPr>
                      <a:cNvPr id="40" name="Straight Arrow Connector 39"/>
                      <a:cNvCxnSpPr>
                        <a:stCxn id="13" idx="7"/>
                      </a:cNvCxnSpPr>
                    </a:nvCxnSpPr>
                    <a:spPr>
                      <a:xfrm flipV="1">
                        <a:off x="2771637" y="2621800"/>
                        <a:ext cx="641321" cy="495871"/>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cxnSp>
                    <a:nvCxnSpPr>
                      <a:cNvPr id="42" name="Straight Arrow Connector 41"/>
                      <a:cNvCxnSpPr>
                        <a:stCxn id="13" idx="5"/>
                      </a:cNvCxnSpPr>
                    </a:nvCxnSpPr>
                    <a:spPr>
                      <a:xfrm>
                        <a:off x="2771637" y="3387079"/>
                        <a:ext cx="641321" cy="566163"/>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cxnSp>
                    <a:nvCxnSpPr>
                      <a:cNvPr id="44" name="Straight Arrow Connector 43"/>
                      <a:cNvCxnSpPr>
                        <a:stCxn id="19" idx="7"/>
                      </a:cNvCxnSpPr>
                    </a:nvCxnSpPr>
                    <a:spPr>
                      <a:xfrm flipV="1">
                        <a:off x="2771637" y="2869735"/>
                        <a:ext cx="641321" cy="812499"/>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cxnSp>
                    <a:nvCxnSpPr>
                      <a:cNvPr id="46" name="Straight Arrow Connector 45"/>
                      <a:cNvCxnSpPr>
                        <a:stCxn id="19" idx="5"/>
                      </a:cNvCxnSpPr>
                    </a:nvCxnSpPr>
                    <a:spPr>
                      <a:xfrm>
                        <a:off x="2771637" y="3951642"/>
                        <a:ext cx="641321" cy="239358"/>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cxnSp>
                    <a:nvCxnSpPr>
                      <a:cNvPr id="48" name="Straight Arrow Connector 47"/>
                      <a:cNvCxnSpPr>
                        <a:stCxn id="20" idx="7"/>
                      </a:cNvCxnSpPr>
                    </a:nvCxnSpPr>
                    <a:spPr>
                      <a:xfrm flipV="1">
                        <a:off x="2879400" y="3023286"/>
                        <a:ext cx="533558" cy="1256988"/>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cxnSp>
                    <a:nvCxnSpPr>
                      <a:cNvPr id="50" name="Straight Arrow Connector 49"/>
                      <a:cNvCxnSpPr>
                        <a:stCxn id="20" idx="6"/>
                        <a:endCxn id="25" idx="1"/>
                      </a:cNvCxnSpPr>
                    </a:nvCxnSpPr>
                    <a:spPr>
                      <a:xfrm>
                        <a:off x="3091425" y="4495800"/>
                        <a:ext cx="321533" cy="55988"/>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6B1499" w:rsidRPr="004F1F9C" w:rsidRDefault="006B1499" w:rsidP="006B1499">
      <w:r w:rsidRPr="004F1F9C">
        <w:rPr>
          <w:b/>
        </w:rPr>
        <w:t xml:space="preserve">Figure 4.5 Modeling </w:t>
      </w:r>
      <w:r>
        <w:rPr>
          <w:b/>
        </w:rPr>
        <w:t>d</w:t>
      </w:r>
      <w:r w:rsidRPr="004F1F9C">
        <w:rPr>
          <w:b/>
        </w:rPr>
        <w:t xml:space="preserve">rinking </w:t>
      </w:r>
      <w:r>
        <w:rPr>
          <w:b/>
        </w:rPr>
        <w:t>w</w:t>
      </w:r>
      <w:r w:rsidRPr="004F1F9C">
        <w:rPr>
          <w:b/>
        </w:rPr>
        <w:t xml:space="preserve">ater, </w:t>
      </w:r>
      <w:r>
        <w:rPr>
          <w:b/>
        </w:rPr>
        <w:t>s</w:t>
      </w:r>
      <w:r w:rsidRPr="004F1F9C">
        <w:rPr>
          <w:b/>
        </w:rPr>
        <w:t xml:space="preserve">anitation, and </w:t>
      </w:r>
      <w:r>
        <w:rPr>
          <w:b/>
        </w:rPr>
        <w:t>w</w:t>
      </w:r>
      <w:r w:rsidRPr="004F1F9C">
        <w:rPr>
          <w:b/>
        </w:rPr>
        <w:t xml:space="preserve">astewater </w:t>
      </w:r>
      <w:r>
        <w:rPr>
          <w:b/>
        </w:rPr>
        <w:t>i</w:t>
      </w:r>
      <w:r w:rsidRPr="004F1F9C">
        <w:rPr>
          <w:b/>
        </w:rPr>
        <w:t>nfrastructure in IFs</w:t>
      </w:r>
    </w:p>
    <w:p w:rsidR="00597AF3" w:rsidRDefault="00597AF3" w:rsidP="006B1499"/>
    <w:p w:rsidR="00597AF3" w:rsidRDefault="006B1499" w:rsidP="006B1499">
      <w:r w:rsidRPr="004F1F9C">
        <w:t>Turning to wastewater, we assume that the percentage of the population that is connected to a wastewater collection system is equal to the percentage of the population that had a household connection for sanitation (see again Box 4.3). We then forecast the share of the population whose wastewater is collected that is also treated as follows:</w:t>
      </w:r>
    </w:p>
    <w:p w:rsidR="006B1499" w:rsidRPr="004F1F9C" w:rsidRDefault="006B1499" w:rsidP="006B1499"/>
    <w:p w:rsidR="00597AF3" w:rsidRDefault="006B1499" w:rsidP="006B1499">
      <w:pPr>
        <w:rPr>
          <w:oMath/>
          <w:rFonts w:ascii="Wingdings 2" w:hAnsi="Cambria Math"/>
        </w:rPr>
      </w:pPr>
      <m:oMathPara>
        <m:oMath>
          <m:r>
            <m:rPr>
              <m:nor/>
            </m:rPr>
            <w:rPr>
              <w:rFonts w:ascii="Cambria Math" w:hAnsi="Cambria Math" w:cs="STIXGeneral"/>
            </w:rPr>
            <m:t>WATWASTETREAT</m:t>
          </m:r>
          <m:r>
            <m:rPr>
              <m:nor/>
            </m:rPr>
            <w:rPr>
              <w:rFonts w:ascii="Cambria Math" w:hAnsi="Cambria Math"/>
            </w:rPr>
            <m:t xml:space="preserve">= </m:t>
          </m:r>
          <m:f>
            <m:fPr>
              <m:ctrlPr>
                <w:rPr>
                  <w:rFonts w:ascii="Cambria Math" w:hAnsi="Cambria Math"/>
                  <w:i/>
                </w:rPr>
              </m:ctrlPr>
            </m:fPr>
            <m:num>
              <m:r>
                <m:rPr>
                  <m:nor/>
                </m:rPr>
                <w:rPr>
                  <w:rFonts w:ascii="Cambria Math" w:hAnsi="Cambria Math"/>
                </w:rPr>
                <m:t>100</m:t>
              </m:r>
            </m:num>
            <m:den>
              <m:r>
                <m:rPr>
                  <m:nor/>
                </m:rPr>
                <w:rPr>
                  <w:rFonts w:ascii="Cambria Math" w:hAnsi="Cambria Math"/>
                </w:rPr>
                <m:t>1+</m:t>
              </m:r>
              <m:sSup>
                <m:sSupPr>
                  <m:ctrlPr>
                    <w:rPr>
                      <w:rFonts w:ascii="Cambria Math" w:hAnsi="Cambria Math"/>
                      <w:i/>
                    </w:rPr>
                  </m:ctrlPr>
                </m:sSupPr>
                <m:e>
                  <m:r>
                    <m:rPr>
                      <m:nor/>
                    </m:rPr>
                    <w:rPr>
                      <w:rFonts w:ascii="Cambria Math" w:hAnsi="Cambria Math" w:cs="STIXGeneral"/>
                    </w:rPr>
                    <m:t>e</m:t>
                  </m:r>
                </m:e>
                <m:sup>
                  <m:r>
                    <m:rPr>
                      <m:nor/>
                    </m:rPr>
                    <w:rPr>
                      <w:rFonts w:ascii="Cambria Math" w:hAnsi="Cambria Math"/>
                    </w:rPr>
                    <m:t>-(-2.482+0.038</m:t>
                  </m:r>
                  <m:r>
                    <m:rPr>
                      <m:nor/>
                    </m:rPr>
                    <w:rPr>
                      <w:rFonts w:ascii="Cambria Math" w:hAnsi="Cambria Math" w:cs="Menlo Regular"/>
                    </w:rPr>
                    <m:t>*</m:t>
                  </m:r>
                  <m:r>
                    <m:rPr>
                      <m:nor/>
                    </m:rPr>
                    <w:rPr>
                      <w:rFonts w:ascii="Cambria Math" w:hAnsi="Cambria Math" w:cs="STIXGeneral"/>
                    </w:rPr>
                    <m:t>GDPPCP</m:t>
                  </m:r>
                  <m:r>
                    <m:rPr>
                      <m:nor/>
                    </m:rPr>
                    <w:rPr>
                      <w:rFonts w:ascii="Cambria Math" w:hAnsi="Cambria Math"/>
                    </w:rPr>
                    <m:t>+0.029</m:t>
                  </m:r>
                  <m:r>
                    <m:rPr>
                      <m:nor/>
                    </m:rPr>
                    <w:rPr>
                      <w:rFonts w:ascii="Cambria Math" w:hAnsi="Cambria Math" w:cs="Menlo Regular"/>
                    </w:rPr>
                    <m:t>*</m:t>
                  </m:r>
                  <m:sSub>
                    <m:sSubPr>
                      <m:ctrlPr>
                        <w:rPr>
                          <w:rFonts w:ascii="Cambria Math" w:hAnsi="Cambria Math"/>
                        </w:rPr>
                      </m:ctrlPr>
                    </m:sSubPr>
                    <m:e>
                      <m:r>
                        <m:rPr>
                          <m:nor/>
                        </m:rPr>
                        <w:rPr>
                          <w:rFonts w:ascii="Cambria Math" w:hAnsi="Cambria Math" w:cs="STIXGeneral"/>
                        </w:rPr>
                        <m:t>SANITATION</m:t>
                      </m:r>
                    </m:e>
                    <m:sub>
                      <m:r>
                        <m:rPr>
                          <m:nor/>
                        </m:rPr>
                        <w:rPr>
                          <w:rFonts w:ascii="Cambria Math" w:hAnsi="Cambria Math" w:cs="STIXGeneral"/>
                        </w:rPr>
                        <m:t>HC</m:t>
                      </m:r>
                    </m:sub>
                  </m:sSub>
                  <m:r>
                    <m:rPr>
                      <m:nor/>
                    </m:rPr>
                    <w:rPr>
                      <w:rFonts w:ascii="Cambria Math" w:hAnsi="Cambria Math"/>
                    </w:rPr>
                    <m:t>)</m:t>
                  </m:r>
                </m:sup>
              </m:sSup>
            </m:den>
          </m:f>
        </m:oMath>
      </m:oMathPara>
    </w:p>
    <w:p w:rsidR="006B1499" w:rsidRPr="004F1F9C" w:rsidRDefault="006B1499" w:rsidP="006B1499"/>
    <w:p w:rsidR="006B1499" w:rsidRPr="004F1F9C" w:rsidRDefault="006B1499" w:rsidP="006B1499">
      <w:r w:rsidRPr="004F1F9C">
        <w:t>where</w:t>
      </w:r>
    </w:p>
    <w:p w:rsidR="006B1499" w:rsidRPr="004F1F9C" w:rsidRDefault="006B1499" w:rsidP="006B1499">
      <w:pPr>
        <w:ind w:left="720"/>
      </w:pPr>
      <w:r w:rsidRPr="004F1F9C">
        <w:t>WATWASTETREAT is the percentage of the population whose wastewater is collected that is subsequently treated, GDPPCP is average income at PPP measured in thousands of year 2000 dollars, and SANITATION</w:t>
      </w:r>
      <w:r w:rsidRPr="004F1F9C">
        <w:rPr>
          <w:vertAlign w:val="subscript"/>
        </w:rPr>
        <w:t>HC</w:t>
      </w:r>
      <w:r w:rsidRPr="004F1F9C">
        <w:t xml:space="preserve"> is the percentage of the population with a household connection for sanitation.</w:t>
      </w:r>
    </w:p>
    <w:p w:rsidR="00597AF3" w:rsidRDefault="006B1499" w:rsidP="006B1499">
      <w:r w:rsidRPr="004F1F9C">
        <w:t>Once again, this is a logistic equation. The percentage of the population whose wastewater is collected that is subsequently treated increases with both average income and the percentage of the population with a household connection for sanitation. The final step is to multiply WATWASTETREAT by SANITATION</w:t>
      </w:r>
      <w:r w:rsidRPr="004F1F9C">
        <w:rPr>
          <w:vertAlign w:val="subscript"/>
        </w:rPr>
        <w:t>HC</w:t>
      </w:r>
      <w:r w:rsidRPr="004F1F9C">
        <w:t xml:space="preserve"> to get the forecast of the percentage of the population whose wastewater is collected and treated.</w:t>
      </w:r>
    </w:p>
    <w:p w:rsidR="006B1499" w:rsidRPr="004F1F9C" w:rsidRDefault="006B1499" w:rsidP="006B1499"/>
    <w:p w:rsidR="006B1499" w:rsidRPr="004F1F9C" w:rsidRDefault="00F7383F" w:rsidP="006B1499">
      <w:r>
        <w:rPr>
          <w:noProof/>
        </w:rPr>
        <w:pict>
          <v:shape id="_x0000_s1036" type="#_x0000_t202" style="position:absolute;margin-left:-.5pt;margin-top:4.4pt;width:467.75pt;height:391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rpAF3ikCAABPBAAADgAAAAAAAAAAAAAAAAAuAgAAZHJzL2Uyb0Rv&#10;Yy54bWxQSwECLQAUAAYACAAAACEA/S8y1tsAAAAFAQAADwAAAAAAAAAAAAAAAACDBAAAZHJzL2Rv&#10;d25yZXYueG1sUEsFBgAAAAAEAAQA8wAAAIsFAAAAAA==&#10;" fillcolor="#d8d8d8 [2732]">
            <v:textbox style="mso-next-textbox:#_x0000_s1036">
              <w:txbxContent>
                <w:p w:rsidR="002C11AA" w:rsidRPr="00B67CD4" w:rsidRDefault="002C11AA" w:rsidP="006B1499">
                  <w:r w:rsidRPr="00B67CD4">
                    <w:rPr>
                      <w:b/>
                    </w:rPr>
                    <w:t xml:space="preserve">Box 4.3 The </w:t>
                  </w:r>
                  <w:r>
                    <w:rPr>
                      <w:b/>
                    </w:rPr>
                    <w:t>r</w:t>
                  </w:r>
                  <w:r w:rsidRPr="00B67CD4">
                    <w:rPr>
                      <w:b/>
                    </w:rPr>
                    <w:t xml:space="preserve">elationship between </w:t>
                  </w:r>
                  <w:r>
                    <w:rPr>
                      <w:b/>
                    </w:rPr>
                    <w:t>h</w:t>
                  </w:r>
                  <w:r w:rsidRPr="00B67CD4">
                    <w:rPr>
                      <w:b/>
                    </w:rPr>
                    <w:t xml:space="preserve">ousehold </w:t>
                  </w:r>
                  <w:r>
                    <w:rPr>
                      <w:b/>
                    </w:rPr>
                    <w:t>s</w:t>
                  </w:r>
                  <w:r w:rsidRPr="00B67CD4">
                    <w:rPr>
                      <w:b/>
                    </w:rPr>
                    <w:t xml:space="preserve">anitation </w:t>
                  </w:r>
                  <w:r>
                    <w:rPr>
                      <w:b/>
                    </w:rPr>
                    <w:t>c</w:t>
                  </w:r>
                  <w:r w:rsidRPr="00B67CD4">
                    <w:rPr>
                      <w:b/>
                    </w:rPr>
                    <w:t xml:space="preserve">onnections and </w:t>
                  </w:r>
                  <w:r>
                    <w:rPr>
                      <w:b/>
                    </w:rPr>
                    <w:t>w</w:t>
                  </w:r>
                  <w:r w:rsidRPr="00B67CD4">
                    <w:rPr>
                      <w:b/>
                    </w:rPr>
                    <w:t xml:space="preserve">astewater </w:t>
                  </w:r>
                  <w:r>
                    <w:rPr>
                      <w:b/>
                    </w:rPr>
                    <w:t>c</w:t>
                  </w:r>
                  <w:r w:rsidRPr="00B67CD4">
                    <w:rPr>
                      <w:b/>
                    </w:rPr>
                    <w:t xml:space="preserve">ollection in </w:t>
                  </w:r>
                  <w:r>
                    <w:rPr>
                      <w:b/>
                    </w:rPr>
                    <w:t>hi</w:t>
                  </w:r>
                  <w:r w:rsidRPr="00B67CD4">
                    <w:rPr>
                      <w:b/>
                    </w:rPr>
                    <w:t xml:space="preserve">storic </w:t>
                  </w:r>
                  <w:r>
                    <w:rPr>
                      <w:b/>
                    </w:rPr>
                    <w:t>d</w:t>
                  </w:r>
                  <w:r w:rsidRPr="00B67CD4">
                    <w:rPr>
                      <w:b/>
                    </w:rPr>
                    <w:t>ata</w:t>
                  </w:r>
                </w:p>
                <w:p w:rsidR="002C11AA" w:rsidRDefault="002C11AA" w:rsidP="006B1499">
                  <w:r w:rsidRPr="00B67CD4">
                    <w:t>We obtain data on access to improved drinking water and sanitation from the Joint Monitoring Programme (JMP) of the World Health Organization and the United Nations Children’s Fund (</w:t>
                  </w:r>
                  <w:hyperlink r:id="rId64" w:history="1">
                    <w:r w:rsidRPr="00B67CD4">
                      <w:rPr>
                        <w:rStyle w:val="Hyperlink"/>
                      </w:rPr>
                      <w:t>http://www.wssinfo.org/</w:t>
                    </w:r>
                  </w:hyperlink>
                  <w:r w:rsidRPr="00B67CD4">
                    <w:t>). These originate from national and international surveys. From the United Nations Statistical Division (UNSD) (</w:t>
                  </w:r>
                  <w:hyperlink r:id="rId65" w:history="1">
                    <w:r w:rsidRPr="00B67CD4">
                      <w:rPr>
                        <w:rStyle w:val="Hyperlink"/>
                      </w:rPr>
                      <w:t>http://unstats.un.org/unsd/environment/wastewater.htm</w:t>
                    </w:r>
                  </w:hyperlink>
                  <w:r w:rsidRPr="00B67CD4">
                    <w:t>) we take data on wastewater collection and treatment, which are derived from UNSD/UNEP Questionnaires on Environment Statistics, OECD/Eurostat Questionnaire on the State of the Environment, and the OECD Environmental Data Compendium.</w:t>
                  </w:r>
                </w:p>
                <w:p w:rsidR="002C11AA" w:rsidRPr="00B67CD4" w:rsidRDefault="002C11AA" w:rsidP="006B1499"/>
                <w:p w:rsidR="002C11AA" w:rsidRPr="00B67CD4" w:rsidRDefault="002C11AA" w:rsidP="006B1499">
                  <w:r w:rsidRPr="00B67CD4">
                    <w:t>Unfortunately, JMP no longer provides specific information on household connections to piped sewer systems separate from other types of improved sanitation. In order to address this issue, we compared the data on wastewater collection against that on access to improved sanitation. Of the 181 country-year pairs with data on both indicators, there were only 14 cases (covering 7 countries) where the value for wastewater collection exceeded that for access to improved sanitation. This supports the assumption that, in most cases, the data on wastewater collection is a good proxy for the percentage of the population with household connections to piped sewer systems. For the initialization of the model, therefore, we: 1) adjust the data on wastewater collection to match that of access to improved sanitation when the former exceeds the latter, 2) set the percentage of the population with access to improved sanitation in the form of a household connection equal to the percentage of the population connected to a wastewater collection system from the UNSD dataset, and 3) set the percentage of the population with access to another form of improved sanitation equal to the percentage of the population with access to improved sanitation from the JMP dataset minus the percentage connected to a wastewater collection system from the UNSD dataset.</w:t>
                  </w:r>
                </w:p>
              </w:txbxContent>
            </v:textbox>
            <w10:wrap type="topAndBottom"/>
            <w10:anchorlock/>
          </v:shape>
        </w:pict>
      </w:r>
    </w:p>
    <w:p w:rsidR="00597AF3" w:rsidRDefault="006B1499" w:rsidP="006B1499">
      <w:r w:rsidRPr="004F1F9C">
        <w:t xml:space="preserve">There are few forecasts of the area equipped for irrigation and those that do exist tend to be based on very detailed analyses of specific situations. In a recent report from Jelle Bruinsma of the United Nations Food and Agricultural Organization (FAO) on agriculture looking out to the year 2050 </w:t>
      </w:r>
      <w:r w:rsidR="00F7383F" w:rsidRPr="004F1F9C">
        <w:fldChar w:fldCharType="begin"/>
      </w:r>
      <w:r>
        <w:instrText xml:space="preserve"> ADDIN ZOTERO_ITEM CSL_CITATION {"citationID":"mDo45O21","properties":{"formattedCitation":"(Bruinsma 2011, 251)","plainCitation":"(Bruinsma 2011, 251)"},"citationItems":[{"id":1011,"uris":["http://zotero.org/groups/4482/items/CPS4ATK6"],"uri":["http://zotero.org/groups/4482/items/CPS4ATK6"],"itemData":{"id":1011,"type":"chapter","title":"The Resources Outlook: By How Much Do Land, Water and Crop Yields Need to Increase by 2050?","container-title":"Looking Ahead in World Food and Agriculture: Perspectives to 2050","publisher":"Food and Agriculture Organization of the United Nations (FAO)","publisher-place":"Rome","page":"233-275","event-place":"Rome","URL":"http://www.fao.org/docrep/014/i2280e/i2280e.pdf","ISBN":"978-92-5-106903-5","call-number":"0000","editor":[{"family":"Conforti","given":"Piero"}],"author":[{"family":"Bruinsma","given":"Jelle"}],"issued":{"year":2011},"page-first":"233"},"locator":"251","label":"page"}],"schema":"https://github.com/citation-style-language/schema/raw/master/csl-citation.json"} </w:instrText>
      </w:r>
      <w:r w:rsidR="00F7383F" w:rsidRPr="004F1F9C">
        <w:fldChar w:fldCharType="separate"/>
      </w:r>
      <w:r w:rsidRPr="004F1F9C">
        <w:rPr>
          <w:rFonts w:cs="Calibri"/>
        </w:rPr>
        <w:t>(Bruinsma 2011, 251)</w:t>
      </w:r>
      <w:r w:rsidR="00F7383F" w:rsidRPr="004F1F9C">
        <w:fldChar w:fldCharType="end"/>
      </w:r>
      <w:r w:rsidRPr="004F1F9C">
        <w:t xml:space="preserve">, Bruinsma states that the “projections of irrigation presented in this section are based on scattered information about existing irrigation expansion plans in different countries, potentials for expansion (including water availability) and the need to increase crop production.” Another report looking at global agriculture over the next half century </w:t>
      </w:r>
      <w:r w:rsidR="00F7383F" w:rsidRPr="004F1F9C">
        <w:fldChar w:fldCharType="begin"/>
      </w:r>
      <w:r>
        <w:instrText xml:space="preserve"> ADDIN ZOTERO_ITEM CSL_CITATION {"citationID":"MQQxyLFO","properties":{"formattedCitation":"(Gerald C. Nelson et al. 2010)","plainCitation":"(Gerald C. Nelson et al. 2010)"},"citationItems":[{"id":862,"uris":["http://zotero.org/groups/4482/items/PI265U48"],"uri":["http://zotero.org/groups/4482/items/PI265U48"],"itemData":{"id":862,"type":"book","title":"Food Security, Farming, and Climate Change to 2050: Scenarios, Results, Policy Options","publisher":"International Food Policy Research Institute","publisher-place":"Washington, DC","event-place":"Washington, DC","URL":"http://www.ifpri.org/publication/food-security-farming-and-climate-change-2050","call-number":"0000","shortTitle":"Food Security, Farming, and Climate Change to 2050","author":[{"family":"Nelson","given":"Gerald C."},{"family":"Rosegrant","given":"Mark W."},{"family":"Palazzo","given":"Amanda"},{"family":"Gray","given":"Ian"},{"family":"Ingersoll","given":"Christina"},{"family":"Robertson","given":"Richard"},{"family":"Tokgoz","given":"Simla"},{"family":"Zhu","given":"Tingju"},{"family":"Sulser","given":"Timothy B."},{"family":"Ringler","given":"Claudia"},{"family":"Msangi","given":"Siwa"},{"family":"You","given":"Liangzhi"}],"issued":{"year":2010},"accessed":{"year":2011,"month":10,"day":25}}}],"schema":"https://github.com/citation-style-language/schema/raw/master/csl-citation.json"} </w:instrText>
      </w:r>
      <w:r w:rsidR="00F7383F" w:rsidRPr="004F1F9C">
        <w:fldChar w:fldCharType="separate"/>
      </w:r>
      <w:r w:rsidRPr="004F1F9C">
        <w:rPr>
          <w:rFonts w:cs="Calibri"/>
        </w:rPr>
        <w:t>(Nelson et al. 2010)</w:t>
      </w:r>
      <w:r w:rsidR="00F7383F" w:rsidRPr="004F1F9C">
        <w:fldChar w:fldCharType="end"/>
      </w:r>
      <w:r w:rsidRPr="004F1F9C">
        <w:t xml:space="preserve">, this one from the International Food Policy Research Institute, relies on exogenous assumptions of the growth in irrigated area. The authors do not specify from where they obtained these assumptions, but some of the same authors have reported on the irrigation potential for Africa </w:t>
      </w:r>
      <w:r w:rsidR="00F7383F" w:rsidRPr="004F1F9C">
        <w:fldChar w:fldCharType="begin"/>
      </w:r>
      <w:r>
        <w:instrText xml:space="preserve"> ADDIN ZOTERO_ITEM CSL_CITATION {"citationID":"t67lBT5u","properties":{"formattedCitation":"(You et al. 2010; You et al. 2011)","plainCitation":"(You et al. 2010; You et al. 2011)"},"citationItems":[{"id":1042,"uris":["http://zotero.org/groups/4482/items/DDP4FK3X"],"uri":["http://zotero.org/groups/4482/items/DDP4FK3X"],"itemData":{"id":1042,"type":"manuscript","title":"What Is the Irrigation Potential for Africa?  A Combined Biophysical and Socioeconomic Approach","publisher-place":"Washington, DC","genre":"IFPRI Discussion Paper 00993","event-place":"Washington, DC","URL":"http://www.ifpri.org/sites/default/files/publications/ifpridp00993.pdf","call-number":"0001","shortTitle":"International Food Policy Research Institute","author":[{"family":"You","given":"Liangzhi"},{"family":"Ringler","given":"Claudia"},{"family":"Nelson","given":"Gerald"},{"family":"Wood-Sichra","given":"Ulrike"},{"family":"Robertson","given":"Richard"},{"family":"Wood","given":"Stanley"},{"family":"Guo","given":"Zhe"},{"family":"Zhu","given":"Tingju"},{"family":"Sun","given":"Yan"}],"issued":{"year":2010}},"label":"page"},{"id":1400,"uris":["http://zotero.org/groups/4482/items/G7CX5H7H"],"uri":["http://zotero.org/groups/4482/items/G7CX5H7H"],"itemData":{"id":1400,"type":"article-journal","title":"What Is the Irrigation Potential for Africa? A Combined Biophysical and Socioeconomic Approach","container-title":"Food Policy","page":"770-782","volume":"36","issue":"6","abstract":"Although irrigation in Africa has the potential to boost agricultural productivities by at least 50%, food production on the continent is almost entirely rainfed. The area equipped for irrigation, currently slightly more than 13 million hectares, makes up just 6% of the total cultivated area. More than 70% of Africa’s poor live in rural areas and mostly depend on agriculture for their livelihoods. As a result, agricultural development is key to ending poverty on the continent. Many development organizations have recently proposed to significantly increase investments in irrigation in the region. However, the potential for irrigation investments in Africa is highly dependent upon geographic, hydrologic, agronomic, and economic factors that need to be taken into account when assessing the long-term viability and sustainability of planned projects. This paper analyzes the large, dam-based and small-scale irrigation investment potential in Africa based on agronomic, hydrologic, and economic factors. We find significant profitable irrigation potential for both small-scale and large-scale systems. This type of regional analysis can guide distribution of investment funds across countries and should be a first step prior to in-depth country- and local-level assessment of irrigation potential, which will be important to agricultural and economic development in Africa.","DOI":"10.1016/j.foodpol.2011.09.001","call-number":"0001","shortTitle":"What is the irrigation potential for Africa?","author":[{"family":"You","given":"Liangzhi"},{"family":"Ringler","given":"Claudia"},{"family":"Wood-Sichra","given":"Ulrike"},{"family":"Robertson","given":"Richard"},{"family":"Wood","given":"Stanley"},{"family":"Zhu","given":"Tingju"},{"family":"Nelson","given":"Gerald"},{"family":"Guo","given":"Zhe"},{"family":"Sun","given":"Yan"}],"issued":{"year":2011},"accessed":{"year":2011,"month":11,"day":12},"page-first":"770"},"label":"page"}],"schema":"https://github.com/citation-style-language/schema/raw/master/csl-citation.json"} </w:instrText>
      </w:r>
      <w:r w:rsidR="00F7383F" w:rsidRPr="004F1F9C">
        <w:fldChar w:fldCharType="separate"/>
      </w:r>
      <w:r w:rsidRPr="004F1F9C">
        <w:rPr>
          <w:rFonts w:cs="Calibri"/>
        </w:rPr>
        <w:t>(You et al. 2010; You et al. 2011)</w:t>
      </w:r>
      <w:r w:rsidR="00F7383F" w:rsidRPr="004F1F9C">
        <w:fldChar w:fldCharType="end"/>
      </w:r>
      <w:r w:rsidRPr="004F1F9C">
        <w:t>,</w:t>
      </w:r>
      <w:r w:rsidRPr="004F1F9C" w:rsidDel="005917F7">
        <w:t xml:space="preserve"> </w:t>
      </w:r>
      <w:r w:rsidRPr="004F1F9C">
        <w:t>basing their conclusions on agronomic, hydrological, and economic factors.</w:t>
      </w:r>
    </w:p>
    <w:p w:rsidR="006B1499" w:rsidRPr="004F1F9C" w:rsidRDefault="006B1499" w:rsidP="006B1499"/>
    <w:p w:rsidR="00597AF3" w:rsidRDefault="006B1499" w:rsidP="006B1499">
      <w:r w:rsidRPr="004F1F9C">
        <w:t>Rather than attempt to replicate this level of detailed analysis, we forecast the area equipped for irrigation based upon data on historical patterns and the area that could be potentially equipped for irrigation, drawn from the FAO’s FAOSTAT and AQUASTAT databases.</w:t>
      </w:r>
      <w:r w:rsidRPr="004F1F9C">
        <w:rPr>
          <w:rStyle w:val="FootnoteReference"/>
        </w:rPr>
        <w:footnoteReference w:id="70"/>
      </w:r>
      <w:r w:rsidRPr="004F1F9C">
        <w:t xml:space="preserve"> These data are incomplete, providing data on area equipped for irrigation for 168 of the 183 countries included in IFs and data on the potentially irrigable area for 117 of 183 countries. In our examination of these historical data, we found that a number of countries had already reached an apparent plateau in the amount of area equipped for irrigation, which was often well below the potential indicated. For example, Argentina’s area equipped has stayed at a bit over 1.5 million hectares since the late 1970s, even though its potential is given as more than 6 million hectares. It is often unclear why countries saturate below their ultimate potential, but one obvious reason for some is that they receive enough rainfall to not warrant irrigation.</w:t>
      </w:r>
    </w:p>
    <w:p w:rsidR="006B1499" w:rsidRPr="004F1F9C" w:rsidRDefault="006B1499" w:rsidP="006B1499"/>
    <w:p w:rsidR="00597AF3" w:rsidRDefault="006B1499" w:rsidP="006B1499">
      <w:r w:rsidRPr="004F1F9C">
        <w:t>As a result of this analysis, we assume that countries that appear to have already attained a level of saturation in their area equipped for irrigation will remain at their current level, even if this is below the potentially irrigable area. This applies to 67 countries. For the remaining countries, we extrapolate their recent growth in area equipped for irrigation, while not allowing them to exceed a specified level of saturation. If they do have a value for potentially irrigable area, we use this information and the current amount of area equipped for irrigation to determine the saturation level; countries whose current area equipped for irrigation have saturation levels closer to the potential. For those countries without data on potential area irrigated, we assume a saturation level that is slightly above their current area equipped for irrigation, taking into account their total agricultural area, which is also provided by the FAO datasets.</w:t>
      </w:r>
    </w:p>
    <w:p w:rsidR="006B1499" w:rsidRPr="004F1F9C" w:rsidRDefault="006B1499" w:rsidP="006B1499"/>
    <w:p w:rsidR="00597AF3" w:rsidRDefault="006B1499" w:rsidP="006B1499">
      <w:r w:rsidRPr="004F1F9C">
        <w:t>The forecasted demands for additional areas equipped for irrigation and people with wastewater treated are passed to the financial model directly. Physical connections for drinking water and sanitation, however, are generally to households and not individuals. Therefore, we convert the forecasts of access to drinking water and sanitation from percentages of the population to number of households using an average number of persons per household, which is forecasted elsewhere in the model.</w:t>
      </w:r>
    </w:p>
    <w:p w:rsidR="006B1499" w:rsidRPr="004F1F9C" w:rsidRDefault="006B1499" w:rsidP="006B1499"/>
    <w:p w:rsidR="006B1499" w:rsidRPr="004F1F9C" w:rsidRDefault="006B1499" w:rsidP="006B1499">
      <w:pPr>
        <w:pStyle w:val="Heading4"/>
      </w:pPr>
      <w:bookmarkStart w:id="117" w:name="_Toc326061519"/>
      <w:bookmarkStart w:id="118" w:name="_Toc200095301"/>
      <w:r w:rsidRPr="004F1F9C">
        <w:t xml:space="preserve">4.4.1.4 Information and </w:t>
      </w:r>
      <w:r>
        <w:t>c</w:t>
      </w:r>
      <w:r w:rsidRPr="004F1F9C">
        <w:t xml:space="preserve">ommunication </w:t>
      </w:r>
      <w:r>
        <w:t>t</w:t>
      </w:r>
      <w:r w:rsidRPr="004F1F9C">
        <w:t>echnolog</w:t>
      </w:r>
      <w:r>
        <w:t>ies</w:t>
      </w:r>
      <w:r w:rsidRPr="004F1F9C">
        <w:t xml:space="preserve"> (ICT)</w:t>
      </w:r>
      <w:bookmarkEnd w:id="117"/>
      <w:bookmarkEnd w:id="118"/>
    </w:p>
    <w:p w:rsidR="006B1499" w:rsidRPr="004F1F9C" w:rsidRDefault="006B1499" w:rsidP="006B1499">
      <w:r w:rsidRPr="004F1F9C">
        <w:t xml:space="preserve">The most dynamic changes in infrastructure in recent years have been in the area of ICT. The rate of change in this sector, both qualitative and quantitative, presents a serious challenge to forecasting for all but the shortest time horizons. However, the importance of the sector means that it cannot be ignored. With that in mind, we forecast four basic indicators of ICT infrastructure: fixed telephone </w:t>
      </w:r>
      <w:r>
        <w:t>connections</w:t>
      </w:r>
      <w:r w:rsidRPr="004F1F9C">
        <w:t>, fixed broadband subscriptions, mobile telephone subscriptions, and mobile broadband subscriptions, all per 100 persons (see again Box 2.5 on measuring ICT infrastructure).</w:t>
      </w:r>
    </w:p>
    <w:p w:rsidR="00597AF3" w:rsidRDefault="006B1499" w:rsidP="006B1499">
      <w:r w:rsidRPr="004F1F9C">
        <w:t>Figure 4.6 presents an overview of our approach to forecasting ICT infrastructure. As this shows, there are strong interactions among the four basic access indicators. Beginning with fixed telephone lines, we assume that their demand is driven by average income. However, given the potential for substitution by mobile telephone lines, we also assume that as mobile usage increases, the demand for fixed telephone lines will decline. Our analysis of the historic data indicates a level of around 30 mobile telephone subscriptions per 100 population as the point when fixed line decline begins, so we build this into our forecasts algorithmically. We also assume that fixed telephone line usage will not completely disappear. Rather it will settle at a low level; we set this at 2.5 lines per 100 persons. We have built other algorithmic elements that link ICT types into our forecasting formulations. They include assumptions that: 1) mobile broadband subscriptions will never exceed mobile telephone subscriptions and 2) decline in fixed telephone lines boosts the growth in fixed broadband, because countries that have existing investments in fixed-line infrastructure are able to leverage these networks to provide broadband access with rather modest investments.</w:t>
      </w:r>
    </w:p>
    <w:p w:rsidR="006B1499" w:rsidRPr="004F1F9C" w:rsidDel="00F8084F" w:rsidRDefault="006B1499" w:rsidP="006B1499"/>
    <w:p w:rsidR="006B1499" w:rsidRPr="004F1F9C" w:rsidRDefault="006B1499" w:rsidP="006B1499">
      <w:pPr>
        <w:jc w:val="center"/>
      </w:pPr>
      <w:r w:rsidRPr="00F8084F">
        <w:rPr>
          <w:noProof/>
        </w:rPr>
        <w:drawing>
          <wp:inline distT="0" distB="0" distL="0" distR="0">
            <wp:extent cx="5486400" cy="3164205"/>
            <wp:effectExtent l="25400" t="0" r="0" b="0"/>
            <wp:docPr id="71" name="O 4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823995" cy="3358847"/>
                      <a:chOff x="1719805" y="1822753"/>
                      <a:chExt cx="5823995" cy="3358847"/>
                    </a:xfrm>
                  </a:grpSpPr>
                  <a:sp>
                    <a:nvSpPr>
                      <a:cNvPr id="143" name="Oval 142"/>
                      <a:cNvSpPr/>
                    </a:nvSpPr>
                    <a:spPr>
                      <a:xfrm>
                        <a:off x="2394995" y="4391780"/>
                        <a:ext cx="1371600" cy="789819"/>
                      </a:xfrm>
                      <a:prstGeom prst="ellipse">
                        <a:avLst/>
                      </a:prstGeom>
                      <a:solidFill>
                        <a:schemeClr val="accent2">
                          <a:alpha val="73000"/>
                        </a:schemeClr>
                      </a:solidFill>
                      <a:ln>
                        <a:solidFill>
                          <a:schemeClr val="accent2"/>
                        </a:solidFill>
                      </a:ln>
                    </a:spPr>
                    <a:txSp>
                      <a:txBody>
                        <a:bodyPr wrap="square" lIns="0" tIns="0" rIns="0" bIns="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a:solidFill>
                                <a:schemeClr val="tx1"/>
                              </a:solidFill>
                              <a:latin typeface="Times New Roman"/>
                              <a:cs typeface="Times New Roman"/>
                            </a:rPr>
                            <a:t>Mobile telephone subscriptions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44" name="Oval 143"/>
                      <a:cNvSpPr/>
                    </a:nvSpPr>
                    <a:spPr>
                      <a:xfrm>
                        <a:off x="4376195" y="3130248"/>
                        <a:ext cx="1371600" cy="755952"/>
                      </a:xfrm>
                      <a:prstGeom prst="ellipse">
                        <a:avLst/>
                      </a:prstGeom>
                      <a:solidFill>
                        <a:schemeClr val="accent2">
                          <a:alpha val="73000"/>
                        </a:schemeClr>
                      </a:solidFill>
                      <a:ln>
                        <a:solidFill>
                          <a:schemeClr val="accent2"/>
                        </a:solidFill>
                      </a:ln>
                    </a:spPr>
                    <a:txSp>
                      <a:txBody>
                        <a:bodyPr wrap="square" lIns="0" tIns="0" rIns="0" bIns="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a:solidFill>
                                <a:schemeClr val="tx1"/>
                              </a:solidFill>
                              <a:latin typeface="Times New Roman"/>
                              <a:cs typeface="Times New Roman"/>
                            </a:rPr>
                            <a:t>Fixed broadband subscriptions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45" name="Oval 144"/>
                      <a:cNvSpPr/>
                    </a:nvSpPr>
                    <a:spPr>
                      <a:xfrm>
                        <a:off x="2394995" y="3130248"/>
                        <a:ext cx="1371600" cy="755952"/>
                      </a:xfrm>
                      <a:prstGeom prst="ellipse">
                        <a:avLst/>
                      </a:prstGeom>
                      <a:solidFill>
                        <a:schemeClr val="accent2">
                          <a:alpha val="73000"/>
                        </a:schemeClr>
                      </a:solidFill>
                      <a:ln>
                        <a:solidFill>
                          <a:schemeClr val="accent2"/>
                        </a:solidFill>
                      </a:ln>
                    </a:spPr>
                    <a:txSp>
                      <a:txBody>
                        <a:bodyPr wrap="square" lIns="0" tIns="0" rIns="0" bIns="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a:solidFill>
                                <a:schemeClr val="tx1"/>
                              </a:solidFill>
                              <a:latin typeface="Times New Roman"/>
                              <a:cs typeface="Times New Roman"/>
                            </a:rPr>
                            <a:t>Fixed telephone lines</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46" name="Oval 145"/>
                      <a:cNvSpPr/>
                    </a:nvSpPr>
                    <a:spPr>
                      <a:xfrm>
                        <a:off x="4350795" y="4391780"/>
                        <a:ext cx="1371600" cy="789820"/>
                      </a:xfrm>
                      <a:prstGeom prst="ellipse">
                        <a:avLst/>
                      </a:prstGeom>
                      <a:solidFill>
                        <a:schemeClr val="accent2">
                          <a:alpha val="73000"/>
                        </a:schemeClr>
                      </a:solidFill>
                      <a:ln>
                        <a:solidFill>
                          <a:schemeClr val="accent2"/>
                        </a:solidFill>
                      </a:ln>
                    </a:spPr>
                    <a:txSp>
                      <a:txBody>
                        <a:bodyPr wrap="square" lIns="0" tIns="0" rIns="0" bIns="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a:solidFill>
                                <a:schemeClr val="tx1"/>
                              </a:solidFill>
                              <a:latin typeface="Times New Roman"/>
                              <a:cs typeface="Times New Roman"/>
                            </a:rPr>
                            <a:t>Mobile broadband subscriptions</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47" name="Straight Arrow Connector 146"/>
                      <a:cNvCxnSpPr>
                        <a:stCxn id="145" idx="4"/>
                        <a:endCxn id="143" idx="0"/>
                      </a:cNvCxnSpPr>
                    </a:nvCxnSpPr>
                    <a:spPr>
                      <a:xfrm rot="5400000">
                        <a:off x="2828005" y="4138990"/>
                        <a:ext cx="505580" cy="1588"/>
                      </a:xfrm>
                      <a:prstGeom prst="straightConnector1">
                        <a:avLst/>
                      </a:prstGeom>
                      <a:ln w="25400">
                        <a:solidFill>
                          <a:schemeClr val="tx2"/>
                        </a:solidFill>
                        <a:headEnd type="arrow"/>
                        <a:tailEnd type="arrow"/>
                      </a:ln>
                    </a:spPr>
                    <a:style>
                      <a:lnRef idx="1">
                        <a:schemeClr val="accent1"/>
                      </a:lnRef>
                      <a:fillRef idx="0">
                        <a:schemeClr val="accent1"/>
                      </a:fillRef>
                      <a:effectRef idx="0">
                        <a:schemeClr val="accent1"/>
                      </a:effectRef>
                      <a:fontRef idx="minor">
                        <a:schemeClr val="tx1"/>
                      </a:fontRef>
                    </a:style>
                  </a:cxnSp>
                  <a:cxnSp>
                    <a:nvCxnSpPr>
                      <a:cNvPr id="148" name="Straight Arrow Connector 147"/>
                      <a:cNvCxnSpPr>
                        <a:stCxn id="145" idx="6"/>
                        <a:endCxn id="144" idx="2"/>
                      </a:cNvCxnSpPr>
                    </a:nvCxnSpPr>
                    <a:spPr>
                      <a:xfrm>
                        <a:off x="3766595" y="3508224"/>
                        <a:ext cx="609600" cy="1588"/>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cxnSp>
                    <a:nvCxnSpPr>
                      <a:cNvPr id="149" name="Straight Arrow Connector 148"/>
                      <a:cNvCxnSpPr>
                        <a:stCxn id="143" idx="6"/>
                        <a:endCxn id="146" idx="2"/>
                      </a:cNvCxnSpPr>
                    </a:nvCxnSpPr>
                    <a:spPr>
                      <a:xfrm>
                        <a:off x="3766595" y="4786690"/>
                        <a:ext cx="584200" cy="1588"/>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sp>
                    <a:nvSpPr>
                      <a:cNvPr id="150" name="Oval 149"/>
                      <a:cNvSpPr/>
                    </a:nvSpPr>
                    <a:spPr>
                      <a:xfrm>
                        <a:off x="5036595" y="1834848"/>
                        <a:ext cx="1092200" cy="719666"/>
                      </a:xfrm>
                      <a:prstGeom prst="ellipse">
                        <a:avLst/>
                      </a:prstGeom>
                      <a:solidFill>
                        <a:schemeClr val="accent1">
                          <a:alpha val="73000"/>
                        </a:schemeClr>
                      </a:solidFill>
                    </a:spPr>
                    <a:txSp>
                      <a:txBody>
                        <a:bodyPr wrap="square" lIns="0" tIns="0" rIns="0" bIns="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a:solidFill>
                                <a:schemeClr val="tx1"/>
                              </a:solidFill>
                              <a:latin typeface="Times New Roman"/>
                              <a:cs typeface="Times New Roman"/>
                            </a:rPr>
                            <a:t>Technology</a:t>
                          </a:r>
                        </a:p>
                        <a:p>
                          <a:pPr algn="ctr"/>
                          <a:r>
                            <a:rPr lang="en-US" sz="1200" b="1" dirty="0">
                              <a:solidFill>
                                <a:schemeClr val="tx1"/>
                              </a:solidFill>
                              <a:latin typeface="Times New Roman"/>
                              <a:cs typeface="Times New Roman"/>
                            </a:rPr>
                            <a:t>shift</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51" name="Oval 150"/>
                      <a:cNvSpPr/>
                    </a:nvSpPr>
                    <a:spPr>
                      <a:xfrm>
                        <a:off x="2547395" y="1834848"/>
                        <a:ext cx="990600" cy="719666"/>
                      </a:xfrm>
                      <a:prstGeom prst="ellipse">
                        <a:avLst/>
                      </a:prstGeom>
                      <a:solidFill>
                        <a:schemeClr val="accent1">
                          <a:alpha val="73000"/>
                        </a:schemeClr>
                      </a:solidFill>
                    </a:spPr>
                    <a:txSp>
                      <a:txBody>
                        <a:bodyPr wrap="square" lIns="0" tIns="0" rIns="0" bIns="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a:solidFill>
                                <a:schemeClr val="tx1"/>
                              </a:solidFill>
                              <a:latin typeface="Times New Roman"/>
                              <a:cs typeface="Times New Roman"/>
                            </a:rPr>
                            <a:t>Average income</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52" name="Oval 151"/>
                      <a:cNvSpPr/>
                    </a:nvSpPr>
                    <a:spPr>
                      <a:xfrm>
                        <a:off x="3690394" y="1834848"/>
                        <a:ext cx="1110205" cy="719666"/>
                      </a:xfrm>
                      <a:prstGeom prst="ellipse">
                        <a:avLst/>
                      </a:prstGeom>
                      <a:solidFill>
                        <a:schemeClr val="accent1">
                          <a:alpha val="73000"/>
                        </a:schemeClr>
                      </a:solidFill>
                    </a:spPr>
                    <a:txSp>
                      <a:txBody>
                        <a:bodyPr wrap="square" lIns="0" tIns="0" rIns="0" bIns="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a:solidFill>
                                <a:schemeClr val="tx1"/>
                              </a:solidFill>
                              <a:latin typeface="Times New Roman"/>
                              <a:cs typeface="Times New Roman"/>
                            </a:rPr>
                            <a:t>Governance</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53" name="Straight Arrow Connector 152"/>
                      <a:cNvCxnSpPr>
                        <a:stCxn id="151" idx="4"/>
                        <a:endCxn id="151" idx="4"/>
                      </a:cNvCxnSpPr>
                    </a:nvCxnSpPr>
                    <a:spPr>
                      <a:xfrm>
                        <a:off x="3042695" y="2554514"/>
                        <a:ext cx="0" cy="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54" name="Freeform 153"/>
                      <a:cNvSpPr/>
                    </a:nvSpPr>
                    <a:spPr>
                      <a:xfrm>
                        <a:off x="1719805" y="2226734"/>
                        <a:ext cx="794933" cy="2383971"/>
                      </a:xfrm>
                      <a:custGeom>
                        <a:avLst/>
                        <a:gdLst>
                          <a:gd name="connsiteX0" fmla="*/ 794933 w 794933"/>
                          <a:gd name="connsiteY0" fmla="*/ 0 h 2383971"/>
                          <a:gd name="connsiteX1" fmla="*/ 276 w 794933"/>
                          <a:gd name="connsiteY1" fmla="*/ 903514 h 2383971"/>
                          <a:gd name="connsiteX2" fmla="*/ 696961 w 794933"/>
                          <a:gd name="connsiteY2" fmla="*/ 2383971 h 2383971"/>
                          <a:gd name="connsiteX3" fmla="*/ 696961 w 794933"/>
                          <a:gd name="connsiteY3" fmla="*/ 2383971 h 2383971"/>
                        </a:gdLst>
                        <a:ahLst/>
                        <a:cxnLst>
                          <a:cxn ang="0">
                            <a:pos x="connsiteX0" y="connsiteY0"/>
                          </a:cxn>
                          <a:cxn ang="0">
                            <a:pos x="connsiteX1" y="connsiteY1"/>
                          </a:cxn>
                          <a:cxn ang="0">
                            <a:pos x="connsiteX2" y="connsiteY2"/>
                          </a:cxn>
                          <a:cxn ang="0">
                            <a:pos x="connsiteX3" y="connsiteY3"/>
                          </a:cxn>
                        </a:cxnLst>
                        <a:rect l="l" t="t" r="r" b="b"/>
                        <a:pathLst>
                          <a:path w="794933" h="2383971">
                            <a:moveTo>
                              <a:pt x="794933" y="0"/>
                            </a:moveTo>
                            <a:cubicBezTo>
                              <a:pt x="405769" y="253093"/>
                              <a:pt x="16605" y="506186"/>
                              <a:pt x="276" y="903514"/>
                            </a:cubicBezTo>
                            <a:cubicBezTo>
                              <a:pt x="-16053" y="1300842"/>
                              <a:pt x="696961" y="2383971"/>
                              <a:pt x="696961" y="2383971"/>
                            </a:cubicBezTo>
                            <a:lnTo>
                              <a:pt x="696961" y="2383971"/>
                            </a:lnTo>
                          </a:path>
                        </a:pathLst>
                      </a:custGeom>
                      <a:noFill/>
                      <a:ln>
                        <a:solidFill>
                          <a:schemeClr val="tx2"/>
                        </a:solidFill>
                        <a:tailEnd type="arrow"/>
                      </a:ln>
                    </a:spPr>
                    <a:txSp>
                      <a:txBody>
                        <a:bodyPr wrap="square"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5" name="Freeform 154"/>
                      <a:cNvSpPr/>
                    </a:nvSpPr>
                    <a:spPr>
                      <a:xfrm>
                        <a:off x="3592424" y="2542419"/>
                        <a:ext cx="511628" cy="1937658"/>
                      </a:xfrm>
                      <a:custGeom>
                        <a:avLst/>
                        <a:gdLst>
                          <a:gd name="connsiteX0" fmla="*/ 511628 w 511628"/>
                          <a:gd name="connsiteY0" fmla="*/ 0 h 1937658"/>
                          <a:gd name="connsiteX1" fmla="*/ 391885 w 511628"/>
                          <a:gd name="connsiteY1" fmla="*/ 1393372 h 1937658"/>
                          <a:gd name="connsiteX2" fmla="*/ 0 w 511628"/>
                          <a:gd name="connsiteY2" fmla="*/ 1937658 h 1937658"/>
                        </a:gdLst>
                        <a:ahLst/>
                        <a:cxnLst>
                          <a:cxn ang="0">
                            <a:pos x="connsiteX0" y="connsiteY0"/>
                          </a:cxn>
                          <a:cxn ang="0">
                            <a:pos x="connsiteX1" y="connsiteY1"/>
                          </a:cxn>
                          <a:cxn ang="0">
                            <a:pos x="connsiteX2" y="connsiteY2"/>
                          </a:cxn>
                        </a:cxnLst>
                        <a:rect l="l" t="t" r="r" b="b"/>
                        <a:pathLst>
                          <a:path w="511628" h="1937658">
                            <a:moveTo>
                              <a:pt x="511628" y="0"/>
                            </a:moveTo>
                            <a:cubicBezTo>
                              <a:pt x="494392" y="535214"/>
                              <a:pt x="477156" y="1070429"/>
                              <a:pt x="391885" y="1393372"/>
                            </a:cubicBezTo>
                            <a:cubicBezTo>
                              <a:pt x="306614" y="1716315"/>
                              <a:pt x="153307" y="1826986"/>
                              <a:pt x="0" y="1937658"/>
                            </a:cubicBezTo>
                          </a:path>
                        </a:pathLst>
                      </a:custGeom>
                      <a:noFill/>
                      <a:ln>
                        <a:solidFill>
                          <a:schemeClr val="tx2"/>
                        </a:solidFill>
                        <a:tailEnd type="arrow"/>
                      </a:ln>
                    </a:spPr>
                    <a:txSp>
                      <a:txBody>
                        <a:bodyPr wrap="square"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6" name="Freeform 155"/>
                      <a:cNvSpPr/>
                    </a:nvSpPr>
                    <a:spPr>
                      <a:xfrm>
                        <a:off x="3701281" y="2411791"/>
                        <a:ext cx="1426028" cy="2166257"/>
                      </a:xfrm>
                      <a:custGeom>
                        <a:avLst/>
                        <a:gdLst>
                          <a:gd name="connsiteX0" fmla="*/ 1426028 w 1426028"/>
                          <a:gd name="connsiteY0" fmla="*/ 0 h 2166257"/>
                          <a:gd name="connsiteX1" fmla="*/ 576943 w 1426028"/>
                          <a:gd name="connsiteY1" fmla="*/ 794657 h 2166257"/>
                          <a:gd name="connsiteX2" fmla="*/ 424543 w 1426028"/>
                          <a:gd name="connsiteY2" fmla="*/ 1654628 h 2166257"/>
                          <a:gd name="connsiteX3" fmla="*/ 0 w 1426028"/>
                          <a:gd name="connsiteY3" fmla="*/ 2166257 h 2166257"/>
                        </a:gdLst>
                        <a:ahLst/>
                        <a:cxnLst>
                          <a:cxn ang="0">
                            <a:pos x="connsiteX0" y="connsiteY0"/>
                          </a:cxn>
                          <a:cxn ang="0">
                            <a:pos x="connsiteX1" y="connsiteY1"/>
                          </a:cxn>
                          <a:cxn ang="0">
                            <a:pos x="connsiteX2" y="connsiteY2"/>
                          </a:cxn>
                          <a:cxn ang="0">
                            <a:pos x="connsiteX3" y="connsiteY3"/>
                          </a:cxn>
                        </a:cxnLst>
                        <a:rect l="l" t="t" r="r" b="b"/>
                        <a:pathLst>
                          <a:path w="1426028" h="2166257">
                            <a:moveTo>
                              <a:pt x="1426028" y="0"/>
                            </a:moveTo>
                            <a:cubicBezTo>
                              <a:pt x="1084942" y="259443"/>
                              <a:pt x="743857" y="518886"/>
                              <a:pt x="576943" y="794657"/>
                            </a:cubicBezTo>
                            <a:cubicBezTo>
                              <a:pt x="410029" y="1070428"/>
                              <a:pt x="520700" y="1426028"/>
                              <a:pt x="424543" y="1654628"/>
                            </a:cubicBezTo>
                            <a:cubicBezTo>
                              <a:pt x="328386" y="1883228"/>
                              <a:pt x="164193" y="2024742"/>
                              <a:pt x="0" y="2166257"/>
                            </a:cubicBezTo>
                          </a:path>
                        </a:pathLst>
                      </a:custGeom>
                      <a:noFill/>
                      <a:ln>
                        <a:solidFill>
                          <a:schemeClr val="tx2"/>
                        </a:solidFill>
                        <a:tailEnd type="arrow"/>
                      </a:ln>
                    </a:spPr>
                    <a:txSp>
                      <a:txBody>
                        <a:bodyPr wrap="square"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57" name="Straight Arrow Connector 156"/>
                      <a:cNvCxnSpPr>
                        <a:stCxn id="151" idx="5"/>
                        <a:endCxn id="144" idx="1"/>
                      </a:cNvCxnSpPr>
                    </a:nvCxnSpPr>
                    <a:spPr>
                      <a:xfrm rot="16200000" flipH="1">
                        <a:off x="3589076" y="2252970"/>
                        <a:ext cx="791834" cy="1184136"/>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cxnSp>
                    <a:nvCxnSpPr>
                      <a:cNvPr id="158" name="Straight Arrow Connector 157"/>
                      <a:cNvCxnSpPr>
                        <a:stCxn id="152" idx="5"/>
                        <a:endCxn id="144" idx="0"/>
                      </a:cNvCxnSpPr>
                    </a:nvCxnSpPr>
                    <a:spPr>
                      <a:xfrm rot="16200000" flipH="1">
                        <a:off x="4509441" y="2577693"/>
                        <a:ext cx="681127" cy="423982"/>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cxnSp>
                    <a:nvCxnSpPr>
                      <a:cNvPr id="159" name="Straight Arrow Connector 158"/>
                      <a:cNvCxnSpPr>
                        <a:stCxn id="150" idx="4"/>
                        <a:endCxn id="144" idx="0"/>
                      </a:cNvCxnSpPr>
                    </a:nvCxnSpPr>
                    <a:spPr>
                      <a:xfrm rot="5400000">
                        <a:off x="5034478" y="2582031"/>
                        <a:ext cx="575734" cy="520700"/>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sp>
                    <a:nvSpPr>
                      <a:cNvPr id="160" name="Oval 159"/>
                      <a:cNvSpPr/>
                    </a:nvSpPr>
                    <a:spPr>
                      <a:xfrm>
                        <a:off x="6281195" y="1822753"/>
                        <a:ext cx="1262605" cy="719666"/>
                      </a:xfrm>
                      <a:prstGeom prst="ellipse">
                        <a:avLst/>
                      </a:prstGeom>
                      <a:solidFill>
                        <a:schemeClr val="accent1">
                          <a:alpha val="73000"/>
                        </a:schemeClr>
                      </a:solidFill>
                    </a:spPr>
                    <a:txSp>
                      <a:txBody>
                        <a:bodyPr wrap="square" lIns="0" tIns="0" rIns="0" bIns="0"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US" sz="1200" b="1" dirty="0">
                              <a:solidFill>
                                <a:schemeClr val="tx1"/>
                              </a:solidFill>
                              <a:latin typeface="Times New Roman"/>
                              <a:cs typeface="Times New Roman"/>
                            </a:rPr>
                            <a:t>Urbanization</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61" name="Straight Arrow Connector 160"/>
                      <a:cNvCxnSpPr>
                        <a:stCxn id="160" idx="3"/>
                        <a:endCxn id="144" idx="7"/>
                      </a:cNvCxnSpPr>
                    </a:nvCxnSpPr>
                    <a:spPr>
                      <a:xfrm rot="5400000">
                        <a:off x="5604550" y="2379405"/>
                        <a:ext cx="803929" cy="919170"/>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sp>
                    <a:nvSpPr>
                      <a:cNvPr id="162" name="Freeform 161"/>
                      <a:cNvSpPr/>
                    </a:nvSpPr>
                    <a:spPr>
                      <a:xfrm>
                        <a:off x="4038600" y="2590800"/>
                        <a:ext cx="457200" cy="1905000"/>
                      </a:xfrm>
                      <a:custGeom>
                        <a:avLst/>
                        <a:gdLst>
                          <a:gd name="connsiteX0" fmla="*/ 80852 w 450966"/>
                          <a:gd name="connsiteY0" fmla="*/ 0 h 1937657"/>
                          <a:gd name="connsiteX1" fmla="*/ 26423 w 450966"/>
                          <a:gd name="connsiteY1" fmla="*/ 1349828 h 1937657"/>
                          <a:gd name="connsiteX2" fmla="*/ 450966 w 450966"/>
                          <a:gd name="connsiteY2" fmla="*/ 1937657 h 1937657"/>
                          <a:gd name="connsiteX3" fmla="*/ 450966 w 450966"/>
                          <a:gd name="connsiteY3" fmla="*/ 1937657 h 1937657"/>
                        </a:gdLst>
                        <a:ahLst/>
                        <a:cxnLst>
                          <a:cxn ang="0">
                            <a:pos x="connsiteX0" y="connsiteY0"/>
                          </a:cxn>
                          <a:cxn ang="0">
                            <a:pos x="connsiteX1" y="connsiteY1"/>
                          </a:cxn>
                          <a:cxn ang="0">
                            <a:pos x="connsiteX2" y="connsiteY2"/>
                          </a:cxn>
                          <a:cxn ang="0">
                            <a:pos x="connsiteX3" y="connsiteY3"/>
                          </a:cxn>
                        </a:cxnLst>
                        <a:rect l="l" t="t" r="r" b="b"/>
                        <a:pathLst>
                          <a:path w="450966" h="1937657">
                            <a:moveTo>
                              <a:pt x="80852" y="0"/>
                            </a:moveTo>
                            <a:cubicBezTo>
                              <a:pt x="22794" y="513442"/>
                              <a:pt x="-35263" y="1026885"/>
                              <a:pt x="26423" y="1349828"/>
                            </a:cubicBezTo>
                            <a:cubicBezTo>
                              <a:pt x="88109" y="1672771"/>
                              <a:pt x="450966" y="1937657"/>
                              <a:pt x="450966" y="1937657"/>
                            </a:cubicBezTo>
                            <a:lnTo>
                              <a:pt x="450966" y="1937657"/>
                            </a:lnTo>
                          </a:path>
                        </a:pathLst>
                      </a:custGeom>
                      <a:noFill/>
                      <a:ln>
                        <a:solidFill>
                          <a:schemeClr val="tx2"/>
                        </a:solidFill>
                        <a:tailEnd type="arrow"/>
                      </a:ln>
                    </a:spPr>
                    <a:txSp>
                      <a:txBody>
                        <a:bodyPr wrap="square"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63" name="Straight Arrow Connector 162"/>
                      <a:cNvCxnSpPr>
                        <a:stCxn id="151" idx="5"/>
                        <a:endCxn id="146" idx="2"/>
                      </a:cNvCxnSpPr>
                    </a:nvCxnSpPr>
                    <a:spPr>
                      <a:xfrm rot="16200000" flipH="1">
                        <a:off x="2703076" y="3138970"/>
                        <a:ext cx="2337569" cy="957870"/>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a:sp>
                    <a:nvSpPr>
                      <a:cNvPr id="164" name="Freeform 163"/>
                      <a:cNvSpPr/>
                    </a:nvSpPr>
                    <a:spPr>
                      <a:xfrm>
                        <a:off x="5715000" y="2514600"/>
                        <a:ext cx="731318" cy="2133600"/>
                      </a:xfrm>
                      <a:custGeom>
                        <a:avLst/>
                        <a:gdLst>
                          <a:gd name="connsiteX0" fmla="*/ 163286 w 655118"/>
                          <a:gd name="connsiteY0" fmla="*/ 0 h 2188029"/>
                          <a:gd name="connsiteX1" fmla="*/ 653143 w 655118"/>
                          <a:gd name="connsiteY1" fmla="*/ 1349829 h 2188029"/>
                          <a:gd name="connsiteX2" fmla="*/ 0 w 655118"/>
                          <a:gd name="connsiteY2" fmla="*/ 2188029 h 2188029"/>
                        </a:gdLst>
                        <a:ahLst/>
                        <a:cxnLst>
                          <a:cxn ang="0">
                            <a:pos x="connsiteX0" y="connsiteY0"/>
                          </a:cxn>
                          <a:cxn ang="0">
                            <a:pos x="connsiteX1" y="connsiteY1"/>
                          </a:cxn>
                          <a:cxn ang="0">
                            <a:pos x="connsiteX2" y="connsiteY2"/>
                          </a:cxn>
                        </a:cxnLst>
                        <a:rect l="l" t="t" r="r" b="b"/>
                        <a:pathLst>
                          <a:path w="655118" h="2188029">
                            <a:moveTo>
                              <a:pt x="163286" y="0"/>
                            </a:moveTo>
                            <a:cubicBezTo>
                              <a:pt x="421821" y="492578"/>
                              <a:pt x="680357" y="985157"/>
                              <a:pt x="653143" y="1349829"/>
                            </a:cubicBezTo>
                            <a:cubicBezTo>
                              <a:pt x="625929" y="1714501"/>
                              <a:pt x="312964" y="1951265"/>
                              <a:pt x="0" y="2188029"/>
                            </a:cubicBezTo>
                          </a:path>
                        </a:pathLst>
                      </a:custGeom>
                      <a:noFill/>
                      <a:ln>
                        <a:solidFill>
                          <a:schemeClr val="tx2"/>
                        </a:solidFill>
                        <a:tailEnd type="arrow"/>
                      </a:ln>
                    </a:spPr>
                    <a:txSp>
                      <a:txBody>
                        <a:bodyPr wrap="square"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latin typeface="Times New Roman"/>
                            <a:cs typeface="Times New Roman"/>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65" name="Straight Arrow Connector 164"/>
                      <a:cNvCxnSpPr>
                        <a:stCxn id="151" idx="4"/>
                        <a:endCxn id="145" idx="0"/>
                      </a:cNvCxnSpPr>
                    </a:nvCxnSpPr>
                    <a:spPr>
                      <a:xfrm rot="16200000" flipH="1">
                        <a:off x="2773878" y="2823331"/>
                        <a:ext cx="575734" cy="38100"/>
                      </a:xfrm>
                      <a:prstGeom prst="straightConnector1">
                        <a:avLst/>
                      </a:prstGeom>
                      <a:ln w="25400">
                        <a:solidFill>
                          <a:schemeClr val="tx2"/>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p>
    <w:p w:rsidR="006B1499" w:rsidRPr="004F1F9C" w:rsidRDefault="006B1499" w:rsidP="006B1499">
      <w:r w:rsidRPr="004F1F9C">
        <w:rPr>
          <w:b/>
        </w:rPr>
        <w:t xml:space="preserve">Figure 4.6 Modeling ICT </w:t>
      </w:r>
      <w:r>
        <w:rPr>
          <w:b/>
        </w:rPr>
        <w:t>i</w:t>
      </w:r>
      <w:r w:rsidRPr="004F1F9C">
        <w:rPr>
          <w:b/>
        </w:rPr>
        <w:t>nfrastructure in IFs</w:t>
      </w:r>
    </w:p>
    <w:p w:rsidR="006B1499" w:rsidRPr="004F1F9C" w:rsidRDefault="006B1499" w:rsidP="006B1499"/>
    <w:p w:rsidR="00597AF3" w:rsidRDefault="006B1499" w:rsidP="006B1499">
      <w:r w:rsidRPr="004F1F9C">
        <w:t>Our forecasts for fixed broadband, mobile telephone, and mobile broadband subscriptions are driven in part by cross-sectional relationships. For each technology, we found strong relationships indicating that usage levels (our proxies in this case for access) increase with rises in average income and governance regulatory quality; in the case of fixed broadband we also found urbanization to be important, as one might expect for a technology, the installation which is supported by population density.</w:t>
      </w:r>
    </w:p>
    <w:p w:rsidR="006B1499" w:rsidRPr="004F1F9C" w:rsidRDefault="006B1499" w:rsidP="006B1499"/>
    <w:p w:rsidR="00597AF3" w:rsidRDefault="006B1499" w:rsidP="006B1499">
      <w:r w:rsidRPr="004F1F9C">
        <w:t xml:space="preserve">These relationships, while strong, do not remain static across time. Figure 4.7 shows this for mobile telephone subscriptions. The individual points reflect historical data for </w:t>
      </w:r>
      <w:r>
        <w:t xml:space="preserve">country access rates for </w:t>
      </w:r>
      <w:r w:rsidRPr="004F1F9C">
        <w:t>the years 2000, 2005, and 2010. The lines are logarithmic curves fit through these data. The upward shift over time reflects the technological changes occurring in ICT, which we discussed in Chapter 2.</w:t>
      </w:r>
      <w:r>
        <w:t xml:space="preserve"> </w:t>
      </w:r>
      <w:r w:rsidRPr="004F1F9C">
        <w:t xml:space="preserve">In order to forecast access to ICT in the face of such rapid technological change, we combined the use of the cross-sectional function with an algorithmic approach </w:t>
      </w:r>
      <w:r>
        <w:t>that</w:t>
      </w:r>
      <w:r w:rsidRPr="004F1F9C">
        <w:t xml:space="preserve"> </w:t>
      </w:r>
      <w:r>
        <w:t>simulates</w:t>
      </w:r>
      <w:r w:rsidRPr="004F1F9C">
        <w:t xml:space="preserve"> the upward shift of the curves. The algorithmic element assumes an S-shaped process in which the most rapid shifts occur near the middle of the range (the inflection point) from no adoption to access saturation. Because data from the International Telecommunications Union show penetration rates for some </w:t>
      </w:r>
      <w:r>
        <w:t xml:space="preserve">ICT </w:t>
      </w:r>
      <w:r w:rsidRPr="004F1F9C">
        <w:t>technologies that exceed 100 subscriptions per 100 period, that saturation rate is not always 100. Specifically, we defined it as 100 subscriptions per 100 persons for fixed broadband and 150 subscriptions per 100 persons for both mobile technologies.</w:t>
      </w:r>
      <w:r w:rsidRPr="004F1F9C">
        <w:rPr>
          <w:rStyle w:val="FootnoteReference"/>
        </w:rPr>
        <w:footnoteReference w:id="71"/>
      </w:r>
      <w:r w:rsidRPr="004F1F9C">
        <w:t xml:space="preserve"> </w:t>
      </w:r>
    </w:p>
    <w:p w:rsidR="006B1499" w:rsidRPr="004F1F9C" w:rsidRDefault="006B1499" w:rsidP="006B1499"/>
    <w:p w:rsidR="00597AF3" w:rsidRDefault="006B1499" w:rsidP="006B1499">
      <w:r>
        <w:t>We shall elaborate this general approach with the example of our mobile phone subscription model. As a first step, we determine the annual subscription rate using a cross-sectional regression driven by (a) per capita income, a proxy for the disposable income of potential subscribers, and (b) the regulatory situation in the national market represented by the World Bank's index of regulatory quality. The income impact slows down at higher income levels, so we used a logarithmic formulation. We did not log the governance variable, because it is an index with a small range and a fixed upper limit.</w:t>
      </w:r>
    </w:p>
    <w:p w:rsidR="006B1499" w:rsidRDefault="006B1499" w:rsidP="006B1499"/>
    <w:p w:rsidR="00597AF3" w:rsidRDefault="006B1499" w:rsidP="006B1499">
      <w:r>
        <w:t>The forecasts for the two driver variables are obtained from the economic and governance modules of IFs. Country-specific variations from the global cross-sectional function, if any, are represented by an adjustment algorithm, based on the shift of the function from historical data (as discussed earlier in this section on our approach to demand functions).</w:t>
      </w:r>
    </w:p>
    <w:p w:rsidR="006B1499" w:rsidRDefault="006B1499" w:rsidP="006B1499">
      <w:r>
        <w:t xml:space="preserve"> </w:t>
      </w:r>
    </w:p>
    <w:p w:rsidR="006B1499" w:rsidRDefault="00F7383F" w:rsidP="006B1499">
      <w:pPr>
        <w:rPr>
          <w:rFonts w:ascii="Cambria Math" w:hAnsi="Cambria Math"/>
        </w:rPr>
      </w:pPr>
      <m:oMathPara>
        <m:oMath>
          <m:sSub>
            <m:sSubPr>
              <m:ctrlPr>
                <w:rPr>
                  <w:rFonts w:ascii="Cambria Math" w:hAnsi="Cambria Math"/>
                </w:rPr>
              </m:ctrlPr>
            </m:sSubPr>
            <m:e>
              <m:r>
                <w:rPr>
                  <w:rFonts w:ascii="Cambria Math" w:hAnsi="Cambria Math"/>
                </w:rPr>
                <m:t>MobilVal</m:t>
              </m:r>
            </m:e>
            <m:sub>
              <m:r>
                <m:rPr>
                  <m:sty m:val="p"/>
                </m:rPr>
                <w:rPr>
                  <w:rFonts w:ascii="Cambria Math" w:hAnsi="Cambria Math"/>
                </w:rPr>
                <m:t>t</m:t>
              </m:r>
            </m:sub>
          </m:sSub>
          <m:r>
            <m:rPr>
              <m:nor/>
            </m:rPr>
            <w:rPr>
              <w:rFonts w:ascii="Cambria Math" w:hAnsi="Cambria Math"/>
            </w:rPr>
            <m:t xml:space="preserve"> = 43.9383 + 1.4051 </m:t>
          </m:r>
          <m:r>
            <m:rPr>
              <m:nor/>
            </m:rPr>
            <w:rPr>
              <w:rFonts w:ascii="Cambria Math" w:hAnsi="Cambria Math" w:cs="Menlo Regular"/>
            </w:rPr>
            <m:t xml:space="preserve">* </m:t>
          </m:r>
          <m:sSub>
            <m:sSubPr>
              <m:ctrlPr>
                <w:rPr>
                  <w:rFonts w:ascii="Cambria Math" w:hAnsi="Cambria Math" w:cs="Menlo Regular"/>
                </w:rPr>
              </m:ctrlPr>
            </m:sSubPr>
            <m:e>
              <m:r>
                <w:rPr>
                  <w:rFonts w:ascii="Cambria Math" w:hAnsi="Cambria Math" w:cs="Menlo Regular"/>
                </w:rPr>
                <m:t>GOVREGQUAL</m:t>
              </m:r>
            </m:e>
            <m:sub>
              <m:r>
                <m:rPr>
                  <m:sty m:val="p"/>
                </m:rPr>
                <w:rPr>
                  <w:rFonts w:ascii="Cambria Math" w:hAnsi="Cambria Math" w:cs="Menlo Regular"/>
                </w:rPr>
                <m:t>t</m:t>
              </m:r>
            </m:sub>
          </m:sSub>
          <m:r>
            <m:rPr>
              <m:nor/>
            </m:rPr>
            <w:rPr>
              <w:rFonts w:ascii="Cambria Math" w:hAnsi="Cambria Math" w:cs="Menlo Regular"/>
            </w:rPr>
            <m:t xml:space="preserve"> </m:t>
          </m:r>
          <m:r>
            <m:rPr>
              <m:nor/>
            </m:rPr>
            <w:rPr>
              <w:rFonts w:ascii="Cambria Math" w:hAnsi="Cambria Math"/>
            </w:rPr>
            <m:t xml:space="preserve">+ 23.9194 </m:t>
          </m:r>
          <m:r>
            <m:rPr>
              <m:nor/>
            </m:rPr>
            <w:rPr>
              <w:rFonts w:ascii="Cambria Math" w:hAnsi="Cambria Math" w:cs="Menlo Regular"/>
            </w:rPr>
            <m:t xml:space="preserve">* </m:t>
          </m:r>
          <m:func>
            <m:funcPr>
              <m:ctrlPr>
                <w:rPr>
                  <w:rFonts w:ascii="Cambria Math" w:hAnsi="Cambria Math"/>
                </w:rPr>
              </m:ctrlPr>
            </m:funcPr>
            <m:fName>
              <m:r>
                <m:rPr>
                  <m:nor/>
                </m:rPr>
                <w:rPr>
                  <w:rFonts w:ascii="Cambria Math" w:hAnsi="Cambria Math"/>
                </w:rPr>
                <m:t>ln</m:t>
              </m:r>
              <m:ctrlPr>
                <w:rPr>
                  <w:rFonts w:ascii="Cambria Math" w:hAnsi="Cambria Math"/>
                  <w:i/>
                </w:rPr>
              </m:ctrlPr>
            </m:fName>
            <m:e>
              <m:d>
                <m:dPr>
                  <m:ctrlPr>
                    <w:rPr>
                      <w:rFonts w:ascii="Cambria Math" w:hAnsi="Cambria Math"/>
                      <w:i/>
                    </w:rPr>
                  </m:ctrlPr>
                </m:dPr>
                <m:e>
                  <m:sSub>
                    <m:sSubPr>
                      <m:ctrlPr>
                        <w:rPr>
                          <w:rFonts w:ascii="Cambria Math" w:hAnsi="Cambria Math" w:cs="STIXGeneral"/>
                        </w:rPr>
                      </m:ctrlPr>
                    </m:sSubPr>
                    <m:e>
                      <m:r>
                        <w:rPr>
                          <w:rFonts w:ascii="Cambria Math" w:hAnsi="Cambria Math" w:cs="STIXGeneral"/>
                        </w:rPr>
                        <m:t>GDPPCP</m:t>
                      </m:r>
                    </m:e>
                    <m:sub>
                      <m:r>
                        <m:rPr>
                          <m:sty m:val="p"/>
                        </m:rPr>
                        <w:rPr>
                          <w:rFonts w:ascii="Cambria Math" w:hAnsi="Cambria Math" w:cs="STIXGeneral"/>
                        </w:rPr>
                        <m:t>t</m:t>
                      </m:r>
                    </m:sub>
                  </m:sSub>
                </m:e>
              </m:d>
            </m:e>
          </m:func>
        </m:oMath>
      </m:oMathPara>
    </w:p>
    <w:p w:rsidR="006B1499" w:rsidRDefault="00F7383F" w:rsidP="006B1499">
      <w:pPr>
        <w:rPr>
          <w:rFonts w:ascii="Cambria Math" w:hAnsi="Cambria Math"/>
        </w:rPr>
      </w:pPr>
      <m:oMathPara>
        <m:oMath>
          <m:sSub>
            <m:sSubPr>
              <m:ctrlPr>
                <w:rPr>
                  <w:rFonts w:ascii="Cambria Math" w:hAnsi="Cambria Math"/>
                </w:rPr>
              </m:ctrlPr>
            </m:sSubPr>
            <m:e>
              <m:r>
                <w:rPr>
                  <w:rFonts w:ascii="Cambria Math" w:hAnsi="Cambria Math"/>
                </w:rPr>
                <m:t>MobilS</m:t>
              </m:r>
              <m:r>
                <w:rPr>
                  <w:rFonts w:ascii="Lucida Sans Unicode" w:hAnsi="Lucida Sans Unicode" w:cs="Lucida Sans Unicode"/>
                </w:rPr>
                <m:t>h</m:t>
              </m:r>
              <m:r>
                <w:rPr>
                  <w:rFonts w:ascii="Cambria Math" w:hAnsi="Cambria Math"/>
                </w:rPr>
                <m:t>ift</m:t>
              </m:r>
              <m:r>
                <w:rPr>
                  <w:rFonts w:ascii="Cambria Math" w:hAnsi="Cambria Math"/>
                </w:rPr>
                <m:t xml:space="preserve"> </m:t>
              </m:r>
            </m:e>
            <m:sub/>
          </m:sSub>
          <m:r>
            <m:rPr>
              <m:nor/>
            </m:rPr>
            <w:rPr>
              <w:rFonts w:ascii="Cambria Math" w:hAnsi="Cambria Math"/>
            </w:rPr>
            <m:t xml:space="preserve">= </m:t>
          </m:r>
          <m:sSub>
            <m:sSubPr>
              <m:ctrlPr>
                <w:rPr>
                  <w:rFonts w:ascii="Cambria Math" w:hAnsi="Cambria Math"/>
                </w:rPr>
              </m:ctrlPr>
            </m:sSubPr>
            <m:e>
              <m:r>
                <w:rPr>
                  <w:rFonts w:ascii="Cambria Math" w:hAnsi="Cambria Math"/>
                </w:rPr>
                <m:t>ICTMOBIL</m:t>
              </m:r>
            </m:e>
            <m:sub>
              <m:r>
                <m:rPr>
                  <m:sty m:val="p"/>
                </m:rPr>
                <w:rPr>
                  <w:rFonts w:ascii="Cambria Math" w:hAnsi="Cambria Math"/>
                </w:rPr>
                <m:t>t=0</m:t>
              </m:r>
            </m:sub>
          </m:sSub>
          <m:r>
            <m:rPr>
              <m:nor/>
            </m:rPr>
            <w:rPr>
              <w:rFonts w:ascii="Cambria Math" w:hAnsi="Cambria Math"/>
            </w:rPr>
            <m:t xml:space="preserve"> - </m:t>
          </m:r>
          <m:sSub>
            <m:sSubPr>
              <m:ctrlPr>
                <w:rPr>
                  <w:rFonts w:ascii="Cambria Math" w:hAnsi="Cambria Math"/>
                </w:rPr>
              </m:ctrlPr>
            </m:sSubPr>
            <m:e>
              <m:r>
                <w:rPr>
                  <w:rFonts w:ascii="Cambria Math" w:hAnsi="Cambria Math"/>
                </w:rPr>
                <m:t>MobilVal</m:t>
              </m:r>
            </m:e>
            <m:sub>
              <m:r>
                <m:rPr>
                  <m:sty m:val="p"/>
                </m:rPr>
                <w:rPr>
                  <w:rFonts w:ascii="Cambria Math" w:hAnsi="Cambria Math"/>
                </w:rPr>
                <m:t>t=0</m:t>
              </m:r>
            </m:sub>
          </m:sSub>
        </m:oMath>
      </m:oMathPara>
    </w:p>
    <w:p w:rsidR="00597AF3" w:rsidRDefault="00F7383F" w:rsidP="006B1499">
      <w:pPr>
        <w:rPr>
          <w:oMath/>
          <w:rFonts w:ascii="Wingdings 2" w:hAnsi="Cambria Math"/>
        </w:rPr>
      </w:pPr>
      <m:oMathPara>
        <m:oMath>
          <m:sSub>
            <m:sSubPr>
              <m:ctrlPr>
                <w:rPr>
                  <w:rFonts w:ascii="Cambria Math" w:hAnsi="Cambria Math"/>
                </w:rPr>
              </m:ctrlPr>
            </m:sSubPr>
            <m:e>
              <m:r>
                <w:rPr>
                  <w:rFonts w:ascii="Cambria Math" w:hAnsi="Cambria Math"/>
                </w:rPr>
                <m:t>ICTMobilCS</m:t>
              </m:r>
            </m:e>
            <m:sub>
              <m:r>
                <m:rPr>
                  <m:sty m:val="p"/>
                </m:rPr>
                <w:rPr>
                  <w:rFonts w:ascii="Cambria Math" w:hAnsi="Cambria Math"/>
                </w:rPr>
                <m:t>t</m:t>
              </m:r>
            </m:sub>
          </m:sSub>
          <m:r>
            <m:rPr>
              <m:nor/>
            </m:rPr>
            <w:rPr>
              <w:rFonts w:ascii="Cambria Math" w:hAnsi="Cambria Math"/>
            </w:rPr>
            <m:t xml:space="preserve"> = </m:t>
          </m:r>
          <m:sSub>
            <m:sSubPr>
              <m:ctrlPr>
                <w:rPr>
                  <w:rFonts w:ascii="Cambria Math" w:hAnsi="Cambria Math"/>
                </w:rPr>
              </m:ctrlPr>
            </m:sSubPr>
            <m:e>
              <m:r>
                <w:rPr>
                  <w:rFonts w:ascii="Cambria Math" w:hAnsi="Cambria Math"/>
                </w:rPr>
                <m:t>MobilVal</m:t>
              </m:r>
            </m:e>
            <m:sub>
              <m:r>
                <m:rPr>
                  <m:sty m:val="p"/>
                </m:rPr>
                <w:rPr>
                  <w:rFonts w:ascii="Cambria Math" w:hAnsi="Cambria Math"/>
                </w:rPr>
                <m:t>t</m:t>
              </m:r>
            </m:sub>
          </m:sSub>
          <m:r>
            <m:rPr>
              <m:nor/>
            </m:rPr>
            <w:rPr>
              <w:rFonts w:ascii="Cambria Math" w:hAnsi="Cambria Math"/>
            </w:rPr>
            <m:t xml:space="preserve"> + f (MobilShift)</m:t>
          </m:r>
        </m:oMath>
      </m:oMathPara>
    </w:p>
    <w:p w:rsidR="006B1499" w:rsidRDefault="006B1499" w:rsidP="006B1499">
      <w:pPr>
        <w:rPr>
          <w:rFonts w:ascii="Cambria Math" w:hAnsi="Cambria Math"/>
        </w:rPr>
      </w:pPr>
      <m:oMathPara>
        <m:oMath>
          <m:r>
            <m:rPr>
              <m:nor/>
            </m:rPr>
            <w:rPr>
              <w:rFonts w:ascii="Wingdings 2" w:hAnsi="Cambria Math"/>
            </w:rPr>
            <m:t xml:space="preserve"> </m:t>
          </m:r>
        </m:oMath>
      </m:oMathPara>
    </w:p>
    <w:p w:rsidR="006B1499" w:rsidRDefault="006B1499" w:rsidP="006B1499">
      <w:pPr>
        <w:rPr>
          <w:rFonts w:ascii="Cambria Math" w:hAnsi="Cambria Math"/>
        </w:rPr>
      </w:pPr>
      <w:r>
        <w:rPr>
          <w:rFonts w:ascii="Cambria Math" w:hAnsi="Cambria Math"/>
        </w:rPr>
        <w:t>where</w:t>
      </w:r>
    </w:p>
    <w:p w:rsidR="00597AF3" w:rsidRDefault="006B1499" w:rsidP="006B1499">
      <w:pPr>
        <w:ind w:left="720"/>
        <w:rPr>
          <w:rFonts w:ascii="Cambria Math" w:hAnsi="Cambria Math"/>
        </w:rPr>
      </w:pPr>
      <w:r>
        <w:rPr>
          <w:rFonts w:ascii="Cambria Math" w:hAnsi="Cambria Math"/>
        </w:rPr>
        <w:t>t is time, ICTMOBIL is the mobile phone subscription per 100 persons, GDPPCP is GDP per capita in 1000 2005 PPP dollars, GOVREGQUAL is an index of governance regulatory quality with a range of value from 0 to 5 initialized with World Bank's data on that measure, and ln stands for natural logarithm.</w:t>
      </w:r>
    </w:p>
    <w:p w:rsidR="006B1499" w:rsidRDefault="006B1499" w:rsidP="006B1499">
      <w:pPr>
        <w:ind w:left="720"/>
        <w:rPr>
          <w:rFonts w:ascii="Cambria Math" w:hAnsi="Cambria Math"/>
        </w:rPr>
      </w:pPr>
    </w:p>
    <w:p w:rsidR="00597AF3" w:rsidRDefault="006B1499" w:rsidP="006B1499">
      <w:r>
        <w:t xml:space="preserve">Annual growth (or decline) in subscription rate resulting from the cross-sectional approach is then calculated. </w:t>
      </w:r>
    </w:p>
    <w:p w:rsidR="006B1499" w:rsidRDefault="006B1499" w:rsidP="006B1499"/>
    <w:p w:rsidR="00597AF3" w:rsidRDefault="006B1499" w:rsidP="006B1499">
      <w:pPr>
        <w:rPr>
          <w:oMath/>
          <w:rFonts w:ascii="Wingdings 2" w:hAnsi="Cambria Math"/>
        </w:rPr>
      </w:pPr>
      <m:oMathPara>
        <m:oMath>
          <m:r>
            <m:rPr>
              <m:nor/>
            </m:rPr>
            <w:rPr>
              <w:rFonts w:ascii="Cambria Math" w:hAnsi="Cambria Math"/>
            </w:rPr>
            <m:t xml:space="preserve">incCS = </m:t>
          </m:r>
          <m:sSub>
            <m:sSubPr>
              <m:ctrlPr>
                <w:rPr>
                  <w:rFonts w:ascii="Cambria Math" w:hAnsi="Cambria Math"/>
                </w:rPr>
              </m:ctrlPr>
            </m:sSubPr>
            <m:e>
              <m:r>
                <w:rPr>
                  <w:rFonts w:ascii="Cambria Math" w:hAnsi="Cambria Math"/>
                </w:rPr>
                <m:t>ICTMobilCS</m:t>
              </m:r>
            </m:e>
            <m:sub>
              <m:r>
                <m:rPr>
                  <m:sty m:val="p"/>
                </m:rPr>
                <w:rPr>
                  <w:rFonts w:ascii="Cambria Math" w:hAnsi="Cambria Math"/>
                </w:rPr>
                <m:t>t</m:t>
              </m:r>
            </m:sub>
          </m:sSub>
          <m:r>
            <m:rPr>
              <m:nor/>
            </m:rPr>
            <w:rPr>
              <w:rFonts w:ascii="Cambria Math" w:hAnsi="Cambria Math"/>
            </w:rPr>
            <m:t xml:space="preserve"> -</m:t>
          </m:r>
          <m:r>
            <m:rPr>
              <m:nor/>
            </m:rPr>
            <w:rPr>
              <w:rFonts w:ascii="Wingdings 2" w:hAnsi="Cambria Math"/>
            </w:rPr>
            <m:t xml:space="preserve"> </m:t>
          </m:r>
          <m:r>
            <m:rPr>
              <m:nor/>
            </m:rPr>
            <w:rPr>
              <w:rFonts w:ascii="Cambria Math" w:hAnsi="Cambria Math"/>
            </w:rPr>
            <m:t xml:space="preserve"> </m:t>
          </m:r>
          <m:sSub>
            <m:sSubPr>
              <m:ctrlPr>
                <w:rPr>
                  <w:rFonts w:ascii="Cambria Math" w:hAnsi="Cambria Math"/>
                </w:rPr>
              </m:ctrlPr>
            </m:sSubPr>
            <m:e>
              <m:r>
                <w:rPr>
                  <w:rFonts w:ascii="Cambria Math" w:hAnsi="Cambria Math"/>
                </w:rPr>
                <m:t>ICTMOBIL</m:t>
              </m:r>
            </m:e>
            <m:sub>
              <m:r>
                <m:rPr>
                  <m:sty m:val="p"/>
                </m:rPr>
                <w:rPr>
                  <w:rFonts w:ascii="Cambria Math" w:hAnsi="Cambria Math"/>
                </w:rPr>
                <m:t>t-1</m:t>
              </m:r>
            </m:sub>
          </m:sSub>
        </m:oMath>
      </m:oMathPara>
    </w:p>
    <w:p w:rsidR="006B1499" w:rsidRDefault="006B1499" w:rsidP="006B1499"/>
    <w:p w:rsidR="00B53D73" w:rsidRDefault="006B1499" w:rsidP="006B1499">
      <w:r>
        <w:t>The cross-sectional approach captures the time-specific patterns for the year of its estimation. It does not, however, represent the rapid diffusion of access that we have been experiencing (see again Figure 4.7). The combination of the time-specific pattern and that fast diffusion or "technological shift", caused by various systemic factors</w:t>
      </w:r>
      <w:r>
        <w:rPr>
          <w:rStyle w:val="FootnoteReference"/>
        </w:rPr>
        <w:footnoteReference w:id="72"/>
      </w:r>
      <w:r>
        <w:t xml:space="preserve"> from product and process innovation to network effects, is captured in IFs through an S-shaped growth path, the growth parameters of which are determined by an analysis of the historical data. For mobile phones, we have come up with a maximum combined (cross-sectional plus technological shift) growth rate of 3 percent at the inflection point and a minimum growth rate of 1 percent. We also have an upper bound of 150 percent on the subscription rate itself. The maximum growth rate is supposed to occur at the inflection point, i.e., subscription rate of 75 percent. </w:t>
      </w:r>
    </w:p>
    <w:p w:rsidR="006B1499" w:rsidRDefault="006B1499" w:rsidP="006B1499"/>
    <w:p w:rsidR="00B53D73" w:rsidRDefault="006B1499" w:rsidP="006B1499">
      <w:pPr>
        <w:rPr>
          <w:oMath/>
          <w:rFonts w:ascii="Wingdings 2" w:hAnsi="Cambria Math"/>
        </w:rPr>
      </w:pPr>
      <m:oMathPara>
        <m:oMath>
          <m:r>
            <m:rPr>
              <m:nor/>
            </m:rPr>
            <w:rPr>
              <w:rFonts w:ascii="Cambria Math" w:hAnsi="Cambria Math"/>
            </w:rPr>
            <m:t>incTec =</m:t>
          </m:r>
          <m:r>
            <m:rPr>
              <m:nor/>
            </m:rPr>
            <w:rPr>
              <w:rFonts w:ascii="Wingdings 2" w:hAnsi="Cambria Math"/>
            </w:rPr>
            <m:t xml:space="preserve"> </m:t>
          </m:r>
          <m:r>
            <m:rPr>
              <m:nor/>
            </m:rPr>
            <w:rPr>
              <w:rFonts w:ascii="Cambria Math" w:hAnsi="Cambria Math"/>
            </w:rPr>
            <m:t xml:space="preserve">f( </m:t>
          </m:r>
          <m:sSub>
            <m:sSubPr>
              <m:ctrlPr>
                <w:rPr>
                  <w:rFonts w:ascii="Cambria Math" w:hAnsi="Cambria Math"/>
                </w:rPr>
              </m:ctrlPr>
            </m:sSubPr>
            <m:e>
              <m:r>
                <w:rPr>
                  <w:rFonts w:ascii="Cambria Math" w:hAnsi="Cambria Math"/>
                </w:rPr>
                <m:t>ICTMOBIL</m:t>
              </m:r>
            </m:e>
            <m:sub>
              <m:r>
                <m:rPr>
                  <m:sty m:val="p"/>
                </m:rPr>
                <w:rPr>
                  <w:rFonts w:ascii="Cambria Math" w:hAnsi="Cambria Math"/>
                </w:rPr>
                <m:t>t-1,</m:t>
              </m:r>
              <m:r>
                <m:rPr>
                  <m:sty m:val="p"/>
                </m:rPr>
                <w:rPr>
                  <w:rFonts w:ascii="Wingdings 2" w:hAnsi="Cambria Math"/>
                </w:rPr>
                <m:t xml:space="preserve"> </m:t>
              </m:r>
            </m:sub>
          </m:sSub>
          <m:r>
            <m:rPr>
              <m:sty m:val="p"/>
            </m:rPr>
            <w:rPr>
              <w:rFonts w:ascii="Cambria Math" w:hAnsi="Cambria Math"/>
            </w:rPr>
            <m:t xml:space="preserve"> ictmobiltechighrt, ictmobilteclowrt)</m:t>
          </m:r>
        </m:oMath>
      </m:oMathPara>
    </w:p>
    <w:p w:rsidR="006B1499" w:rsidRDefault="006B1499" w:rsidP="006B1499"/>
    <w:p w:rsidR="006B1499" w:rsidRDefault="006B1499" w:rsidP="006B1499">
      <w:r>
        <w:t xml:space="preserve">where </w:t>
      </w:r>
    </w:p>
    <w:p w:rsidR="00B53D73" w:rsidRDefault="006B1499" w:rsidP="006B1499">
      <w:pPr>
        <w:ind w:left="720"/>
      </w:pPr>
      <w:r>
        <w:t>ictmobiltechighrt and ictmobilteclowrt are the maximum and minimum growth rates described above.</w:t>
      </w:r>
    </w:p>
    <w:p w:rsidR="006B1499" w:rsidRDefault="006B1499" w:rsidP="006B1499">
      <w:pPr>
        <w:ind w:left="720"/>
      </w:pPr>
    </w:p>
    <w:p w:rsidR="006B1499" w:rsidRDefault="006B1499" w:rsidP="006B1499">
      <m:oMathPara>
        <m:oMath>
          <m:r>
            <m:rPr>
              <m:nor/>
            </m:rPr>
            <w:rPr>
              <w:rFonts w:ascii="Cambria Math" w:hAnsi="Cambria Math"/>
            </w:rPr>
            <m:t>incTot =</m:t>
          </m:r>
          <m:r>
            <m:rPr>
              <m:nor/>
            </m:rPr>
            <w:rPr>
              <w:rFonts w:ascii="Wingdings 2" w:hAnsi="Cambria Math"/>
            </w:rPr>
            <m:t xml:space="preserve"> </m:t>
          </m:r>
          <m:r>
            <m:rPr>
              <m:nor/>
            </m:rPr>
            <w:rPr>
              <w:rFonts w:ascii="Cambria Math" w:hAnsi="Cambria Math"/>
            </w:rPr>
            <m:t>incTec+incCS</m:t>
          </m:r>
        </m:oMath>
      </m:oMathPara>
    </w:p>
    <w:p w:rsidR="00B53D73" w:rsidRDefault="00F7383F" w:rsidP="006B1499">
      <w:pPr>
        <w:rPr>
          <w:oMath/>
          <w:rFonts w:ascii="Wingdings 2" w:hAnsi="Cambria Math"/>
        </w:rPr>
      </w:pPr>
      <m:oMathPara>
        <m:oMath>
          <m:sSub>
            <m:sSubPr>
              <m:ctrlPr>
                <w:rPr>
                  <w:rFonts w:ascii="Cambria Math" w:hAnsi="Cambria Math"/>
                </w:rPr>
              </m:ctrlPr>
            </m:sSubPr>
            <m:e>
              <m:r>
                <w:rPr>
                  <w:rFonts w:ascii="Cambria Math" w:hAnsi="Cambria Math"/>
                </w:rPr>
                <m:t>ICTMOBIL</m:t>
              </m:r>
            </m:e>
            <m:sub>
              <m:r>
                <m:rPr>
                  <m:sty m:val="p"/>
                </m:rPr>
                <w:rPr>
                  <w:rFonts w:ascii="Cambria Math" w:hAnsi="Cambria Math"/>
                </w:rPr>
                <m:t>t</m:t>
              </m:r>
            </m:sub>
          </m:sSub>
          <m:r>
            <m:rPr>
              <m:nor/>
            </m:rPr>
            <w:rPr>
              <w:rFonts w:ascii="Cambria Math" w:hAnsi="Cambria Math"/>
            </w:rPr>
            <m:t xml:space="preserve"> =</m:t>
          </m:r>
          <m:r>
            <m:rPr>
              <m:nor/>
            </m:rPr>
            <w:rPr>
              <w:rFonts w:ascii="Wingdings 2" w:hAnsi="Cambria Math"/>
            </w:rPr>
            <m:t xml:space="preserve"> </m:t>
          </m:r>
          <m:r>
            <m:rPr>
              <m:nor/>
            </m:rPr>
            <w:rPr>
              <w:rFonts w:ascii="Cambria Math" w:hAnsi="Cambria Math"/>
            </w:rPr>
            <m:t xml:space="preserve"> </m:t>
          </m:r>
          <m:sSub>
            <m:sSubPr>
              <m:ctrlPr>
                <w:rPr>
                  <w:rFonts w:ascii="Cambria Math" w:hAnsi="Cambria Math"/>
                </w:rPr>
              </m:ctrlPr>
            </m:sSubPr>
            <m:e>
              <m:r>
                <w:rPr>
                  <w:rFonts w:ascii="Cambria Math" w:hAnsi="Cambria Math"/>
                </w:rPr>
                <m:t>ICTMOBIL</m:t>
              </m:r>
            </m:e>
            <m:sub>
              <m:r>
                <m:rPr>
                  <m:sty m:val="p"/>
                </m:rPr>
                <w:rPr>
                  <w:rFonts w:ascii="Cambria Math" w:hAnsi="Cambria Math"/>
                </w:rPr>
                <m:t>t-1</m:t>
              </m:r>
            </m:sub>
          </m:sSub>
          <m:r>
            <m:rPr>
              <m:sty m:val="p"/>
            </m:rPr>
            <w:rPr>
              <w:rFonts w:ascii="Cambria Math" w:hAnsi="Cambria Math"/>
            </w:rPr>
            <m:t xml:space="preserve">+ incTot </m:t>
          </m:r>
        </m:oMath>
      </m:oMathPara>
    </w:p>
    <w:p w:rsidR="006B1499" w:rsidRDefault="006B1499" w:rsidP="006B1499"/>
    <w:p w:rsidR="006B1499" w:rsidRPr="004F1F9C" w:rsidRDefault="006B1499" w:rsidP="006B1499">
      <w:r w:rsidRPr="004F1F9C">
        <w:t>As with the other forms of infrastructure, prior to moving to our financial forecasts, we convert the forecasted demand for the four indicators of ICT infrastructure, which are given in terms of per 100 persons, to actual numbers of subscriptions. In this case, this is done in a quite straightforward fashion by multiplying by total population.</w:t>
      </w:r>
    </w:p>
    <w:p w:rsidR="006B1499" w:rsidRDefault="006B1499" w:rsidP="006B1499"/>
    <w:p w:rsidR="006B1499" w:rsidRPr="004F1F9C" w:rsidRDefault="006B1499" w:rsidP="006B1499">
      <w:pPr>
        <w:jc w:val="center"/>
      </w:pPr>
      <w:r w:rsidRPr="00B54392">
        <w:rPr>
          <w:noProof/>
        </w:rPr>
        <w:drawing>
          <wp:inline distT="0" distB="0" distL="0" distR="0">
            <wp:extent cx="5491480" cy="3337560"/>
            <wp:effectExtent l="25400" t="25400" r="20320" b="0"/>
            <wp:docPr id="72" name="C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6B1499" w:rsidRPr="004F1F9C" w:rsidRDefault="006B1499" w:rsidP="006B1499">
      <w:r w:rsidRPr="004F1F9C">
        <w:rPr>
          <w:b/>
        </w:rPr>
        <w:t xml:space="preserve">Figure 4.7 Relationship between </w:t>
      </w:r>
      <w:r>
        <w:rPr>
          <w:b/>
        </w:rPr>
        <w:t>m</w:t>
      </w:r>
      <w:r w:rsidRPr="004F1F9C">
        <w:rPr>
          <w:b/>
        </w:rPr>
        <w:t xml:space="preserve">obile </w:t>
      </w:r>
      <w:r>
        <w:rPr>
          <w:b/>
        </w:rPr>
        <w:t>t</w:t>
      </w:r>
      <w:r w:rsidRPr="004F1F9C">
        <w:rPr>
          <w:b/>
        </w:rPr>
        <w:t xml:space="preserve">elephone </w:t>
      </w:r>
      <w:r>
        <w:rPr>
          <w:b/>
        </w:rPr>
        <w:t>s</w:t>
      </w:r>
      <w:r w:rsidRPr="004F1F9C">
        <w:rPr>
          <w:b/>
        </w:rPr>
        <w:t xml:space="preserve">ubscriptions and </w:t>
      </w:r>
      <w:r>
        <w:rPr>
          <w:b/>
        </w:rPr>
        <w:t>a</w:t>
      </w:r>
      <w:r w:rsidRPr="004F1F9C">
        <w:rPr>
          <w:b/>
        </w:rPr>
        <w:t xml:space="preserve">verage </w:t>
      </w:r>
      <w:r>
        <w:rPr>
          <w:b/>
        </w:rPr>
        <w:t>i</w:t>
      </w:r>
      <w:r w:rsidRPr="004F1F9C">
        <w:rPr>
          <w:b/>
        </w:rPr>
        <w:t>ncome at various points in time</w:t>
      </w:r>
    </w:p>
    <w:p w:rsidR="006B1499" w:rsidRPr="004F1F9C" w:rsidRDefault="006B1499" w:rsidP="006B1499">
      <w:pPr>
        <w:rPr>
          <w:i/>
        </w:rPr>
      </w:pPr>
      <w:r w:rsidRPr="004F1F9C">
        <w:rPr>
          <w:i/>
        </w:rPr>
        <w:t>Source: WDI and ITU databases</w:t>
      </w:r>
    </w:p>
    <w:p w:rsidR="006B1499" w:rsidRPr="004F1F9C" w:rsidRDefault="006B1499" w:rsidP="00877E30">
      <w:pPr>
        <w:pStyle w:val="Heading3"/>
        <w:numPr>
          <w:ilvl w:val="2"/>
          <w:numId w:val="32"/>
        </w:numPr>
      </w:pPr>
      <w:bookmarkStart w:id="119" w:name="_Toc326061520"/>
      <w:bookmarkStart w:id="120" w:name="_Toc200095302"/>
      <w:r w:rsidRPr="004F1F9C">
        <w:t>Translating the demand for physical infrastructure into financial demand</w:t>
      </w:r>
      <w:bookmarkEnd w:id="119"/>
      <w:bookmarkEnd w:id="120"/>
    </w:p>
    <w:p w:rsidR="00B53D73" w:rsidRDefault="006B1499" w:rsidP="006B1499">
      <w:pPr>
        <w:keepLines/>
      </w:pPr>
      <w:r w:rsidRPr="004F1F9C">
        <w:t xml:space="preserve">In estimating the demand for infrastructure funding, we adopt the approach introduced by Fay </w:t>
      </w:r>
      <w:r w:rsidR="00F7383F" w:rsidRPr="00F7383F">
        <w:fldChar w:fldCharType="begin"/>
      </w:r>
      <w:r>
        <w:instrText xml:space="preserve"> ADDIN ZOTERO_ITEM CSL_CITATION {"citationID":"wsqPEkQg","properties":{"formattedCitation":"(2001)","plainCitation":"(2001)"},"citationItems":[{"id":480,"uris":["http://zotero.org/groups/4482/items/KQS277CN"],"uri":["http://zotero.org/groups/4482/items/KQS277CN"],"itemData":{"id":480,"type":"manuscript","title":"Financing the Future: Infrastructure Needs in Latin America, 2000-05","publisher-place":"Washington, DC","genre":"Policy Research Working Paper no. 2545","event-place":"Washington, DC","URL":"http://elibrary.worldbank.org/docserver/download/2545.pdf?expires=1311613909&amp;id=id&amp;accname=guest&amp;checksum=ACB78371906738C5C8D3387D4EEAA8ED","note":"World Bank","shortTitle":"Financing the Future","author":[{"family":"Fay","given":"Marianne"}],"issued":{"year":2001}},"suppress-author":true}],"schema":"https://github.com/citation-style-language/schema/raw/master/csl-citation.json"} </w:instrText>
      </w:r>
      <w:r w:rsidR="00F7383F" w:rsidRPr="00F7383F">
        <w:fldChar w:fldCharType="separate"/>
      </w:r>
      <w:r w:rsidRPr="004F1F9C">
        <w:rPr>
          <w:rFonts w:cs="Calibri"/>
        </w:rPr>
        <w:t>(2001)</w:t>
      </w:r>
      <w:r w:rsidR="00F7383F" w:rsidRPr="004F1F9C">
        <w:rPr>
          <w:rFonts w:cs="Calibri"/>
        </w:rPr>
        <w:fldChar w:fldCharType="end"/>
      </w:r>
      <w:r w:rsidRPr="004F1F9C">
        <w:t xml:space="preserve"> and Fay and Yepes </w:t>
      </w:r>
      <w:r w:rsidR="00F7383F" w:rsidRPr="00F7383F">
        <w:fldChar w:fldCharType="begin"/>
      </w:r>
      <w:r>
        <w:instrText xml:space="preserve"> ADDIN ZOTERO_ITEM CSL_CITATION {"citationID":"2WmVHTXo","properties":{"formattedCitation":"(2003)","plainCitation":"(2003)"},"citationItems":[{"id":1138,"uris":["http://zotero.org/groups/4482/items/4BPWRAEZ"],"uri":["http://zotero.org/groups/4482/items/4BPWRAEZ"],"itemData":{"id":1138,"type":"manuscript","title":"Investing in Infrastructure: What Is Needed from 2000 to 2010?","publisher-place":"Washington, DC","genre":"Policy Research Working Paper no. 3102","archive":"RePEc","event-place":"Washington, DC","URL":"http://ideas.repec.org/p/wbk/wbrwps/3102.html","call-number":"0154","note":"World Bank","shortTitle":"Investing in Infrastructure","author":[{"family":"Fay","given":"Marianne"},{"family":"Yepes","given":"Tito"}],"issued":{"year":2003},"accessed":{"year":2009,"month":11,"day":23}},"suppress-author":true}],"schema":"https://github.com/citation-style-language/schema/raw/master/csl-citation.json"} </w:instrText>
      </w:r>
      <w:r w:rsidR="00F7383F" w:rsidRPr="00F7383F">
        <w:fldChar w:fldCharType="separate"/>
      </w:r>
      <w:r w:rsidRPr="004F1F9C">
        <w:rPr>
          <w:rFonts w:cs="Calibri"/>
        </w:rPr>
        <w:t>(2003)</w:t>
      </w:r>
      <w:r w:rsidR="00F7383F" w:rsidRPr="004F1F9C">
        <w:rPr>
          <w:rFonts w:cs="Calibri"/>
        </w:rPr>
        <w:fldChar w:fldCharType="end"/>
      </w:r>
      <w:r w:rsidRPr="004F1F9C">
        <w:t xml:space="preserve"> described earlier. Recall that in this approach, the demands for physical infrastructure are combined with the cost per unit of infrastructure to estimate the demand for funding for new construction and maintenance. We will focus here on some of the s</w:t>
      </w:r>
      <w:r w:rsidR="00B53D73">
        <w:t>pecifics of our implementation.</w:t>
      </w:r>
    </w:p>
    <w:p w:rsidR="006B1499" w:rsidRDefault="006B1499" w:rsidP="006B1499">
      <w:pPr>
        <w:keepLines/>
      </w:pPr>
    </w:p>
    <w:p w:rsidR="00B53D73" w:rsidRDefault="006B1499" w:rsidP="006B1499">
      <w:pPr>
        <w:keepLines/>
      </w:pPr>
      <w:r>
        <w:t>In our model, demands for infrastructure in most cases are first estimated as access rates, for example, rate of access to improved sanitation. We multiply the desired access rates with the appropriate variable (e.g., number of households) to obtain the absolute amounts of physical infrastructure (number of households with improved sanitation). Forecast on population variables are obtained from IFs population module forecasts that runs simultaneously with the infrastructure module.</w:t>
      </w:r>
    </w:p>
    <w:p w:rsidR="006B1499" w:rsidRDefault="006B1499" w:rsidP="006B1499">
      <w:pPr>
        <w:keepLines/>
      </w:pPr>
    </w:p>
    <w:p w:rsidR="00B53D73" w:rsidRDefault="006B1499" w:rsidP="006B1499">
      <w:pPr>
        <w:keepLines/>
      </w:pPr>
      <w:r>
        <w:t xml:space="preserve">A critical issue is </w:t>
      </w:r>
      <w:r w:rsidRPr="004F1F9C">
        <w:t>determination of the unit costs and the relative share of funding that we estimate to come from private and public sources.</w:t>
      </w:r>
      <w:r>
        <w:t xml:space="preserve"> </w:t>
      </w:r>
      <w:r w:rsidRPr="004F1F9C">
        <w:t xml:space="preserve">Earlier we noted that there are a number of questions related to unit costs for each type of infrastructure. Do they differ by country? Do they change depending upon the level of existing infrastructure? Do they change over time? With a few exceptions, most previous studies </w:t>
      </w:r>
      <w:r>
        <w:t xml:space="preserve">have </w:t>
      </w:r>
      <w:r w:rsidRPr="004F1F9C">
        <w:t>held these costs constant across countries, leve</w:t>
      </w:r>
      <w:r w:rsidR="00B53D73">
        <w:t>ls of infrastructure, and time.</w:t>
      </w:r>
    </w:p>
    <w:p w:rsidR="006B1499" w:rsidRDefault="006B1499" w:rsidP="006B1499">
      <w:pPr>
        <w:keepLines/>
      </w:pPr>
    </w:p>
    <w:p w:rsidR="00B53D73" w:rsidRDefault="006B1499" w:rsidP="006B1499">
      <w:pPr>
        <w:keepLines/>
        <w:rPr>
          <w:b/>
        </w:rPr>
      </w:pPr>
      <w:r w:rsidRPr="004F1F9C">
        <w:t xml:space="preserve">In our implementation, we </w:t>
      </w:r>
      <w:r>
        <w:t xml:space="preserve">considered </w:t>
      </w:r>
      <w:r w:rsidRPr="004F1F9C">
        <w:t>assum</w:t>
      </w:r>
      <w:r>
        <w:t>ing</w:t>
      </w:r>
      <w:r w:rsidRPr="004F1F9C">
        <w:t xml:space="preserve">, for most types of infrastructure, that unit costs increase as a function of a country’s level of income (see Figure 4.x). This </w:t>
      </w:r>
      <w:r>
        <w:t xml:space="preserve">would </w:t>
      </w:r>
      <w:r w:rsidRPr="004F1F9C">
        <w:t xml:space="preserve">draw upon work by Stambrook </w:t>
      </w:r>
      <w:r w:rsidR="00F7383F" w:rsidRPr="004F1F9C">
        <w:fldChar w:fldCharType="begin"/>
      </w:r>
      <w:r>
        <w:instrText xml:space="preserve"> ADDIN ZOTERO_ITEM CSL_CITATION {"citationID":"eBvHeMaw","properties":{"formattedCitation":"(2006, 225)","plainCitation":"(2006, 225)"},"citationItems":[{"id":1488,"uris":["http://zotero.org/groups/4482/items/UDM4ZZTC"],"uri":["http://zotero.org/groups/4482/items/UDM4ZZTC"],"itemData":{"id":1488,"type":"chapter","title":"Key Factors Driving the Future Demand for Surface Transport Infrastructure and Services","container-title":"Infrastructure to 2030 Volume 1: Telecom, Land Transport, Water and Electricity","collection-title":"Infrastructure to 2030","publisher":"Organisation for Economic Cooperation and Development (OECD)","publisher-place":"Paris","page":"185-239","event-place":"Paris","abstract":"Infrastructures are the very foundation of modern economies and societies.  Energy, transport, water, telecommunications, all will continue to be essential to future development and growth.  However, infrastructure investment requirements over the coming decades will be massive, running into trillions of dollars.  The bulk of investment will be in the developing world, especially in the major economies such as China, India and Brazil.","ISBN":"9264023984","call-number":"0000","editor":[{"family":"Organisation for Economic Cooperation and Development (OECD)","given":""}],"author":[{"family":"Stambrook","given":"David"}],"issued":{"year":2006},"page-first":"185"},"locator":"225","label":"page","suppress-author":true}],"schema":"https://github.com/citation-style-language/schema/raw/master/csl-citation.json"} </w:instrText>
      </w:r>
      <w:r w:rsidR="00F7383F" w:rsidRPr="004F1F9C">
        <w:fldChar w:fldCharType="separate"/>
      </w:r>
      <w:r w:rsidRPr="004F1F9C">
        <w:rPr>
          <w:rFonts w:cs="Calibri"/>
        </w:rPr>
        <w:t>(2006, 225)</w:t>
      </w:r>
      <w:r w:rsidR="00F7383F" w:rsidRPr="004F1F9C">
        <w:fldChar w:fldCharType="end"/>
      </w:r>
      <w:r w:rsidRPr="004F1F9C">
        <w:t xml:space="preserve">, based upon his review of the mean asset values of paved roads in different countries. He interpreted this pattern as reflecting an increase in the quality of roads as income rises. Another interpretation would be that labor costs tend to increase with average income. </w:t>
      </w:r>
      <w:r>
        <w:t>However, given the extent of studies that have assumed fixed and universal unit costs and given the difficulty of specifying variable costs, especially for infrastructure types beyond roads, we have proceeded with temporally fixed and geographically universal unit costs by infrastructure type (one cost per infrastructure type). [</w:t>
      </w:r>
      <w:r w:rsidRPr="00A54D00">
        <w:rPr>
          <w:b/>
        </w:rPr>
        <w:t xml:space="preserve">We would welcome feedback on this </w:t>
      </w:r>
      <w:r>
        <w:rPr>
          <w:b/>
        </w:rPr>
        <w:t xml:space="preserve">difficult </w:t>
      </w:r>
      <w:r w:rsidRPr="00A54D00">
        <w:rPr>
          <w:b/>
        </w:rPr>
        <w:t>issue from our reviewers of this first manuscript draft.]</w:t>
      </w:r>
    </w:p>
    <w:p w:rsidR="006B1499" w:rsidRDefault="006B1499" w:rsidP="006B1499">
      <w:pPr>
        <w:keepLines/>
      </w:pPr>
    </w:p>
    <w:p w:rsidR="006B1499" w:rsidRPr="004F1F9C" w:rsidRDefault="006B1499" w:rsidP="006B1499">
      <w:r w:rsidRPr="004F1F9C">
        <w:rPr>
          <w:noProof/>
        </w:rPr>
        <w:drawing>
          <wp:anchor distT="0" distB="0" distL="114300" distR="114300" simplePos="0" relativeHeight="251677696" behindDoc="0" locked="0" layoutInCell="1" allowOverlap="1">
            <wp:simplePos x="0" y="0"/>
            <wp:positionH relativeFrom="column">
              <wp:posOffset>20955</wp:posOffset>
            </wp:positionH>
            <wp:positionV relativeFrom="paragraph">
              <wp:posOffset>20955</wp:posOffset>
            </wp:positionV>
            <wp:extent cx="5659755" cy="2203450"/>
            <wp:effectExtent l="19050" t="19050" r="0" b="6350"/>
            <wp:wrapTopAndBottom/>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cstate="print">
                      <a:extLst>
                        <a:ext uri="{28A0092B-C50C-407E-A947-70E740481C1C}">
                          <a14:useLocalDpi xmlns:mo="http://schemas.microsoft.com/office/mac/office/2008/main" xmlns:mv="urn:schemas-microsoft-com:mac:vml"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pic="http://schemas.openxmlformats.org/drawingml/2006/picture" xmlns:a="http://schemas.openxmlformats.org/drawingml/2006/main" xmlns:wne="http://schemas.microsoft.com/office/word/2006/wordml" xmlns:wp="http://schemas.openxmlformats.org/drawingml/2006/wordprocessingDrawing" xmlns:m="http://schemas.openxmlformats.org/officeDocument/2006/math" xmlns:r="http://schemas.openxmlformats.org/officeDocument/2006/relationships" xmlns:ve="http://schemas.openxmlformats.org/markup-compatibility/2006" val="0"/>
                        </a:ext>
                      </a:extLst>
                    </a:blip>
                    <a:srcRect/>
                    <a:stretch>
                      <a:fillRect/>
                    </a:stretch>
                  </pic:blipFill>
                  <pic:spPr bwMode="auto">
                    <a:xfrm>
                      <a:off x="0" y="0"/>
                      <a:ext cx="5659755" cy="2203450"/>
                    </a:xfrm>
                    <a:prstGeom prst="rect">
                      <a:avLst/>
                    </a:prstGeom>
                    <a:noFill/>
                    <a:ln>
                      <a:solidFill>
                        <a:schemeClr val="accent1"/>
                      </a:solidFill>
                    </a:ln>
                  </pic:spPr>
                </pic:pic>
              </a:graphicData>
            </a:graphic>
          </wp:anchor>
        </w:drawing>
      </w:r>
      <w:r w:rsidRPr="004F1F9C">
        <w:rPr>
          <w:b/>
        </w:rPr>
        <w:t xml:space="preserve">Figure 4.x Change in </w:t>
      </w:r>
      <w:r>
        <w:rPr>
          <w:b/>
        </w:rPr>
        <w:t>u</w:t>
      </w:r>
      <w:r w:rsidRPr="004F1F9C">
        <w:rPr>
          <w:b/>
        </w:rPr>
        <w:t xml:space="preserve">nit </w:t>
      </w:r>
      <w:r>
        <w:rPr>
          <w:b/>
        </w:rPr>
        <w:t>c</w:t>
      </w:r>
      <w:r w:rsidRPr="004F1F9C">
        <w:rPr>
          <w:b/>
        </w:rPr>
        <w:t xml:space="preserve">ost with </w:t>
      </w:r>
      <w:r>
        <w:rPr>
          <w:b/>
        </w:rPr>
        <w:t>i</w:t>
      </w:r>
      <w:r w:rsidRPr="004F1F9C">
        <w:rPr>
          <w:b/>
        </w:rPr>
        <w:t>ncome</w:t>
      </w:r>
    </w:p>
    <w:p w:rsidR="00B53D73" w:rsidRDefault="00B53D73" w:rsidP="006B1499"/>
    <w:p w:rsidR="006B1499" w:rsidRPr="004F1F9C" w:rsidRDefault="006B1499" w:rsidP="006B1499">
      <w:r w:rsidRPr="004F1F9C">
        <w:t>Funding for infrastructure comes from both public and private sources. We assume a specific share of public and private funding for each type of infrastructure. This, in effect, implies that public spending on infrastructure leverages a certain amount of private spending. These shares differ by type of infrastructure, but are constant across country and time. Table 4.x summarizes these shares, which can be changed by the user.</w:t>
      </w:r>
    </w:p>
    <w:p w:rsidR="006B1499" w:rsidRPr="004F1F9C" w:rsidRDefault="006B1499" w:rsidP="00877E30">
      <w:pPr>
        <w:pStyle w:val="Heading3"/>
        <w:numPr>
          <w:ilvl w:val="2"/>
          <w:numId w:val="32"/>
        </w:numPr>
      </w:pPr>
      <w:bookmarkStart w:id="121" w:name="_Toc326061521"/>
      <w:bookmarkStart w:id="122" w:name="_Toc200095303"/>
      <w:r w:rsidRPr="004F1F9C">
        <w:t>Balancing the financial demand with available resources</w:t>
      </w:r>
      <w:bookmarkEnd w:id="121"/>
      <w:bookmarkEnd w:id="122"/>
    </w:p>
    <w:p w:rsidR="00B53D73" w:rsidRDefault="006B1499" w:rsidP="006B1499">
      <w:pPr>
        <w:keepLines/>
      </w:pPr>
      <w:r w:rsidRPr="004F1F9C">
        <w:t>It is not necessarily the case that the demands for infrastructure funds can be met. In determining whether they can be, we focus on the public spending for infrastructure. In IFs, government revenues, net of foreign aid and debt repayment, are allocated between transfers (pensions, etc.) and direct government spending. The latter is divided among broad categories—defense, education, health, research and development, basic infrastructure (those types represented physically in the model , and other infrastructure (see Box 4.4) — and a residual category of other government spending. It is through this process of allocating government revenues that the amount of public funding for infrastructure is ultimately determined (the IFs model also allows some imbalance between revenues and total expenditures year-to-year, but over longer periods it does not allow overspending and debt accumulation or even surpluses to continue).</w:t>
      </w:r>
    </w:p>
    <w:p w:rsidR="006B1499" w:rsidRPr="004F1F9C" w:rsidRDefault="006B1499" w:rsidP="006B1499">
      <w:pPr>
        <w:keepLines/>
      </w:pPr>
    </w:p>
    <w:p w:rsidR="00B53D73" w:rsidRDefault="006B1499" w:rsidP="006B1499">
      <w:r w:rsidRPr="004F1F9C">
        <w:t>Once the total direct government spending is determined, this is compared to the total demand across the various categories. If the latter exceeds the former, then each category receives an equivalent percentage reduction in order to achieve a balance. If the total demand is less than the availability, then the surplus is shared among the different categories, other than infrastructure. This choice was made because the inability to estimate the underlying actual demand discussed earlier does not make it possible for us to determine if these additional funds would actually be desired.</w:t>
      </w:r>
    </w:p>
    <w:p w:rsidR="006B1499" w:rsidRPr="004F1F9C" w:rsidRDefault="006B1499" w:rsidP="006B1499"/>
    <w:p w:rsidR="006B1499" w:rsidRPr="004F1F9C" w:rsidRDefault="00F7383F" w:rsidP="006B1499">
      <w:r>
        <w:rPr>
          <w:noProof/>
        </w:rPr>
        <w:pict>
          <v:shape id="_x0000_s1031" type="#_x0000_t202" style="position:absolute;margin-left:-2.25pt;margin-top:87.15pt;width:473.75pt;height:110.2pt;z-index:251678720;mso-width-relative:margin;mso-height-relative:margin" fillcolor="#d8d8d8 [2732]">
            <v:textbox style="mso-next-textbox:#_x0000_s1031">
              <w:txbxContent>
                <w:p w:rsidR="002C11AA" w:rsidRPr="00B67CD4" w:rsidRDefault="002C11AA" w:rsidP="006B1499">
                  <w:pPr>
                    <w:rPr>
                      <w:b/>
                    </w:rPr>
                  </w:pPr>
                  <w:r w:rsidRPr="00B67CD4">
                    <w:rPr>
                      <w:b/>
                    </w:rPr>
                    <w:t>Box 4.4 Public spending on "other" infrastructure</w:t>
                  </w:r>
                </w:p>
                <w:p w:rsidR="002C11AA" w:rsidRPr="00B67CD4" w:rsidRDefault="002C11AA" w:rsidP="006B1499">
                  <w:r w:rsidRPr="00B67CD4">
                    <w:t>Since we do not include all forms of infrastructure, particularly newer and yet to be developed forms, our calculation of the demand for infrastructure spending almost certainly underestimates the actual amount demanded. Based on historical data, we have estimated that spending on "other" infrastructure gradually increases with average income in a country from around 1.x percent of GDP to 2.2 percent of GDP. Therefore, our forecasts also include a demand for funding for "other" infrastructure that is purely a function of GDP per capita.</w:t>
                  </w:r>
                </w:p>
              </w:txbxContent>
            </v:textbox>
            <w10:wrap type="topAndBottom"/>
          </v:shape>
        </w:pict>
      </w:r>
      <w:r w:rsidR="006B1499" w:rsidRPr="004F1F9C">
        <w:t>It is possible to prioritize funding for infrastructure.</w:t>
      </w:r>
      <w:r w:rsidR="006B1499" w:rsidRPr="004F1F9C">
        <w:rPr>
          <w:rStyle w:val="FootnoteReference"/>
        </w:rPr>
        <w:footnoteReference w:id="73"/>
      </w:r>
      <w:r w:rsidR="006B1499" w:rsidRPr="004F1F9C">
        <w:t xml:space="preserve"> In this case, a portion of the desired funding for infrastructure is funded first, up to the level of total government spending; any remaining available government spending is then allocated proportionately to the remaining (unprioritized) portion of desired funding for infrastructure and the other categories. </w:t>
      </w:r>
    </w:p>
    <w:p w:rsidR="006B1499" w:rsidRPr="004F1F9C" w:rsidRDefault="006B1499" w:rsidP="006B1499"/>
    <w:p w:rsidR="006B1499" w:rsidRPr="004F1F9C" w:rsidRDefault="006B1499" w:rsidP="00877E30">
      <w:pPr>
        <w:pStyle w:val="Heading3"/>
        <w:numPr>
          <w:ilvl w:val="2"/>
          <w:numId w:val="32"/>
        </w:numPr>
      </w:pPr>
      <w:bookmarkStart w:id="123" w:name="_Toc326061522"/>
      <w:bookmarkStart w:id="124" w:name="_Toc200095304"/>
      <w:r w:rsidRPr="004F1F9C">
        <w:t>Determining the actual levels of infrastructure attained</w:t>
      </w:r>
      <w:bookmarkEnd w:id="123"/>
      <w:bookmarkEnd w:id="124"/>
    </w:p>
    <w:p w:rsidR="00B53D73" w:rsidRDefault="006B1499" w:rsidP="006B1499">
      <w:pPr>
        <w:keepNext/>
        <w:keepLines/>
      </w:pPr>
      <w:r w:rsidRPr="004F1F9C">
        <w:t>Once the total amount of public funding for infrastructure is determined, we can establish the actual levels of infrastructure attained. If the budget balancing process does not result in a reduction of the public funds for infrastructure from that desired, then the process is straightforward; the level of infrastructure attained is equal to the level of infrastructure desired (see Box 4.5 for a minor exception related to delays involved in construction of infrastructure). In the case where infrastructure does not receive the full amount of desired public funds, things become more complicated.</w:t>
      </w:r>
    </w:p>
    <w:p w:rsidR="006B1499" w:rsidRPr="004F1F9C" w:rsidRDefault="006B1499" w:rsidP="006B1499">
      <w:pPr>
        <w:keepNext/>
        <w:keepLines/>
      </w:pPr>
    </w:p>
    <w:p w:rsidR="00B53D73" w:rsidRDefault="006B1499" w:rsidP="006B1499">
      <w:r w:rsidRPr="004F1F9C">
        <w:t>In the case of a budget shortfall, we make three simplifying assumptions. First, we assume that all forms of infrastructure are affected equally; specifically, each receives the same proportionate cut in the amount of public funding received relative to demand. Second, with the exception of ICT infrastructure, we assume that the amount of private funding is reduced by the same proportion. This is based on the premise that public funding for infrastructure leverages private spending, which we discussed earlier. We make the exception for ICT because this is a less tenable assumption for that sector given the degree to which private spending has driven ICT development historically. Finally, we assume that the reductions in funding affect spending on both maintenance and new construction equally.</w:t>
      </w:r>
    </w:p>
    <w:p w:rsidR="006B1499" w:rsidRPr="004F1F9C" w:rsidRDefault="006B1499" w:rsidP="006B1499"/>
    <w:p w:rsidR="006B1499" w:rsidRPr="004F1F9C" w:rsidRDefault="00F7383F" w:rsidP="006B1499">
      <w:r>
        <w:rPr>
          <w:noProof/>
        </w:rPr>
        <w:pict>
          <v:shape id="_x0000_s1032" type="#_x0000_t202" style="position:absolute;margin-left:-2.25pt;margin-top:87.2pt;width:473.75pt;height:177.95pt;z-index:251679744;mso-width-relative:margin;mso-height-relative:margin" fillcolor="#d8d8d8 [2732]">
            <v:textbox style="mso-next-textbox:#_x0000_s1032">
              <w:txbxContent>
                <w:p w:rsidR="002C11AA" w:rsidRPr="004F1F9C" w:rsidRDefault="002C11AA" w:rsidP="006B1499">
                  <w:pPr>
                    <w:rPr>
                      <w:b/>
                    </w:rPr>
                  </w:pPr>
                  <w:r w:rsidRPr="004F1F9C">
                    <w:rPr>
                      <w:b/>
                    </w:rPr>
                    <w:t>Box 4.5 Accounting for the time between infrastructure spending and attainment</w:t>
                  </w:r>
                </w:p>
                <w:p w:rsidR="002C11AA" w:rsidRPr="004F1F9C" w:rsidRDefault="002C11AA" w:rsidP="006B1499">
                  <w:r w:rsidRPr="004F1F9C">
                    <w:t>Much like Rome, infrastructure is not built in a day. Nor is it built in a year. The appearance of new infrastructure generally reflects investment that has occurred over a number of years and, especially in the case of major water projects, even decades. The foundational patterns of our forecasts do not explicitly represent such delays, however, because for aggregate infrastructure categories in countries as a whole it is reasonable to smooth both spending and construction completion patterns. In some cases, however, including scenario analyses like those of Chapter 6, we do represent dramatic increases in funds being made available for infrastructure from one year to the next, reflecting a ramping up of infrastructure development. In these cases, we hold back a portion of the new funds being made available and gradually release the money over a number of years. In this way, we approximate the time delays in the conversion of spending on infrastructure to its actual attainment.</w:t>
                  </w:r>
                </w:p>
              </w:txbxContent>
            </v:textbox>
            <w10:wrap type="topAndBottom"/>
          </v:shape>
        </w:pict>
      </w:r>
      <w:r w:rsidR="006B1499" w:rsidRPr="004F1F9C">
        <w:t>The result of a budget shortfall is that there is less new construction of infrastructure than desired, as well as less maintenance of existing infrastructure. The net effect can be an absolute decline in some forms of infrastructure if the new construction is not enough to make up for the amount of infrastructure lost due to inadequate maintenance.</w:t>
      </w:r>
    </w:p>
    <w:p w:rsidR="006B1499" w:rsidRPr="004F1F9C" w:rsidRDefault="006B1499" w:rsidP="006B1499"/>
    <w:p w:rsidR="006B1499" w:rsidRPr="004F1F9C" w:rsidRDefault="006B1499" w:rsidP="00877E30">
      <w:pPr>
        <w:pStyle w:val="Heading3"/>
        <w:numPr>
          <w:ilvl w:val="2"/>
          <w:numId w:val="32"/>
        </w:numPr>
      </w:pPr>
      <w:bookmarkStart w:id="125" w:name="_Toc326061523"/>
      <w:bookmarkStart w:id="126" w:name="_Toc200095305"/>
      <w:r w:rsidRPr="004F1F9C">
        <w:t>Estimating the economic, social, and environmental impacts of infrastructure</w:t>
      </w:r>
      <w:bookmarkEnd w:id="125"/>
      <w:bookmarkEnd w:id="126"/>
    </w:p>
    <w:p w:rsidR="00B53D73" w:rsidRDefault="006B1499" w:rsidP="006B1499">
      <w:pPr>
        <w:keepLines/>
      </w:pPr>
      <w:r w:rsidRPr="004F1F9C">
        <w:t>We described a number of the social, economic, and environmental impacts of infrastructure in Chapter 3. We divided these into impacts on economic growth, income distribution, health, education, governance, and the environment. Given the limited empirical support for many of these linkages and therefore a high level of uncertainty about whether and how to represent them, , we have limited our inclusion in IFs to direct links from infrastructure to economic growth, health and (in the environmental category) energy. As our understanding becomes more complete, we plan to add further direct linkages.</w:t>
      </w:r>
      <w:r w:rsidRPr="004F1F9C">
        <w:rPr>
          <w:rStyle w:val="FootnoteReference"/>
        </w:rPr>
        <w:footnoteReference w:id="74"/>
      </w:r>
      <w:r w:rsidRPr="004F1F9C">
        <w:t xml:space="preserve"> Important indirect linkages supplement the direct linkages that we describe here (see again Chapter 2) For example, the forward linkages from economic growth to environmental impact (via paths such as increased energy use and food demand) and of improved health to demographic change are present in the current model.</w:t>
      </w:r>
      <w:r>
        <w:t xml:space="preserve"> </w:t>
      </w:r>
      <w:r w:rsidRPr="004F1F9C">
        <w:t>In fact, the indirect linkages via both of these paths are pervasive across the model.</w:t>
      </w:r>
    </w:p>
    <w:p w:rsidR="006B1499" w:rsidRPr="004F1F9C" w:rsidRDefault="006B1499" w:rsidP="006B1499">
      <w:pPr>
        <w:keepLines/>
      </w:pPr>
    </w:p>
    <w:p w:rsidR="006B1499" w:rsidRPr="004F1F9C" w:rsidRDefault="000F392D" w:rsidP="006B1499">
      <w:pPr>
        <w:pStyle w:val="Heading4"/>
      </w:pPr>
      <w:bookmarkStart w:id="127" w:name="_Toc326061524"/>
      <w:bookmarkStart w:id="128" w:name="_Toc200095306"/>
      <w:r>
        <w:t>4.3</w:t>
      </w:r>
      <w:r w:rsidR="006B1499" w:rsidRPr="004F1F9C">
        <w:t>.5.1 Impacts on productivity and economic growth</w:t>
      </w:r>
      <w:bookmarkEnd w:id="127"/>
      <w:bookmarkEnd w:id="128"/>
    </w:p>
    <w:p w:rsidR="0029638B" w:rsidRDefault="006B1499" w:rsidP="006B1499">
      <w:pPr>
        <w:rPr>
          <w:bCs/>
          <w:lang w:eastAsia="ja-JP"/>
        </w:rPr>
      </w:pPr>
      <w:r w:rsidRPr="004F1F9C">
        <w:t xml:space="preserve">We estimate the impact of infrastructure on economic growth through its effect on multifactor productivity. </w:t>
      </w:r>
      <w:r w:rsidRPr="004F1F9C">
        <w:rPr>
          <w:bCs/>
          <w:lang w:eastAsia="ja-JP"/>
        </w:rPr>
        <w:t xml:space="preserve">Most economic models relate aggregate growth to changes in factors of production, typically capital (K) and labor (L), and an additional component, which is variously called the Solow residual, the technological change parameter, total factor productivity, or multifactor productivity (TFP or MFP); here we use the MFP label. Analyses have long shown that MFP can be quite large </w:t>
      </w:r>
      <w:r w:rsidR="00F7383F" w:rsidRPr="004F1F9C">
        <w:fldChar w:fldCharType="begin"/>
      </w:r>
      <w:r>
        <w:instrText xml:space="preserve"> ADDIN ZOTERO_ITEM CSL_CITATION {"citationID":"dQRWx7ml","properties":{"formattedCitation":"(R. M Solow 1957; Robert M. Solow 1956)","plainCitation":"(R. M Solow 1957; Robert M. Solow 1956)"},"citationItems":[{"id":1635,"uris":["http://zotero.org/groups/4482/items/M83UTIDR"],"uri":["http://zotero.org/groups/4482/items/M83UTIDR"],"itemData":{"id":1635,"type":"article-journal","title":"Technical Change and the Aggregate Production Function","container-title":"The Review of Economics and Statistics","page":"312–320","volume":"39","issue":"3","author":[{"family":"Solow","given":"R. M"}],"issued":{"year":1957},"page-first":"312–320"},"label":"page"},{"id":290,"uris":["http://zotero.org/groups/4482/items/86DB87ZT"],"uri":["http://zotero.org/groups/4482/items/86DB87ZT"],"itemData":{"id":290,"type":"article-journal","title":"A Contribution to the Theory of Economic Growth","container-title":"The Quarterly Journal of Economics","page":"65-94","volume":"70","issue":"1","abstract":"I. Introduction, 65.--II. A model of long-run growth, 66.--III. Possible growth patterns, 68.--IV. Examples, 73.--V. Behavior of interest and wage rates, 78.--VI. Extensions, 85.--VII. Qualifications, 91.","note":"ArticleType: primary_article / Full publication date: Feb., 1956 / Copyright © 1956 The MIT Press","author":[{"family":"Solow","given":"Robert M."}],"issued":{"year":1956},"accessed":{"year":2009,"month":10,"day":15},"page-first":"65"},"label":"page"}],"schema":"https://github.com/citation-style-language/schema/raw/master/csl-citation.json"} </w:instrText>
      </w:r>
      <w:r w:rsidR="00F7383F" w:rsidRPr="004F1F9C">
        <w:fldChar w:fldCharType="separate"/>
      </w:r>
      <w:r w:rsidRPr="004F1F9C">
        <w:t>(Solow 1957; Solow 1956)</w:t>
      </w:r>
      <w:r w:rsidR="00F7383F" w:rsidRPr="004F1F9C">
        <w:fldChar w:fldCharType="end"/>
      </w:r>
      <w:r w:rsidRPr="004F1F9C">
        <w:rPr>
          <w:bCs/>
          <w:lang w:eastAsia="ja-JP"/>
        </w:rPr>
        <w:t>.</w:t>
      </w:r>
      <w:r w:rsidRPr="004F1F9C">
        <w:rPr>
          <w:rStyle w:val="FootnoteReference"/>
        </w:rPr>
        <w:footnoteReference w:id="75"/>
      </w:r>
      <w:r w:rsidRPr="004F1F9C">
        <w:rPr>
          <w:bCs/>
          <w:lang w:eastAsia="ja-JP"/>
        </w:rPr>
        <w:t xml:space="preserve"> Within IFs, we treat MFP as an endogenous variable that human capital, social capital, physical capital, and knowledge capital influence </w:t>
      </w:r>
      <w:r w:rsidR="00F7383F" w:rsidRPr="004F1F9C">
        <w:rPr>
          <w:bCs/>
          <w:lang w:eastAsia="ja-JP"/>
        </w:rPr>
        <w:fldChar w:fldCharType="begin"/>
      </w:r>
      <w:r>
        <w:rPr>
          <w:bCs/>
          <w:lang w:eastAsia="ja-JP"/>
        </w:rPr>
        <w:instrText xml:space="preserve"> ADDIN ZOTERO_ITEM CSL_CITATION {"citationID":"twzOrccw","properties":{"formattedCitation":"(Barry B. Hughes 2007)","plainCitation":"(Barry B. Hughes 2007)"},"citationItems":[{"id":1555,"uris":["http://zotero.org/groups/4482/items/CGEPPA72"],"uri":["http://zotero.org/groups/4482/items/CGEPPA72"],"itemData":{"id":1555,"type":"manuscript","title":"Forecasting Global Economic Growth with Endogenous Multifactor Productivity: The International Futures (IFs) Approach","publisher-place":"Denver, CO","genre":"Pardee Center for International Futures Working Paper, University of Denver","archive":"www.ifs.du.edu/documents/reports.aspx","event-place":"Denver, CO","author":[{"family":"Hughes","given":"Barry B."}],"issued":{"year":2007}}}],"schema":"https://github.com/citation-style-language/schema/raw/master/csl-citation.json"} </w:instrText>
      </w:r>
      <w:r w:rsidR="00F7383F" w:rsidRPr="004F1F9C">
        <w:rPr>
          <w:bCs/>
          <w:lang w:eastAsia="ja-JP"/>
        </w:rPr>
        <w:fldChar w:fldCharType="separate"/>
      </w:r>
      <w:r w:rsidRPr="004F1F9C">
        <w:rPr>
          <w:rFonts w:cs="Calibri"/>
        </w:rPr>
        <w:t>(Hughes 2007)</w:t>
      </w:r>
      <w:r w:rsidR="00F7383F" w:rsidRPr="004F1F9C">
        <w:rPr>
          <w:bCs/>
          <w:lang w:eastAsia="ja-JP"/>
        </w:rPr>
        <w:fldChar w:fldCharType="end"/>
      </w:r>
      <w:r w:rsidRPr="004F1F9C">
        <w:rPr>
          <w:bCs/>
          <w:lang w:eastAsia="ja-JP"/>
        </w:rPr>
        <w:t>. Infrastructure is a key component of physical capital, along with natural resources. The impact of the latter is represented through the effect of energy prices on MFP.</w:t>
      </w:r>
    </w:p>
    <w:p w:rsidR="006B1499" w:rsidRPr="004F1F9C" w:rsidRDefault="006B1499" w:rsidP="006B1499">
      <w:pPr>
        <w:rPr>
          <w:bCs/>
          <w:lang w:eastAsia="ja-JP"/>
        </w:rPr>
      </w:pPr>
      <w:r w:rsidRPr="004F1F9C">
        <w:rPr>
          <w:bCs/>
          <w:lang w:eastAsia="ja-JP"/>
        </w:rPr>
        <w:t xml:space="preserve"> </w:t>
      </w:r>
    </w:p>
    <w:p w:rsidR="006B1499" w:rsidRPr="004F1F9C" w:rsidRDefault="006B1499" w:rsidP="006B1499">
      <w:r w:rsidRPr="004F1F9C">
        <w:t>In estimating the impact of infrastructure on MFP, we build upon the insights of the studies reviewed in Chapter 3. First, we relate the impact to measures of physical infrastructure and not to measures of infrastructure spending. Second, because of the interaction effects across infrastructure types we do not attempt to estimate the impact of individual forms of infrastructure, but rather estimate the impact as a function of a composite index of infrastructure. Due, however, to the very different historical and expected growth patterns of more traditional infrastructure—transportation, energy and water—vis-à-vis more modern forms of ICT infrastructure, we create a separate index for ICT and link it to MDP in a different way.</w:t>
      </w:r>
    </w:p>
    <w:p w:rsidR="00B53D73" w:rsidRDefault="006B1499" w:rsidP="006B1499">
      <w:r w:rsidRPr="004F1F9C">
        <w:t>For the more traditional forms of infrastructure, we construct our composite index following the approach presented in Calder</w:t>
      </w:r>
      <w:r w:rsidRPr="004F1F9C">
        <w:rPr>
          <w:rFonts w:cstheme="minorHAnsi"/>
        </w:rPr>
        <w:t>ó</w:t>
      </w:r>
      <w:r w:rsidRPr="004F1F9C">
        <w:t xml:space="preserve">n and Servén </w:t>
      </w:r>
      <w:r w:rsidR="00F7383F" w:rsidRPr="00F7383F">
        <w:fldChar w:fldCharType="begin"/>
      </w:r>
      <w:r>
        <w:instrText xml:space="preserve"> ADDIN ZOTERO_ITEM CSL_CITATION {"citationID":"BfLc57oO","properties":{"formattedCitation":"(2010)","plainCitation":"(2010)"},"citationItems":[{"id":621,"uris":["http://zotero.org/groups/4482/items/V86FCKMI"],"uri":["http://zotero.org/groups/4482/items/V86FCKMI"],"itemData":{"id":621,"type":"article-journal","title":"Infrastructure and Economic Development in Sub-Saharan Africa","container-title":"Journal of African Economies","page":"i13-i87","volume":"19","issue":"Supplement 1","abstract":"An adequate supply of infrastructure services has long been viewed by both academics and policy-makers as a key ingredient for economic development. Sub-Saharan Africa ranks consistently at the bottom of all developing regions in terms of infrastructure performance, and an increasing number of observers point to deficient infrastructure as a major obstacle for growth and poverty reduction across the region. This paper offers an empirical assessment of the impact of infrastructure development on growth and inequality, with a focus on Sub-Saharan Africa. The paper uses a comparative cross-regional perspective to place Africa's experience in the international context. Drawing from an updated data set of infrastructure quantity and quality indicators covering more than 100 countries and spanning the years 1960-2005, the paper estimates empirical growth and inequality equations including a standard set of control variables augmented by infrastructure quantity and quality measures, and controlling for the potential endogeneity of the latter. The estimates illustrate the potential contribution of infrastructure development to growth and equity across Africa.","DOI":"10.1093/jae/ejp022","author":[{"family":"Calderón","given":"César"},{"family":"Servén","given":"Luis"}],"issued":{"year":2010},"accessed":{"year":2010,"month":6,"day":22},"page-first":"i13"},"suppress-author":true}],"schema":"https://github.com/citation-style-language/schema/raw/master/csl-citation.json"} </w:instrText>
      </w:r>
      <w:r w:rsidR="00F7383F" w:rsidRPr="00F7383F">
        <w:fldChar w:fldCharType="separate"/>
      </w:r>
      <w:r w:rsidRPr="004F1F9C">
        <w:rPr>
          <w:rFonts w:cs="Calibri"/>
        </w:rPr>
        <w:t>(2010)</w:t>
      </w:r>
      <w:r w:rsidR="00F7383F" w:rsidRPr="004F1F9C">
        <w:rPr>
          <w:rFonts w:cs="Calibri"/>
        </w:rPr>
        <w:fldChar w:fldCharType="end"/>
      </w:r>
      <w:r w:rsidRPr="004F1F9C">
        <w:t>. We use the indicators shown in Table 4.12, which include a mix of measures of infrastructure quantity and quality (such as paved roads). A first step in index construction is to scale each measure by a meaningful factor, for example, population or land area; it obviously makes more sense to compare countries in terms of, for example, roads per person than total roads. Second, we normalize and standardize each indicator by taking the logarithm of the scaled measure, calculating the difference between this value and the mean value across countries, and then dividing the result by the standard deviation of these values across countries.</w:t>
      </w:r>
      <w:r w:rsidRPr="004F1F9C">
        <w:rPr>
          <w:rStyle w:val="FootnoteReference"/>
        </w:rPr>
        <w:footnoteReference w:id="76"/>
      </w:r>
      <w:r w:rsidRPr="004F1F9C">
        <w:t xml:space="preserve"> The mean value and standard deviation for each indicator are based on the country-level data for the base year of our model, 2010. A negative (positive) value of each transformed indicator implies that it ranks below (above) the ‘average’ country in 2010. For example, a country with a negative value for total roads per 1000 persons in our forecast for 2030 would have fewer roads per person than the ‘average’ country in 2010.</w:t>
      </w:r>
    </w:p>
    <w:p w:rsidR="006B1499" w:rsidRPr="004F1F9C" w:rsidRDefault="006B1499" w:rsidP="006B1499"/>
    <w:p w:rsidR="006B1499" w:rsidRPr="004F1F9C" w:rsidRDefault="006B1499" w:rsidP="006B1499">
      <w:r w:rsidRPr="004F1F9C">
        <w:t>We then take a simple average of the resulting values for each transformed indicator in a category to calculate the index for that category; for example, the Transportation index is calculated as one quarter of the sum of the transformed values for total roads per 1000 persons, total roads per 1000 hectares, the rural road access index, and the percentage of roads paved. Finally, we calculate a simple average of the Transportation, Energy, and Water indices to produce the overall Traditional Infrastructure index.</w:t>
      </w:r>
      <w:r w:rsidRPr="004F1F9C">
        <w:rPr>
          <w:rStyle w:val="FootnoteReference"/>
        </w:rPr>
        <w:footnoteReference w:id="77"/>
      </w:r>
      <w:r w:rsidRPr="004F1F9C">
        <w:t xml:space="preserve"> As with the transformed values of the individual indicators, the value of the overall index can be positive or negative, indicating how a country compares against the ‘average’ country in 2010.</w:t>
      </w:r>
    </w:p>
    <w:p w:rsidR="006B1499" w:rsidRPr="004F1F9C" w:rsidRDefault="006B1499" w:rsidP="006B1499"/>
    <w:tbl>
      <w:tblPr>
        <w:tblStyle w:val="TableGrid"/>
        <w:tblW w:w="6948" w:type="dxa"/>
        <w:jc w:val="center"/>
        <w:tblLook w:val="04A0"/>
      </w:tblPr>
      <w:tblGrid>
        <w:gridCol w:w="1816"/>
        <w:gridCol w:w="5132"/>
      </w:tblGrid>
      <w:tr w:rsidR="006B1499" w:rsidRPr="004F1F9C">
        <w:trPr>
          <w:jc w:val="center"/>
        </w:trPr>
        <w:tc>
          <w:tcPr>
            <w:tcW w:w="6948" w:type="dxa"/>
            <w:gridSpan w:val="2"/>
          </w:tcPr>
          <w:p w:rsidR="006B1499" w:rsidRPr="004F1F9C" w:rsidRDefault="006B1499" w:rsidP="006B1499">
            <w:pPr>
              <w:keepNext/>
              <w:keepLines/>
              <w:rPr>
                <w:b/>
              </w:rPr>
            </w:pPr>
            <w:r w:rsidRPr="004F1F9C">
              <w:rPr>
                <w:b/>
              </w:rPr>
              <w:t xml:space="preserve">Table 4.12 Components of </w:t>
            </w:r>
            <w:r>
              <w:rPr>
                <w:b/>
              </w:rPr>
              <w:t>i</w:t>
            </w:r>
            <w:r w:rsidRPr="004F1F9C">
              <w:rPr>
                <w:b/>
              </w:rPr>
              <w:t xml:space="preserve">nfrastructure </w:t>
            </w:r>
            <w:r>
              <w:rPr>
                <w:b/>
              </w:rPr>
              <w:t>i</w:t>
            </w:r>
            <w:r w:rsidRPr="004F1F9C">
              <w:rPr>
                <w:b/>
              </w:rPr>
              <w:t>ndices</w:t>
            </w:r>
          </w:p>
        </w:tc>
      </w:tr>
      <w:tr w:rsidR="006B1499" w:rsidRPr="004F1F9C">
        <w:trPr>
          <w:jc w:val="center"/>
        </w:trPr>
        <w:tc>
          <w:tcPr>
            <w:tcW w:w="6948" w:type="dxa"/>
            <w:gridSpan w:val="2"/>
            <w:shd w:val="clear" w:color="auto" w:fill="D9D9D9" w:themeFill="background1" w:themeFillShade="D9"/>
          </w:tcPr>
          <w:p w:rsidR="006B1499" w:rsidRPr="004F1F9C" w:rsidRDefault="006B1499" w:rsidP="006B1499">
            <w:pPr>
              <w:keepNext/>
              <w:keepLines/>
              <w:jc w:val="center"/>
            </w:pPr>
            <w:r w:rsidRPr="004F1F9C">
              <w:t>‘Traditional’ infrastructure</w:t>
            </w:r>
          </w:p>
        </w:tc>
      </w:tr>
      <w:tr w:rsidR="006B1499" w:rsidRPr="004F1F9C">
        <w:trPr>
          <w:jc w:val="center"/>
        </w:trPr>
        <w:tc>
          <w:tcPr>
            <w:tcW w:w="1816" w:type="dxa"/>
          </w:tcPr>
          <w:p w:rsidR="006B1499" w:rsidRPr="004F1F9C" w:rsidRDefault="006B1499" w:rsidP="006B1499">
            <w:pPr>
              <w:keepNext/>
              <w:keepLines/>
            </w:pPr>
            <w:r w:rsidRPr="004F1F9C">
              <w:t>Transportation</w:t>
            </w:r>
          </w:p>
        </w:tc>
        <w:tc>
          <w:tcPr>
            <w:tcW w:w="5132" w:type="dxa"/>
          </w:tcPr>
          <w:p w:rsidR="006B1499" w:rsidRPr="004F1F9C" w:rsidRDefault="006B1499" w:rsidP="006B1499"/>
        </w:tc>
      </w:tr>
      <w:tr w:rsidR="006B1499" w:rsidRPr="004F1F9C">
        <w:trPr>
          <w:jc w:val="center"/>
        </w:trPr>
        <w:tc>
          <w:tcPr>
            <w:tcW w:w="1816" w:type="dxa"/>
          </w:tcPr>
          <w:p w:rsidR="006B1499" w:rsidRPr="004F1F9C" w:rsidRDefault="006B1499" w:rsidP="006B1499">
            <w:pPr>
              <w:keepNext/>
              <w:keepLines/>
            </w:pPr>
          </w:p>
        </w:tc>
        <w:tc>
          <w:tcPr>
            <w:tcW w:w="5132" w:type="dxa"/>
          </w:tcPr>
          <w:p w:rsidR="006B1499" w:rsidRPr="004F1F9C" w:rsidRDefault="006B1499" w:rsidP="006B1499">
            <w:r w:rsidRPr="004F1F9C">
              <w:t>Total roads per 1000 persons</w:t>
            </w:r>
          </w:p>
        </w:tc>
      </w:tr>
      <w:tr w:rsidR="006B1499" w:rsidRPr="004F1F9C">
        <w:trPr>
          <w:jc w:val="center"/>
        </w:trPr>
        <w:tc>
          <w:tcPr>
            <w:tcW w:w="1816" w:type="dxa"/>
          </w:tcPr>
          <w:p w:rsidR="006B1499" w:rsidRPr="004F1F9C" w:rsidRDefault="006B1499" w:rsidP="006B1499">
            <w:pPr>
              <w:keepNext/>
              <w:keepLines/>
            </w:pPr>
          </w:p>
        </w:tc>
        <w:tc>
          <w:tcPr>
            <w:tcW w:w="5132" w:type="dxa"/>
          </w:tcPr>
          <w:p w:rsidR="006B1499" w:rsidRPr="004F1F9C" w:rsidRDefault="006B1499" w:rsidP="006B1499">
            <w:r w:rsidRPr="004F1F9C">
              <w:t>Total roads per 1000 hectares</w:t>
            </w:r>
          </w:p>
        </w:tc>
      </w:tr>
      <w:tr w:rsidR="006B1499" w:rsidRPr="004F1F9C">
        <w:trPr>
          <w:jc w:val="center"/>
        </w:trPr>
        <w:tc>
          <w:tcPr>
            <w:tcW w:w="1816" w:type="dxa"/>
          </w:tcPr>
          <w:p w:rsidR="006B1499" w:rsidRPr="004F1F9C" w:rsidRDefault="006B1499" w:rsidP="006B1499">
            <w:pPr>
              <w:keepNext/>
              <w:keepLines/>
            </w:pPr>
          </w:p>
        </w:tc>
        <w:tc>
          <w:tcPr>
            <w:tcW w:w="5132" w:type="dxa"/>
          </w:tcPr>
          <w:p w:rsidR="006B1499" w:rsidRPr="004F1F9C" w:rsidRDefault="006B1499" w:rsidP="006B1499">
            <w:r w:rsidRPr="004F1F9C">
              <w:t>Rural road access index</w:t>
            </w:r>
          </w:p>
        </w:tc>
      </w:tr>
      <w:tr w:rsidR="006B1499" w:rsidRPr="004F1F9C">
        <w:trPr>
          <w:jc w:val="center"/>
        </w:trPr>
        <w:tc>
          <w:tcPr>
            <w:tcW w:w="1816" w:type="dxa"/>
          </w:tcPr>
          <w:p w:rsidR="006B1499" w:rsidRPr="004F1F9C" w:rsidRDefault="006B1499" w:rsidP="006B1499">
            <w:pPr>
              <w:keepNext/>
              <w:keepLines/>
            </w:pPr>
          </w:p>
        </w:tc>
        <w:tc>
          <w:tcPr>
            <w:tcW w:w="5132" w:type="dxa"/>
          </w:tcPr>
          <w:p w:rsidR="006B1499" w:rsidRPr="004F1F9C" w:rsidRDefault="006B1499" w:rsidP="006B1499">
            <w:r w:rsidRPr="004F1F9C">
              <w:t>Percentage of roads paved</w:t>
            </w:r>
          </w:p>
        </w:tc>
      </w:tr>
      <w:tr w:rsidR="006B1499" w:rsidRPr="004F1F9C">
        <w:trPr>
          <w:jc w:val="center"/>
        </w:trPr>
        <w:tc>
          <w:tcPr>
            <w:tcW w:w="1816" w:type="dxa"/>
          </w:tcPr>
          <w:p w:rsidR="006B1499" w:rsidRPr="004F1F9C" w:rsidRDefault="006B1499" w:rsidP="006B1499">
            <w:pPr>
              <w:keepNext/>
              <w:keepLines/>
            </w:pPr>
            <w:r w:rsidRPr="004F1F9C">
              <w:t>Energy</w:t>
            </w:r>
          </w:p>
        </w:tc>
        <w:tc>
          <w:tcPr>
            <w:tcW w:w="5132" w:type="dxa"/>
          </w:tcPr>
          <w:p w:rsidR="006B1499" w:rsidRPr="004F1F9C" w:rsidRDefault="006B1499" w:rsidP="006B1499"/>
        </w:tc>
      </w:tr>
      <w:tr w:rsidR="006B1499" w:rsidRPr="004F1F9C">
        <w:trPr>
          <w:jc w:val="center"/>
        </w:trPr>
        <w:tc>
          <w:tcPr>
            <w:tcW w:w="1816" w:type="dxa"/>
          </w:tcPr>
          <w:p w:rsidR="006B1499" w:rsidRPr="004F1F9C" w:rsidRDefault="006B1499" w:rsidP="006B1499">
            <w:pPr>
              <w:keepNext/>
              <w:keepLines/>
            </w:pPr>
          </w:p>
        </w:tc>
        <w:tc>
          <w:tcPr>
            <w:tcW w:w="5132" w:type="dxa"/>
          </w:tcPr>
          <w:p w:rsidR="006B1499" w:rsidRPr="004F1F9C" w:rsidRDefault="006B1499" w:rsidP="006B1499">
            <w:r w:rsidRPr="004F1F9C">
              <w:t>Electricity generating capacity per capita</w:t>
            </w:r>
          </w:p>
        </w:tc>
      </w:tr>
      <w:tr w:rsidR="006B1499" w:rsidRPr="004F1F9C">
        <w:trPr>
          <w:jc w:val="center"/>
        </w:trPr>
        <w:tc>
          <w:tcPr>
            <w:tcW w:w="1816" w:type="dxa"/>
          </w:tcPr>
          <w:p w:rsidR="006B1499" w:rsidRPr="004F1F9C" w:rsidRDefault="006B1499" w:rsidP="006B1499">
            <w:pPr>
              <w:keepNext/>
              <w:keepLines/>
            </w:pPr>
          </w:p>
        </w:tc>
        <w:tc>
          <w:tcPr>
            <w:tcW w:w="5132" w:type="dxa"/>
          </w:tcPr>
          <w:p w:rsidR="006B1499" w:rsidRPr="004F1F9C" w:rsidRDefault="006B1499" w:rsidP="006B1499">
            <w:r w:rsidRPr="004F1F9C">
              <w:t>Access to Electricity (national)</w:t>
            </w:r>
          </w:p>
        </w:tc>
      </w:tr>
      <w:tr w:rsidR="006B1499" w:rsidRPr="004F1F9C">
        <w:trPr>
          <w:jc w:val="center"/>
        </w:trPr>
        <w:tc>
          <w:tcPr>
            <w:tcW w:w="1816" w:type="dxa"/>
          </w:tcPr>
          <w:p w:rsidR="006B1499" w:rsidRPr="004F1F9C" w:rsidRDefault="006B1499" w:rsidP="006B1499">
            <w:pPr>
              <w:keepNext/>
              <w:keepLines/>
            </w:pPr>
          </w:p>
        </w:tc>
        <w:tc>
          <w:tcPr>
            <w:tcW w:w="5132" w:type="dxa"/>
          </w:tcPr>
          <w:p w:rsidR="006B1499" w:rsidRPr="004F1F9C" w:rsidRDefault="006B1499" w:rsidP="006B1499">
            <w:r w:rsidRPr="004F1F9C">
              <w:t>Transmission Loss</w:t>
            </w:r>
          </w:p>
        </w:tc>
      </w:tr>
      <w:tr w:rsidR="006B1499" w:rsidRPr="004F1F9C">
        <w:trPr>
          <w:jc w:val="center"/>
        </w:trPr>
        <w:tc>
          <w:tcPr>
            <w:tcW w:w="1816" w:type="dxa"/>
          </w:tcPr>
          <w:p w:rsidR="006B1499" w:rsidRPr="004F1F9C" w:rsidRDefault="006B1499" w:rsidP="006B1499">
            <w:pPr>
              <w:keepNext/>
              <w:keepLines/>
            </w:pPr>
          </w:p>
        </w:tc>
        <w:tc>
          <w:tcPr>
            <w:tcW w:w="5132" w:type="dxa"/>
          </w:tcPr>
          <w:p w:rsidR="006B1499" w:rsidRPr="004F1F9C" w:rsidRDefault="006B1499" w:rsidP="006B1499">
            <w:r w:rsidRPr="004F1F9C">
              <w:t>Ratio of electricity use to total primary energy use</w:t>
            </w:r>
          </w:p>
        </w:tc>
      </w:tr>
      <w:tr w:rsidR="006B1499" w:rsidRPr="004F1F9C">
        <w:trPr>
          <w:jc w:val="center"/>
        </w:trPr>
        <w:tc>
          <w:tcPr>
            <w:tcW w:w="1816" w:type="dxa"/>
          </w:tcPr>
          <w:p w:rsidR="006B1499" w:rsidRPr="004F1F9C" w:rsidRDefault="006B1499" w:rsidP="006B1499">
            <w:pPr>
              <w:keepNext/>
              <w:keepLines/>
            </w:pPr>
            <w:r w:rsidRPr="004F1F9C">
              <w:t>Water</w:t>
            </w:r>
          </w:p>
        </w:tc>
        <w:tc>
          <w:tcPr>
            <w:tcW w:w="5132" w:type="dxa"/>
          </w:tcPr>
          <w:p w:rsidR="006B1499" w:rsidRPr="004F1F9C" w:rsidRDefault="006B1499" w:rsidP="006B1499"/>
        </w:tc>
      </w:tr>
      <w:tr w:rsidR="006B1499" w:rsidRPr="004F1F9C">
        <w:trPr>
          <w:jc w:val="center"/>
        </w:trPr>
        <w:tc>
          <w:tcPr>
            <w:tcW w:w="1816" w:type="dxa"/>
          </w:tcPr>
          <w:p w:rsidR="006B1499" w:rsidRPr="004F1F9C" w:rsidRDefault="006B1499" w:rsidP="006B1499">
            <w:pPr>
              <w:keepNext/>
              <w:keepLines/>
            </w:pPr>
          </w:p>
        </w:tc>
        <w:tc>
          <w:tcPr>
            <w:tcW w:w="5132" w:type="dxa"/>
          </w:tcPr>
          <w:p w:rsidR="006B1499" w:rsidRPr="004F1F9C" w:rsidRDefault="006B1499" w:rsidP="006B1499">
            <w:r w:rsidRPr="004F1F9C">
              <w:t>Household Connection to Safe Water</w:t>
            </w:r>
          </w:p>
        </w:tc>
      </w:tr>
      <w:tr w:rsidR="006B1499" w:rsidRPr="004F1F9C">
        <w:trPr>
          <w:jc w:val="center"/>
        </w:trPr>
        <w:tc>
          <w:tcPr>
            <w:tcW w:w="1816" w:type="dxa"/>
          </w:tcPr>
          <w:p w:rsidR="006B1499" w:rsidRPr="004F1F9C" w:rsidRDefault="006B1499" w:rsidP="006B1499">
            <w:pPr>
              <w:keepNext/>
              <w:keepLines/>
            </w:pPr>
          </w:p>
        </w:tc>
        <w:tc>
          <w:tcPr>
            <w:tcW w:w="5132" w:type="dxa"/>
          </w:tcPr>
          <w:p w:rsidR="006B1499" w:rsidRPr="004F1F9C" w:rsidRDefault="006B1499" w:rsidP="006B1499">
            <w:r w:rsidRPr="004F1F9C">
              <w:t>Household Connection to Sanitation</w:t>
            </w:r>
          </w:p>
        </w:tc>
      </w:tr>
      <w:tr w:rsidR="006B1499" w:rsidRPr="004F1F9C">
        <w:trPr>
          <w:jc w:val="center"/>
        </w:trPr>
        <w:tc>
          <w:tcPr>
            <w:tcW w:w="1816" w:type="dxa"/>
          </w:tcPr>
          <w:p w:rsidR="006B1499" w:rsidRPr="004F1F9C" w:rsidRDefault="006B1499" w:rsidP="006B1499">
            <w:pPr>
              <w:keepNext/>
              <w:keepLines/>
            </w:pPr>
          </w:p>
        </w:tc>
        <w:tc>
          <w:tcPr>
            <w:tcW w:w="5132" w:type="dxa"/>
          </w:tcPr>
          <w:p w:rsidR="006B1499" w:rsidRPr="004F1F9C" w:rsidRDefault="006B1499" w:rsidP="006B1499">
            <w:r w:rsidRPr="004F1F9C">
              <w:t>Wastewater Treatment</w:t>
            </w:r>
          </w:p>
        </w:tc>
      </w:tr>
      <w:tr w:rsidR="006B1499" w:rsidRPr="004F1F9C">
        <w:trPr>
          <w:jc w:val="center"/>
        </w:trPr>
        <w:tc>
          <w:tcPr>
            <w:tcW w:w="6948" w:type="dxa"/>
            <w:gridSpan w:val="2"/>
            <w:shd w:val="clear" w:color="auto" w:fill="D9D9D9" w:themeFill="background1" w:themeFillShade="D9"/>
          </w:tcPr>
          <w:p w:rsidR="006B1499" w:rsidRPr="004F1F9C" w:rsidRDefault="006B1499" w:rsidP="006B1499">
            <w:pPr>
              <w:keepNext/>
              <w:keepLines/>
              <w:jc w:val="center"/>
            </w:pPr>
            <w:r w:rsidRPr="004F1F9C">
              <w:t>‘Modern’ infrastructure</w:t>
            </w:r>
          </w:p>
        </w:tc>
      </w:tr>
      <w:tr w:rsidR="006B1499" w:rsidRPr="004F1F9C">
        <w:trPr>
          <w:jc w:val="center"/>
        </w:trPr>
        <w:tc>
          <w:tcPr>
            <w:tcW w:w="1816" w:type="dxa"/>
          </w:tcPr>
          <w:p w:rsidR="006B1499" w:rsidRPr="004F1F9C" w:rsidRDefault="006B1499" w:rsidP="006B1499">
            <w:pPr>
              <w:keepNext/>
              <w:keepLines/>
            </w:pPr>
            <w:r w:rsidRPr="004F1F9C">
              <w:t>ICT</w:t>
            </w:r>
          </w:p>
        </w:tc>
        <w:tc>
          <w:tcPr>
            <w:tcW w:w="5132" w:type="dxa"/>
          </w:tcPr>
          <w:p w:rsidR="006B1499" w:rsidRPr="004F1F9C" w:rsidRDefault="006B1499" w:rsidP="006B1499"/>
        </w:tc>
      </w:tr>
      <w:tr w:rsidR="006B1499" w:rsidRPr="004F1F9C">
        <w:trPr>
          <w:jc w:val="center"/>
        </w:trPr>
        <w:tc>
          <w:tcPr>
            <w:tcW w:w="1816" w:type="dxa"/>
          </w:tcPr>
          <w:p w:rsidR="006B1499" w:rsidRPr="004F1F9C" w:rsidRDefault="006B1499" w:rsidP="006B1499">
            <w:pPr>
              <w:keepNext/>
              <w:keepLines/>
            </w:pPr>
          </w:p>
        </w:tc>
        <w:tc>
          <w:tcPr>
            <w:tcW w:w="5132" w:type="dxa"/>
          </w:tcPr>
          <w:p w:rsidR="006B1499" w:rsidRPr="004F1F9C" w:rsidRDefault="006B1499" w:rsidP="006B1499">
            <w:r w:rsidRPr="004F1F9C">
              <w:t>Mobile phone subscriptions</w:t>
            </w:r>
          </w:p>
        </w:tc>
      </w:tr>
      <w:tr w:rsidR="006B1499" w:rsidRPr="004F1F9C">
        <w:trPr>
          <w:jc w:val="center"/>
        </w:trPr>
        <w:tc>
          <w:tcPr>
            <w:tcW w:w="1816" w:type="dxa"/>
          </w:tcPr>
          <w:p w:rsidR="006B1499" w:rsidRPr="004F1F9C" w:rsidRDefault="006B1499" w:rsidP="006B1499">
            <w:pPr>
              <w:keepNext/>
              <w:keepLines/>
            </w:pPr>
          </w:p>
        </w:tc>
        <w:tc>
          <w:tcPr>
            <w:tcW w:w="5132" w:type="dxa"/>
          </w:tcPr>
          <w:p w:rsidR="006B1499" w:rsidRPr="004F1F9C" w:rsidRDefault="006B1499" w:rsidP="006B1499">
            <w:r w:rsidRPr="004F1F9C">
              <w:t>Fixed broadband subscriptions</w:t>
            </w:r>
          </w:p>
        </w:tc>
      </w:tr>
      <w:tr w:rsidR="006B1499" w:rsidRPr="004F1F9C">
        <w:trPr>
          <w:jc w:val="center"/>
        </w:trPr>
        <w:tc>
          <w:tcPr>
            <w:tcW w:w="1816" w:type="dxa"/>
          </w:tcPr>
          <w:p w:rsidR="006B1499" w:rsidRPr="004F1F9C" w:rsidRDefault="006B1499" w:rsidP="006B1499"/>
        </w:tc>
        <w:tc>
          <w:tcPr>
            <w:tcW w:w="5132" w:type="dxa"/>
          </w:tcPr>
          <w:p w:rsidR="006B1499" w:rsidRPr="004F1F9C" w:rsidRDefault="006B1499" w:rsidP="006B1499">
            <w:r w:rsidRPr="004F1F9C">
              <w:t>Mobile broadband subscriptions</w:t>
            </w:r>
          </w:p>
        </w:tc>
      </w:tr>
    </w:tbl>
    <w:p w:rsidR="006B1499" w:rsidRPr="004F1F9C" w:rsidRDefault="006B1499" w:rsidP="006B1499"/>
    <w:p w:rsidR="006B1499" w:rsidRPr="004F1F9C" w:rsidRDefault="006B1499" w:rsidP="006B1499">
      <w:r w:rsidRPr="004F1F9C">
        <w:t xml:space="preserve">We use the overall Traditional Infrastructure index to calculate the impact of traditional infrastructure on MFP in the same way as we do for most factors that influence MFP. As described in Hughes </w:t>
      </w:r>
      <w:r w:rsidR="00F7383F" w:rsidRPr="004F1F9C">
        <w:fldChar w:fldCharType="begin"/>
      </w:r>
      <w:r>
        <w:instrText xml:space="preserve"> ADDIN ZOTERO_ITEM CSL_CITATION {"citationID":"xTJ21eB0","properties":{"formattedCitation":"{\\rtf (2007, 15\\uc0\\u8211{}16)}","plainCitation":"(2007, 15–16)"},"citationItems":[{"id":1555,"uris":["http://zotero.org/groups/4482/items/CGEPPA72"],"uri":["http://zotero.org/groups/4482/items/CGEPPA72"],"itemData":{"id":1555,"type":"manuscript","title":"Forecasting Global Economic Growth with Endogenous Multifactor Productivity: The International Futures (IFs) Approach","publisher-place":"Denver, CO","genre":"Pardee Center for International Futures Working Paper, University of Denver","archive":"www.ifs.du.edu/documents/reports.aspx","event-place":"Denver, CO","author":[{"family":"Hughes","given":"Barry B."}],"issued":{"year":2007}},"locator":"15-16","label":"page","suppress-author":true}],"schema":"https://github.com/citation-style-language/schema/raw/master/csl-citation.json"} </w:instrText>
      </w:r>
      <w:r w:rsidR="00F7383F" w:rsidRPr="004F1F9C">
        <w:fldChar w:fldCharType="separate"/>
      </w:r>
      <w:r w:rsidRPr="004F1F9C">
        <w:rPr>
          <w:rFonts w:cs="Calibri"/>
          <w:szCs w:val="24"/>
        </w:rPr>
        <w:t>(2007, 15–16)</w:t>
      </w:r>
      <w:r w:rsidR="00F7383F" w:rsidRPr="004F1F9C">
        <w:fldChar w:fldCharType="end"/>
      </w:r>
      <w:r w:rsidRPr="004F1F9C">
        <w:t xml:space="preserve">, we do this by comparing the value of the index for a country to a benchmark function that indicates what value we would expect to see for a country given its current level of GDP per capita. A country whose index falls above (below) the benchmark value receives a boost to (reduction from) its MFP. For example, Latvia and Gabon have similar levels of GDP per capita in 2010, but Latvia’s traditional infrastructure index falls well above the benchmark line while Gabon’s falls well below. Thus, the former will receive a boost to its MFP due to traditional infrastructure, while the latter will receive a reduction. The size of the boost or reduction depends upon the distance from the benchmark value and a factor relating this distance to productivity. Our default value for this factor is 0.08, which is based on Calderón, Moral-Benito, and Servén </w:t>
      </w:r>
      <w:r w:rsidR="00F7383F" w:rsidRPr="004F1F9C">
        <w:fldChar w:fldCharType="begin"/>
      </w:r>
      <w:r>
        <w:instrText xml:space="preserve"> ADDIN ZOTERO_ITEM CSL_CITATION {"citationID":"CDLEhED8","properties":{"formattedCitation":"(2011, 4)","plainCitation":"(2011, 4)"},"citationItems":[{"id":1314,"uris":["http://zotero.org/groups/4482/items/VK2GDZ35"],"uri":["http://zotero.org/groups/4482/items/VK2GDZ35"],"itemData":{"id":1314,"type":"manuscript","title":"Is Infrastructure Capital Productive? A Dynamic Heterogeneous Approach","publisher-place":"Washington, DC","genre":"Policy Research Working Paper no. 5682","event-place":"Washington, DC","abstract":"An adequate supply of infrastructure services has long been viewed by both academics and policy makers as a key ingredient for economic development. This paper offers an evaluation of the output contribution of infrastructure. Drawing from a large data set of infrastructure stocks covering 88 countries and spanning the years 1960-2000, the paper‘s empirical strategy is based on estimation of a long-run aggregate production function relating GDP to human capital, physical capital, and a synthetic measure of infrastructure given by the first principal component of infrastructure endowments in the transport, power and telecommunication sectors. Using a panel time-series approach, tests of the cointegration rank allowing for different dimensions of the cointegration space across countries reveal a common dimension with a single cointegrating vector, which we interpret as the long-run production function. Estimation of its parameters is performed using the pooled mean group (PMG) estimator, which allows for unrestricted short-run parameter heterogeneity across countries while imposing the (testable) restriction of long-run parameter homogeneity. The estimated long-run elasticity of output with respect to the synthetic infrastructure index ranges between 0.07 and 0.10, and the marginal productivity of infrastructure exceeds that of other physical capital. The estimates are highly significant, both statistically and economically, and robust to the use of alternative dynamic specifications and infrastructure measures. Furthermore, homogeneity tests reveal little evidence of long-run parameter heterogeneity across countries, whether heterogeneity is unconditional, or conditional on the level of development, population size, or infrastructure endowments.","call-number":"0006","note":"World Bank","shortTitle":"Is infrastructure capital productive?","author":[{"family":"Calderón","given":"César"},{"family":"Moral-Benito","given":"Enrique"},{"family":"Servén","given":"Luis"}],"issued":{"year":2011}},"locator":"4","label":"page","suppress-author":true}],"schema":"https://github.com/citation-style-language/schema/raw/master/csl-citation.json"} </w:instrText>
      </w:r>
      <w:r w:rsidR="00F7383F" w:rsidRPr="004F1F9C">
        <w:fldChar w:fldCharType="separate"/>
      </w:r>
      <w:r w:rsidRPr="004F1F9C">
        <w:rPr>
          <w:rFonts w:cs="Calibri"/>
        </w:rPr>
        <w:t>(2011, 4)</w:t>
      </w:r>
      <w:r w:rsidR="00F7383F" w:rsidRPr="004F1F9C">
        <w:fldChar w:fldCharType="end"/>
      </w:r>
      <w:r w:rsidRPr="004F1F9C">
        <w:t>, who estimated that the relationship between economic output and their own infrastructure index was between 0.07 and 0.10. This implies that if the value of the Traditional Infrastructure index for a country were a full point above the expected value given its level of GDP per capita, it would receive an 8 percentage point boost to its economic growth rate for the year due to infrastructure.</w:t>
      </w:r>
      <w:r w:rsidRPr="004F1F9C">
        <w:rPr>
          <w:rStyle w:val="FootnoteReference"/>
        </w:rPr>
        <w:footnoteReference w:id="78"/>
      </w:r>
    </w:p>
    <w:p w:rsidR="006B1499" w:rsidRPr="004F1F9C" w:rsidRDefault="00F7383F" w:rsidP="006B1499">
      <w:r>
        <w:rPr>
          <w:noProof/>
        </w:rPr>
        <w:pict>
          <v:shape id="_x0000_s1034" type="#_x0000_t202" style="position:absolute;margin-left:2in;margin-top:36pt;width:54pt;height:25.35pt;z-index:251681792;mso-position-horizontal:absolute;mso-position-vertical:absolute" stroked="f">
            <v:fill opacity="0"/>
            <v:textbox style="mso-next-textbox:#_x0000_s1034">
              <w:txbxContent>
                <w:p w:rsidR="002C11AA" w:rsidRDefault="002C11AA" w:rsidP="006B1499">
                  <w:r>
                    <w:t>Latvia</w:t>
                  </w:r>
                </w:p>
              </w:txbxContent>
            </v:textbox>
          </v:shape>
        </w:pict>
      </w:r>
      <w:r>
        <w:rPr>
          <w:noProof/>
        </w:rPr>
        <w:pict>
          <v:shape id="_x0000_s1033" type="#_x0000_t202" style="position:absolute;margin-left:108pt;margin-top:127.5pt;width:44.75pt;height:18.55pt;z-index:251680768;mso-position-horizontal:absolute;mso-position-vertical:absolute" stroked="f">
            <v:fill opacity="0"/>
            <v:textbox style="mso-next-textbox:#_x0000_s1033">
              <w:txbxContent>
                <w:p w:rsidR="002C11AA" w:rsidRDefault="002C11AA" w:rsidP="006B1499">
                  <w:r>
                    <w:t>GabonGab</w:t>
                  </w:r>
                </w:p>
              </w:txbxContent>
            </v:textbox>
          </v:shape>
        </w:pict>
      </w:r>
      <w:r w:rsidR="006B1499" w:rsidRPr="00196109">
        <w:rPr>
          <w:noProof/>
        </w:rPr>
        <w:drawing>
          <wp:inline distT="0" distB="0" distL="0" distR="0">
            <wp:extent cx="5486400" cy="3388360"/>
            <wp:effectExtent l="25400" t="25400" r="0" b="0"/>
            <wp:docPr id="74" name="C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6B1499" w:rsidRPr="004F1F9C" w:rsidRDefault="006B1499" w:rsidP="006B1499">
      <w:pPr>
        <w:rPr>
          <w:b/>
        </w:rPr>
      </w:pPr>
      <w:r w:rsidRPr="004F1F9C">
        <w:rPr>
          <w:b/>
        </w:rPr>
        <w:t xml:space="preserve">Figure 4.8 Traditional Infrastructure Index vs. GDP per </w:t>
      </w:r>
      <w:r>
        <w:rPr>
          <w:b/>
        </w:rPr>
        <w:t>c</w:t>
      </w:r>
      <w:r w:rsidRPr="004F1F9C">
        <w:rPr>
          <w:b/>
        </w:rPr>
        <w:t>apita, benchmark function</w:t>
      </w:r>
    </w:p>
    <w:p w:rsidR="00B53D73" w:rsidRDefault="00B53D73" w:rsidP="006B1499"/>
    <w:p w:rsidR="00B53D73" w:rsidRDefault="006B1499" w:rsidP="006B1499">
      <w:r w:rsidRPr="004F1F9C">
        <w:t>When considering the impact of ICT infrastructure on MFP, this same structure runs into problems. Recall that our formulation for forecasting ICT infrastructure includes a technology shift factor. Therefore, any relationship between GDP per capita and the expected level of ICT would not remain stable over time; for example, a country with a GDP per capita of $5,000 in 2015 would be expected to have more ICT infrastructure than a country with a GDP per capita of $5,000 in 2010.</w:t>
      </w:r>
    </w:p>
    <w:p w:rsidR="006B1499" w:rsidRPr="004F1F9C" w:rsidRDefault="006B1499" w:rsidP="006B1499">
      <w:r w:rsidRPr="004F1F9C">
        <w:t xml:space="preserve"> </w:t>
      </w:r>
    </w:p>
    <w:p w:rsidR="00B53D73" w:rsidRDefault="006B1499" w:rsidP="006B1499">
      <w:pPr>
        <w:rPr>
          <w:szCs w:val="24"/>
        </w:rPr>
      </w:pPr>
      <w:bookmarkStart w:id="129" w:name="_Toc326061525"/>
      <w:r w:rsidRPr="00A54D00">
        <w:rPr>
          <w:szCs w:val="24"/>
        </w:rPr>
        <w:t xml:space="preserve">We measure growth contribution from ICT advances by taking the annual changes in our ICT index, which is in essence an average of access rates for different kinds of ICT, and multiplying that with a factor representing the percent of MFP growth resulting from a unit change in the index. The factor is a </w:t>
      </w:r>
      <w:r>
        <w:rPr>
          <w:szCs w:val="24"/>
        </w:rPr>
        <w:t>user-changeable</w:t>
      </w:r>
      <w:r w:rsidRPr="00A54D00">
        <w:rPr>
          <w:szCs w:val="24"/>
        </w:rPr>
        <w:t xml:space="preserve"> parameter in the model with a default value of .08</w:t>
      </w:r>
      <w:r>
        <w:rPr>
          <w:szCs w:val="24"/>
        </w:rPr>
        <w:t>,</w:t>
      </w:r>
      <w:r w:rsidRPr="00A54D00">
        <w:rPr>
          <w:szCs w:val="24"/>
        </w:rPr>
        <w:t xml:space="preserve"> determined from the literature</w:t>
      </w:r>
      <w:r>
        <w:rPr>
          <w:szCs w:val="24"/>
        </w:rPr>
        <w:t xml:space="preserve"> </w:t>
      </w:r>
      <w:r w:rsidR="00F7383F">
        <w:rPr>
          <w:szCs w:val="24"/>
        </w:rPr>
        <w:fldChar w:fldCharType="begin"/>
      </w:r>
      <w:r>
        <w:rPr>
          <w:szCs w:val="24"/>
        </w:rPr>
        <w:instrText xml:space="preserve"> ADDIN ZOTERO_ITEM CSL_CITATION {"citationID":"RrgIMoz4","properties":{"formattedCitation":"(Qiang, Rossotto, and Kimura 2009, 45)","plainCitation":"(Qiang, Rossotto, and Kimura 2009, 45)"},"citationItems":[{"id":1214,"uris":["http://zotero.org/groups/4482/items/FMDRXFE5"],"uri":["http://zotero.org/groups/4482/items/FMDRXFE5"],"itemData":{"id":1214,"type":"chapter","title":"Economic Impacts of Broadband","container-title":"2009 Information and Communications for Development: Extending Reach and Increasing Impact","publisher":"World Bank","publisher-place":"Washington, DC","page":"35-50","event-place":"Washington, DC","author":[{"family":"Qiang","given":"Christine Zhen-Wei"},{"family":"Rossotto","given":"Carlo M."},{"family":"Kimura","given":"Kaoru"}],"editor":[{"family":"World Bank","given":""}],"issued":{"year":2009},"page-first":"35"},"locator":"45","label":"page"}],"schema":"https://github.com/citation-style-language/schema/raw/master/csl-citation.json"} </w:instrText>
      </w:r>
      <w:r w:rsidR="00F7383F">
        <w:rPr>
          <w:szCs w:val="24"/>
        </w:rPr>
        <w:fldChar w:fldCharType="separate"/>
      </w:r>
      <w:r>
        <w:rPr>
          <w:noProof/>
          <w:szCs w:val="24"/>
        </w:rPr>
        <w:t>(Qiang, Rossotto, and Kimura 2009: 45)</w:t>
      </w:r>
      <w:r w:rsidR="00F7383F">
        <w:rPr>
          <w:szCs w:val="24"/>
        </w:rPr>
        <w:fldChar w:fldCharType="end"/>
      </w:r>
      <w:r>
        <w:rPr>
          <w:szCs w:val="24"/>
        </w:rPr>
        <w:t>.</w:t>
      </w:r>
      <w:r w:rsidRPr="00A54D00">
        <w:rPr>
          <w:rStyle w:val="FootnoteReference"/>
          <w:szCs w:val="24"/>
        </w:rPr>
        <w:footnoteReference w:id="79"/>
      </w:r>
    </w:p>
    <w:p w:rsidR="006B1499" w:rsidRDefault="006B1499" w:rsidP="006B1499"/>
    <w:p w:rsidR="006B1499" w:rsidRPr="004F1F9C" w:rsidRDefault="000F392D" w:rsidP="006B1499">
      <w:pPr>
        <w:pStyle w:val="Heading4"/>
      </w:pPr>
      <w:bookmarkStart w:id="130" w:name="_Toc200095307"/>
      <w:r>
        <w:t>4.3</w:t>
      </w:r>
      <w:r w:rsidR="006B1499" w:rsidRPr="004F1F9C">
        <w:t>.5.2 Impacts on health</w:t>
      </w:r>
      <w:bookmarkEnd w:id="129"/>
      <w:bookmarkEnd w:id="130"/>
    </w:p>
    <w:p w:rsidR="00B53D73" w:rsidRDefault="006B1499" w:rsidP="006B1499">
      <w:r w:rsidRPr="004F1F9C">
        <w:t xml:space="preserve">In the previous volume in this series, </w:t>
      </w:r>
      <w:r w:rsidRPr="004F1F9C">
        <w:rPr>
          <w:i/>
        </w:rPr>
        <w:t>Improving Global Health</w:t>
      </w:r>
      <w:r w:rsidRPr="004F1F9C">
        <w:t xml:space="preserve">, we explored the impacts of 1) unsafe water, sanitation, and hygiene directly on diarrheal diseases and indirectly on diseases related to undernutrition via its impact on levels of undernutrition, and 2) indoor air pollution on respiratory infections, such as pneumonia, and respiratory diseases, such as chronic obstructive pulmonary disease (COPD) </w:t>
      </w:r>
      <w:r w:rsidR="00F7383F" w:rsidRPr="004F1F9C">
        <w:fldChar w:fldCharType="begin"/>
      </w:r>
      <w:r>
        <w:instrText xml:space="preserve"> ADDIN ZOTERO_ITEM CSL_CITATION {"citationID":"AbXk0bPF","properties":{"formattedCitation":"{\\rtf (Barry B. Hughes et al. 2011, 95\\uc0\\u8211{}100)}","plainCitation":"(Barry B. Hughes et al. 2011, 95–100)","dontUpdate":true},"citationItems":[{"id":680,"uris":["http://zotero.org/groups/4482/items/XWXBHFP5"],"uri":["http://zotero.org/groups/4482/items/XWXBHFP5"],"itemData":{"id":680,"type":"book","title":"Improving Global Health","collection-title":"Vol. 3 of the Patterns of Potential Human Progress series","publisher":"Paradigm Publishers and Oxford University Press","publisher-place":"Boulder, CO, and New Delhi, India","event-place":"Boulder, CO, and New Delhi, India","author":[{"family":"Hughes","given":"Barry B."},{"family":"Kuhn","given":"Randall"},{"family":"Peterson","given":"Cecilia"},{"family":"Rothman","given":"Dale S."},{"family":"Solórzano","given":"José Roberto"},{"family":"Dickson","given":"Janet R."}],"issued":{"year":2011}},"locator":"95-100","label":"page"}],"schema":"https://github.com/citation-style-language/schema/raw/master/csl-citation.json"} </w:instrText>
      </w:r>
      <w:r w:rsidR="00F7383F" w:rsidRPr="004F1F9C">
        <w:fldChar w:fldCharType="separate"/>
      </w:r>
      <w:r w:rsidRPr="004F1F9C">
        <w:rPr>
          <w:rFonts w:cs="Calibri"/>
          <w:szCs w:val="24"/>
        </w:rPr>
        <w:t>(Hughes et al. 2011, 95–100)</w:t>
      </w:r>
      <w:r w:rsidR="00F7383F" w:rsidRPr="004F1F9C">
        <w:fldChar w:fldCharType="end"/>
      </w:r>
      <w:r w:rsidRPr="004F1F9C">
        <w:t>. These are directly influenced by infrastructure via our measures of access to improved sources of drinking water and sanitation and the use of solid fuels in the home as proxies for these environmental health risks.</w:t>
      </w:r>
    </w:p>
    <w:p w:rsidR="006B1499" w:rsidRPr="004F1F9C" w:rsidRDefault="006B1499" w:rsidP="006B1499"/>
    <w:p w:rsidR="00B53D73" w:rsidRDefault="006B1499" w:rsidP="006B1499">
      <w:r w:rsidRPr="004F1F9C">
        <w:t xml:space="preserve">Hughes et al. </w:t>
      </w:r>
      <w:r w:rsidR="00F7383F" w:rsidRPr="004F1F9C">
        <w:fldChar w:fldCharType="begin"/>
      </w:r>
      <w:r>
        <w:instrText xml:space="preserve"> ADDIN ZOTERO_ITEM CSL_CITATION {"citationID":"gii0LuHA","properties":{"formattedCitation":"{\\rtf (2011, 44\\uc0\\u8211{}47)}","plainCitation":"(2011, 44–47)"},"citationItems":[{"id":680,"uris":["http://zotero.org/groups/4482/items/XWXBHFP5"],"uri":["http://zotero.org/groups/4482/items/XWXBHFP5"],"itemData":{"id":680,"type":"book","title":"Improving Global Health","collection-title":"Vol. 3 of the Patterns of Potential Human Progress series","publisher":"Paradigm Publishers and Oxford University Press","publisher-place":"Boulder, CO, and New Delhi, India","event-place":"Boulder, CO, and New Delhi, India","author":[{"family":"Hughes","given":"Barry B."},{"family":"Kuhn","given":"Randall"},{"family":"Peterson","given":"Cecilia"},{"family":"Rothman","given":"Dale S."},{"family":"Solórzano","given":"José Roberto"},{"family":"Dickson","given":"Janet R."}],"issued":{"year":2011}},"locator":"44-47","label":"page","suppress-author":true}],"schema":"https://github.com/citation-style-language/schema/raw/master/csl-citation.json"} </w:instrText>
      </w:r>
      <w:r w:rsidR="00F7383F" w:rsidRPr="004F1F9C">
        <w:fldChar w:fldCharType="separate"/>
      </w:r>
      <w:r w:rsidRPr="004F1F9C">
        <w:rPr>
          <w:rFonts w:cs="Calibri"/>
          <w:szCs w:val="24"/>
        </w:rPr>
        <w:t>(2011, 44–47)</w:t>
      </w:r>
      <w:r w:rsidR="00F7383F" w:rsidRPr="004F1F9C">
        <w:fldChar w:fldCharType="end"/>
      </w:r>
      <w:r w:rsidRPr="004F1F9C">
        <w:t xml:space="preserve"> presented in detail our approach for estimating the impact of these health risks . In general, we compare the forecasted values of these infrastructure indicators to values that we would anticipate based only on income and educational attainment (distal drivers). If the estimated and expected values differ, we adjust the levels of mortality and morbidity for the associated diseases forecasted based only upon the distal drivers. For example, if the levels of access to improved sources of water and sanitation are higher than expected, we reduce the mortality rate from diarrheal diseases. The amount by which the mortality rate is reduced is based upon the analysis presented in the Comparative Risk Analysis work of the World Health Organization </w:t>
      </w:r>
      <w:r w:rsidR="00F7383F" w:rsidRPr="00F7383F">
        <w:fldChar w:fldCharType="begin"/>
      </w:r>
      <w:r>
        <w:instrText xml:space="preserve"> ADDIN ZOTERO_ITEM CSL_CITATION {"citationID":"lO8smfNg","properties":{"formattedCitation":"(Ezzati et al. 2004)","plainCitation":"(Ezzati et al. 2004)"},"citationItems":[{"id":1556,"uris":["http://zotero.org/groups/4482/items/G3XV8NRZ"],"uri":["http://zotero.org/groups/4482/items/G3XV8NRZ"],"itemData":{"id":1556,"type":"book","title":"Comparative Quantification of Health Risks: Global and Regional Burden of Disease Attributable to Selected Major Risk Factors","publisher":"World Health Organization (WHO)","publisher-place":"Geneva, Switzerland","event-place":"Geneva, Switzerland","ISBN":"9789241580311","editor":[{"family":"Ezzati","given":"Majid"},{"family":"Lopez","given":"Alan D."},{"family":"Rodgers","given":"Anthony"},{"family":"Murray","given":"Christopher J. L."}],"issued":{"year":2004}}}],"schema":"https://github.com/citation-style-language/schema/raw/master/csl-citation.json"} </w:instrText>
      </w:r>
      <w:r w:rsidR="00F7383F" w:rsidRPr="00F7383F">
        <w:fldChar w:fldCharType="separate"/>
      </w:r>
      <w:r w:rsidRPr="004F1F9C">
        <w:rPr>
          <w:rFonts w:cs="Calibri"/>
        </w:rPr>
        <w:t>(Ezzati et al. 2004)</w:t>
      </w:r>
      <w:r w:rsidR="00F7383F" w:rsidRPr="004F1F9C">
        <w:rPr>
          <w:rFonts w:cs="Calibri"/>
        </w:rPr>
        <w:fldChar w:fldCharType="end"/>
      </w:r>
      <w:r w:rsidRPr="004F1F9C">
        <w:t>. This general approach, comparing forecasted values with expected ones and translating the difference into impact in a forward linkage, is obviously fundamentally similar to the method described above for linking infrastructure development and economic productivity.</w:t>
      </w:r>
    </w:p>
    <w:p w:rsidR="006B1499" w:rsidRPr="004F1F9C" w:rsidRDefault="006B1499" w:rsidP="006B1499"/>
    <w:p w:rsidR="006B1499" w:rsidRPr="004F1F9C" w:rsidRDefault="000F392D" w:rsidP="006B1499">
      <w:pPr>
        <w:pStyle w:val="Heading4"/>
      </w:pPr>
      <w:bookmarkStart w:id="131" w:name="_Toc326061526"/>
      <w:bookmarkStart w:id="132" w:name="_Toc200095308"/>
      <w:r>
        <w:t>4.3</w:t>
      </w:r>
      <w:r w:rsidR="006B1499" w:rsidRPr="004F1F9C">
        <w:t>.5.3 Impacts on energy</w:t>
      </w:r>
      <w:bookmarkEnd w:id="131"/>
      <w:bookmarkEnd w:id="132"/>
    </w:p>
    <w:p w:rsidR="00B53D73" w:rsidRDefault="006B1499" w:rsidP="006B1499">
      <w:pPr>
        <w:rPr>
          <w:rFonts w:cstheme="minorHAnsi"/>
          <w:color w:val="222222"/>
        </w:rPr>
      </w:pPr>
      <w:r w:rsidRPr="004F1F9C">
        <w:t xml:space="preserve">Finally, based on earlier analyses </w:t>
      </w:r>
      <w:r w:rsidR="00F7383F" w:rsidRPr="004F1F9C">
        <w:fldChar w:fldCharType="begin"/>
      </w:r>
      <w:r>
        <w:instrText xml:space="preserve"> ADDIN ZOTERO_ITEM CSL_CITATION {"citationID":"ZzWpD4d2","properties":{"formattedCitation":"(Moyer and Barry B. Hughes 2012)","plainCitation":"(Moyer and Barry B. Hughes 2012)"},"citationItems":[{"id":1557,"uris":["http://zotero.org/groups/4482/items/AJDT7IIT"],"uri":["http://zotero.org/groups/4482/items/AJDT7IIT"],"itemData":{"id":1557,"type":"article-journal","title":"ICTs: Do They Contribute to Increased Carbon Emissions?","container-title":"Technological Forecasting and Social Change","volume":"article in press","URL":"http://linkinghub.elsevier.com/retrieve/pii/S0040162511002836","DOI":"10.1016/j.techfore.2011.12.005","shortTitle":"ICTs","author":[{"family":"Moyer","given":"Jonathan D."},{"family":"Hughes","given":"Barry B."}],"issued":{"year":2012},"accessed":{"year":2012,"month":1,"day":30,"season":"19:07:59"}}}],"schema":"https://github.com/citation-style-language/schema/raw/master/csl-citation.json"} </w:instrText>
      </w:r>
      <w:r w:rsidR="00F7383F" w:rsidRPr="004F1F9C">
        <w:fldChar w:fldCharType="separate"/>
      </w:r>
      <w:r w:rsidRPr="004F1F9C">
        <w:rPr>
          <w:noProof/>
        </w:rPr>
        <w:t>(Moyer and Hughes 2012)</w:t>
      </w:r>
      <w:r w:rsidR="00F7383F" w:rsidRPr="004F1F9C">
        <w:fldChar w:fldCharType="end"/>
      </w:r>
      <w:r w:rsidRPr="004F1F9C">
        <w:t>, we also include effects of ICT infrastructure on the use of renewable energy and on overall energy intensity).</w:t>
      </w:r>
      <w:r>
        <w:t xml:space="preserve"> </w:t>
      </w:r>
      <w:r w:rsidRPr="004F1F9C">
        <w:rPr>
          <w:rFonts w:cs="Calibri"/>
          <w:color w:val="222222"/>
        </w:rPr>
        <w:t xml:space="preserve">The assumption is that increased ICT infrastructure: 1) reduces the relative cost of energy production from renewable sources and 2) improves overall energy efficiency. For the former, we assume an elasticity between broadband penetration and the share of energy provided by renewable energy </w:t>
      </w:r>
      <w:r w:rsidRPr="004F1F9C">
        <w:rPr>
          <w:rFonts w:cstheme="minorHAnsi"/>
          <w:color w:val="222222"/>
        </w:rPr>
        <w:t>such that</w:t>
      </w:r>
      <w:r w:rsidRPr="004F1F9C">
        <w:rPr>
          <w:rFonts w:cs="Calibri"/>
          <w:color w:val="222222"/>
        </w:rPr>
        <w:t xml:space="preserve"> a 1 percent increase in broadband penetration results in a 0.00185 percent increase in the share of total energy provided by renewable sources.</w:t>
      </w:r>
      <w:r>
        <w:rPr>
          <w:rFonts w:cs="Calibri"/>
          <w:color w:val="222222"/>
        </w:rPr>
        <w:t xml:space="preserve"> </w:t>
      </w:r>
      <w:r w:rsidRPr="004F1F9C">
        <w:rPr>
          <w:rFonts w:cs="Calibri"/>
          <w:color w:val="222222"/>
        </w:rPr>
        <w:t>The elasticity between</w:t>
      </w:r>
      <w:r w:rsidRPr="004F1F9C">
        <w:rPr>
          <w:rFonts w:cstheme="minorHAnsi"/>
          <w:color w:val="222222"/>
        </w:rPr>
        <w:t xml:space="preserve"> </w:t>
      </w:r>
      <w:r w:rsidRPr="004F1F9C">
        <w:rPr>
          <w:rFonts w:cs="Calibri"/>
          <w:color w:val="222222"/>
        </w:rPr>
        <w:t>the level of broadband penetration</w:t>
      </w:r>
      <w:r w:rsidRPr="004F1F9C">
        <w:rPr>
          <w:rFonts w:cstheme="minorHAnsi"/>
          <w:color w:val="222222"/>
        </w:rPr>
        <w:t xml:space="preserve"> and</w:t>
      </w:r>
      <w:r w:rsidRPr="004F1F9C">
        <w:rPr>
          <w:rFonts w:cs="Calibri"/>
          <w:color w:val="222222"/>
        </w:rPr>
        <w:t xml:space="preserve"> overall energy demand is</w:t>
      </w:r>
      <w:r w:rsidRPr="004F1F9C">
        <w:rPr>
          <w:rFonts w:cstheme="minorHAnsi"/>
          <w:color w:val="222222"/>
        </w:rPr>
        <w:t xml:space="preserve"> such that</w:t>
      </w:r>
      <w:r>
        <w:rPr>
          <w:rFonts w:cstheme="minorHAnsi"/>
          <w:color w:val="222222"/>
        </w:rPr>
        <w:t xml:space="preserve"> </w:t>
      </w:r>
      <w:r w:rsidRPr="004F1F9C">
        <w:rPr>
          <w:rFonts w:cs="Calibri"/>
          <w:color w:val="222222"/>
        </w:rPr>
        <w:t>a 1 percent increase in broadband penetration</w:t>
      </w:r>
      <w:r w:rsidRPr="004F1F9C">
        <w:rPr>
          <w:rFonts w:cstheme="minorHAnsi"/>
          <w:color w:val="222222"/>
        </w:rPr>
        <w:t xml:space="preserve"> </w:t>
      </w:r>
      <w:r w:rsidRPr="004F1F9C">
        <w:rPr>
          <w:rFonts w:cs="Calibri"/>
          <w:color w:val="222222"/>
        </w:rPr>
        <w:t>decrease</w:t>
      </w:r>
      <w:r w:rsidRPr="004F1F9C">
        <w:rPr>
          <w:rFonts w:cstheme="minorHAnsi"/>
          <w:color w:val="222222"/>
        </w:rPr>
        <w:t>s</w:t>
      </w:r>
      <w:r w:rsidR="00B53D73">
        <w:rPr>
          <w:rFonts w:cs="Calibri"/>
          <w:color w:val="222222"/>
        </w:rPr>
        <w:t xml:space="preserve"> energy use by 0.08 percent</w:t>
      </w:r>
      <w:r w:rsidRPr="004F1F9C">
        <w:rPr>
          <w:rFonts w:cstheme="minorHAnsi"/>
          <w:color w:val="222222"/>
        </w:rPr>
        <w:t>.</w:t>
      </w:r>
    </w:p>
    <w:p w:rsidR="006B1499" w:rsidRPr="004F1F9C" w:rsidRDefault="006B1499" w:rsidP="006B1499"/>
    <w:p w:rsidR="006B1499" w:rsidRPr="004F1F9C" w:rsidRDefault="00B53D73" w:rsidP="00877E30">
      <w:pPr>
        <w:pStyle w:val="Heading2"/>
        <w:numPr>
          <w:ilvl w:val="1"/>
          <w:numId w:val="32"/>
        </w:numPr>
      </w:pPr>
      <w:bookmarkStart w:id="133" w:name="_Toc326061527"/>
      <w:r>
        <w:t xml:space="preserve"> </w:t>
      </w:r>
      <w:bookmarkStart w:id="134" w:name="_Toc200095309"/>
      <w:r w:rsidR="006B1499" w:rsidRPr="004F1F9C">
        <w:t>Conclusion</w:t>
      </w:r>
      <w:bookmarkEnd w:id="133"/>
      <w:bookmarkEnd w:id="134"/>
    </w:p>
    <w:p w:rsidR="00B53D73" w:rsidRDefault="006B1499" w:rsidP="006B1499">
      <w:r w:rsidRPr="004F1F9C">
        <w:t>Do not underestimate the challenges in modeling the future of infrastructure. Previous efforts help us understand some of the building blocks of what we consider a comprehensive infrastructure forecasting system, namely representation of not only the demand for infrastructure, but also the ability to meet these demands and the socio-economic and environmental impacts of infrastructure building or of failure to do so. We are not aware of any previous attempt to model a fully integrated system and, in fact, most work has focused solely on the demand side, often with some attention to the funding potentially needed to meet those demands, so as to alert policy makers to that need.</w:t>
      </w:r>
    </w:p>
    <w:p w:rsidR="006B1499" w:rsidRPr="004F1F9C" w:rsidRDefault="006B1499" w:rsidP="006B1499">
      <w:r w:rsidRPr="004F1F9C">
        <w:t xml:space="preserve"> </w:t>
      </w:r>
    </w:p>
    <w:p w:rsidR="00B53D73" w:rsidRDefault="006B1499" w:rsidP="006B1499">
      <w:r w:rsidRPr="004F1F9C">
        <w:t>We have built upon these past efforts to implement a dynamic, integrated infrastructure model within the broader IFs system. This allows us to provide a more complete picture of not only the desirable, but the likely future patterns of infrastructure development and its two-way interaction with broader socio-economic development. We recognize, of course, that any model, ours included, simplifies reality. We do not cover all forms of infrastructure and our representations of the demand for infrastructure, the budgeting process, the actual construction and maintenance of infrastructure, and the forward linkages of infrastructure are all subject to errors.</w:t>
      </w:r>
    </w:p>
    <w:p w:rsidR="006B1499" w:rsidRPr="004F1F9C" w:rsidRDefault="006B1499" w:rsidP="006B1499">
      <w:r w:rsidRPr="004F1F9C">
        <w:t xml:space="preserve"> </w:t>
      </w:r>
    </w:p>
    <w:p w:rsidR="006B1499" w:rsidRDefault="006B1499" w:rsidP="006B1499">
      <w:r w:rsidRPr="004F1F9C">
        <w:t xml:space="preserve">The role of infrastructure in development processes is, however, too important for us to let challenges deflect us from seeking to better understand its future. We therefore will move ahead in the next chapter to present a Base Case scenario of the availability of and access to infrastructure, as well as the associated costs. Chapter 6 will then consider the costs and benefits of more aggressive pursuit of infrastructure development than we will see in the Base Case. </w:t>
      </w:r>
    </w:p>
    <w:p w:rsidR="006B1499" w:rsidRDefault="006B1499" w:rsidP="006B1499"/>
    <w:p w:rsidR="006B1499" w:rsidRDefault="006B1499" w:rsidP="006B1499"/>
    <w:p w:rsidR="006B1499" w:rsidRDefault="006B1499" w:rsidP="006B1499"/>
    <w:p w:rsidR="006B1499" w:rsidRDefault="006B1499" w:rsidP="006B1499"/>
    <w:p w:rsidR="009C0B88" w:rsidRDefault="009C0B88" w:rsidP="009C0B88">
      <w:pPr>
        <w:pStyle w:val="Heading1"/>
        <w:numPr>
          <w:ilvl w:val="0"/>
          <w:numId w:val="14"/>
        </w:numPr>
      </w:pPr>
      <w:bookmarkStart w:id="135" w:name="_Toc290550485"/>
      <w:bookmarkStart w:id="136" w:name="_Toc199491233"/>
      <w:bookmarkStart w:id="137" w:name="_Toc200095310"/>
      <w:r w:rsidRPr="00067E13">
        <w:t>Infrastructure Development and Spending in the IFs</w:t>
      </w:r>
      <w:bookmarkEnd w:id="135"/>
      <w:r>
        <w:t xml:space="preserve"> Base Case</w:t>
      </w:r>
      <w:bookmarkEnd w:id="136"/>
      <w:bookmarkEnd w:id="137"/>
    </w:p>
    <w:p w:rsidR="009C0B88" w:rsidRPr="004A3063" w:rsidRDefault="009C0B88" w:rsidP="009C0B88"/>
    <w:p w:rsidR="009C0B88" w:rsidRDefault="009C0B88" w:rsidP="009C0B88">
      <w:r>
        <w:t>Contrast infrastructure in China and India.</w:t>
      </w:r>
      <w:r w:rsidRPr="00422D46">
        <w:rPr>
          <w:rStyle w:val="FootnoteReference"/>
        </w:rPr>
        <w:footnoteReference w:id="80"/>
      </w:r>
      <w:r>
        <w:t xml:space="preserve"> Although most comparisons favor china, not all do. India has created a road system with a total length of 3.3 million kilometers, compared to something closer to 2 million in China. The density of the Indian network relative to land area is more than 5 times that of China. More generally with respect to roads, however, there are some very large differences in character and momentum that favor China. In spite of its extensive network, a considerably greater percentage of Indians than of Chinese are more than 2 kilometers from an all-weather road. And in 2011 China added 11,000 kilometers of expressways, pushing its network up towards an anticipated 85,000 kilometers. India was much more slowly building its 3,633 kilometer-long Golden Quadrilateral system to link Delhi, Mumbai, Chennai, and Kolkata. </w:t>
      </w:r>
    </w:p>
    <w:p w:rsidR="009C0B88" w:rsidRDefault="009C0B88" w:rsidP="009C0B88"/>
    <w:p w:rsidR="009C0B88" w:rsidRDefault="009C0B88" w:rsidP="009C0B88">
      <w:r>
        <w:t>The recent story of Chinese infrastructure development is one of superlatives and not just with respect to highway construction or the well-known size of its dams and water-diversion projects. In 2010 it had 742 miles of high-speed railroad, already nearly half that of Japan, the world's leader, and had a stunning 5,612 miles under construction; even with setbacks associated with safety on the network, the strength of China in the likely future is clear. India has only created plans for development of its first high-speed lines. In another arena, we estimate that in 2012 China overtook the United States in electricity generation capacity to become the world's leader. Its capacity in that year was nearly 17 times that of 1980. Indian capacity was about one-fifth that of China and had grown approximately 6.5 times over the same period. More than 90 percent of citizens in both countries have access to improved water sources. But in India fewer than 50 percent have improved sanitation facilities, in contrast to over 80 percent in China. Mobile phone access is quite comparable in the two countries and, in fact, is rapidly approaching universal access in both. Clearly, however, the past trajectories of the two Asian giants have been quite different, as will be their infrastructure futures—and it is very unclear whether India will begin to close the gap.</w:t>
      </w:r>
    </w:p>
    <w:p w:rsidR="009C0B88" w:rsidRDefault="009C0B88" w:rsidP="009C0B88"/>
    <w:p w:rsidR="009C0B88" w:rsidRDefault="009C0B88" w:rsidP="009C0B88">
      <w:r>
        <w:t>What does the future of infrastructure look like in such countries and globally? How will the world’s road networks evolve? How much more electricity generating capacity will there be? How will peoples’ access to clean water and sanitation change over time? Will information and communications technologies continue to grow more and more pervasive? The Chinese and Indian examples suggest the challenge in answering such questions over the long run; 50 years ago the Indian railway system was a marvel of the developing world—and still is in many respects, if not in speed. Many might have argued that, as has proven the case in Cuba, Chinese infrastructure would languish and India's would prosper. We have every reason to believe, however, that countries do tend to follow generally comparable paths towards development of infrastructure over the long run, especially as their incomes rise. We would therefore expect that, as we try to answer these questions for countries around the world, the infrastructure gaps between the two Asian giants may begin to narrow at some point in our forecast horizon and, more generally, that low- and especially middle-income countries will become more like high-income ones. How rapidly might that happen? Will every country converge to a high level of infrastructure coverage or will some continue to lag behind?</w:t>
      </w:r>
    </w:p>
    <w:p w:rsidR="009C0B88" w:rsidRDefault="009C0B88" w:rsidP="009C0B88"/>
    <w:p w:rsidR="009C0B88" w:rsidRDefault="009C0B88" w:rsidP="009C0B88">
      <w:r>
        <w:t>Any pattern of convergence will depend on financing. So there is another critical question for us: how much will it cost to build, operate and maintain likely infrastructure development? The governments of the world today spend most of their resources in four general categories. In the global aggregate those numbers are 2.7 percent on defense, 5.4 percent on health, 3.9 percent on education, and 3.4 percent on infrastructure.</w:t>
      </w:r>
      <w:r w:rsidRPr="00422D46">
        <w:rPr>
          <w:rStyle w:val="FootnoteReference"/>
        </w:rPr>
        <w:footnoteReference w:id="81"/>
      </w:r>
      <w:r>
        <w:t xml:space="preserve"> Given their focus on catching up, it is not surprising that low-income and lower middle-income countries spend at a higher rate on infrastructure—we estimate about 5.6 percent of GDP in each of those two groupings, compared to only 2.6 percent in high-income countries.</w:t>
      </w:r>
      <w:r w:rsidRPr="00422D46">
        <w:rPr>
          <w:rStyle w:val="FootnoteReference"/>
        </w:rPr>
        <w:footnoteReference w:id="82"/>
      </w:r>
      <w:r>
        <w:t xml:space="preserve"> These are difficult rates to maintain, especially for developing countries. Mobilizing private spending on top of such public rates is also not simple. To what extent will financial constraints restrict the ability of countries to meet the demand for infrastructure?</w:t>
      </w:r>
    </w:p>
    <w:p w:rsidR="009C0B88" w:rsidRDefault="009C0B88" w:rsidP="009C0B88"/>
    <w:p w:rsidR="009C0B88" w:rsidRDefault="009C0B88" w:rsidP="009C0B88">
      <w:r>
        <w:t>Our exploration of all these questions begins with a reference, or base case, scenario. The base case is a scenario portraying an internally consistent and reasonable dynamic evolution of current trends and typical patterns of development across countries. Unlike previous studies, which only estimate the demand for infrastructure, this study balances demand against the ability of countries to meet that demand given the resources available to them. Thus, the actual amount of infrastructure forecasted will reflect fiscal constraints. This will be important to remember when we compare our results later in the chapter against other studies that do not take this explicitly into consideration.</w:t>
      </w:r>
    </w:p>
    <w:p w:rsidR="009C0B88" w:rsidRDefault="009C0B88" w:rsidP="009C0B88"/>
    <w:p w:rsidR="009C0B88" w:rsidRDefault="009C0B88" w:rsidP="009C0B88">
      <w:r>
        <w:t xml:space="preserve">We are also obviously interested in how our forecasts compare to the formal and informal goals and targets that others have set with respect to infrastructure. Given their aspirational nature, it would surprise us if these were very often met in our base case. In Chapter 6, we present a scenario that pushes all countries to meet these goals and take a look at the broader developmental implications of doing so. </w:t>
      </w:r>
    </w:p>
    <w:p w:rsidR="009C0B88" w:rsidRDefault="009C0B88" w:rsidP="009C0B88"/>
    <w:p w:rsidR="009C0B88" w:rsidRDefault="009C0B88" w:rsidP="009C0B88">
      <w:r>
        <w:t>We are able to present only a subset of the results from our base case in the body of this report. The tables at the rear of this volume provide more detailed information for the 183 countries included in the IFs system.</w:t>
      </w:r>
    </w:p>
    <w:p w:rsidR="009C0B88" w:rsidRDefault="009C0B88" w:rsidP="009C0B88"/>
    <w:p w:rsidR="009C0B88" w:rsidRDefault="00EC2D95" w:rsidP="00EC2D95">
      <w:pPr>
        <w:pStyle w:val="Heading2"/>
        <w:numPr>
          <w:ilvl w:val="0"/>
          <w:numId w:val="0"/>
        </w:numPr>
      </w:pPr>
      <w:bookmarkStart w:id="138" w:name="_Toc199491234"/>
      <w:bookmarkStart w:id="139" w:name="_Toc200095311"/>
      <w:r>
        <w:t xml:space="preserve">5.1 </w:t>
      </w:r>
      <w:r w:rsidR="009C0B88">
        <w:t>Base case results</w:t>
      </w:r>
      <w:bookmarkEnd w:id="138"/>
      <w:bookmarkEnd w:id="139"/>
    </w:p>
    <w:p w:rsidR="009C0B88" w:rsidRDefault="00EC2D95" w:rsidP="00EC2D95">
      <w:pPr>
        <w:pStyle w:val="Heading3"/>
        <w:numPr>
          <w:ilvl w:val="0"/>
          <w:numId w:val="0"/>
        </w:numPr>
      </w:pPr>
      <w:bookmarkStart w:id="140" w:name="_Toc286330602"/>
      <w:bookmarkStart w:id="141" w:name="_Toc200095312"/>
      <w:bookmarkStart w:id="142" w:name="_Toc199491235"/>
      <w:r>
        <w:t>5.1.1</w:t>
      </w:r>
      <w:r>
        <w:tab/>
      </w:r>
      <w:r w:rsidR="009C0B88" w:rsidRPr="00B13116">
        <w:t>Introducing the IFs</w:t>
      </w:r>
      <w:bookmarkEnd w:id="140"/>
      <w:r w:rsidR="009C0B88">
        <w:t xml:space="preserve"> base case</w:t>
      </w:r>
      <w:bookmarkEnd w:id="141"/>
      <w:r w:rsidR="009C0B88">
        <w:t xml:space="preserve"> </w:t>
      </w:r>
      <w:bookmarkEnd w:id="142"/>
    </w:p>
    <w:p w:rsidR="009C0B88" w:rsidRDefault="009C0B88" w:rsidP="009C0B88">
      <w:r w:rsidRPr="00735B9E">
        <w:t>The IFs</w:t>
      </w:r>
      <w:r>
        <w:t xml:space="preserve"> base case scenario</w:t>
      </w:r>
      <w:r w:rsidRPr="00735B9E">
        <w:t xml:space="preserve"> is the output of the fully integrated </w:t>
      </w:r>
      <w:r>
        <w:t xml:space="preserve">IFs </w:t>
      </w:r>
      <w:r w:rsidRPr="00735B9E">
        <w:t>system</w:t>
      </w:r>
      <w:r>
        <w:t xml:space="preserve">. It is </w:t>
      </w:r>
      <w:r w:rsidRPr="00735B9E">
        <w:t>not a simple extrapolation of variables</w:t>
      </w:r>
      <w:r>
        <w:t>, but rather a dynamic, nonlinear depiction of the future given the structure of the model and our base case assumptions about model parameters.</w:t>
      </w:r>
      <w:r w:rsidRPr="00735B9E">
        <w:t xml:space="preserve"> </w:t>
      </w:r>
      <w:r>
        <w:t>Because the IFs system includes multiple issue areas (see Chapter 4), i</w:t>
      </w:r>
      <w:r w:rsidRPr="00735B9E">
        <w:t xml:space="preserve">nfrastructure </w:t>
      </w:r>
      <w:r>
        <w:t xml:space="preserve">variables </w:t>
      </w:r>
      <w:r w:rsidRPr="00735B9E">
        <w:t xml:space="preserve">respond to </w:t>
      </w:r>
      <w:r>
        <w:t xml:space="preserve">changes in all areas of the model including </w:t>
      </w:r>
      <w:r w:rsidRPr="00735B9E">
        <w:t>demographic</w:t>
      </w:r>
      <w:r>
        <w:t>s</w:t>
      </w:r>
      <w:r w:rsidRPr="00735B9E">
        <w:t>, economic</w:t>
      </w:r>
      <w:r>
        <w:t>s</w:t>
      </w:r>
      <w:r w:rsidRPr="00735B9E">
        <w:t>, education,</w:t>
      </w:r>
      <w:r>
        <w:t xml:space="preserve"> etc., </w:t>
      </w:r>
      <w:r w:rsidRPr="00735B9E">
        <w:t xml:space="preserve">and, in turn, </w:t>
      </w:r>
      <w:r>
        <w:t>recursively affect variables throughout the model</w:t>
      </w:r>
      <w:r w:rsidRPr="00735B9E">
        <w:t xml:space="preserve">. Among the most obvious consequences of this integration are that changes in infrastructure result in changes in population and </w:t>
      </w:r>
      <w:r>
        <w:t>gross domestic product (</w:t>
      </w:r>
      <w:r w:rsidRPr="00735B9E">
        <w:t>GDP</w:t>
      </w:r>
      <w:r>
        <w:t>)</w:t>
      </w:r>
      <w:r w:rsidRPr="00422D46">
        <w:rPr>
          <w:rStyle w:val="FootnoteReference"/>
        </w:rPr>
        <w:footnoteReference w:id="83"/>
      </w:r>
      <w:r w:rsidRPr="00735B9E">
        <w:t xml:space="preserve">, which can either accelerate or retard further changes in infrastructure outcomes via positive </w:t>
      </w:r>
      <w:r>
        <w:t>and negative feedbacks.</w:t>
      </w:r>
    </w:p>
    <w:p w:rsidR="009C0B88" w:rsidRPr="00735B9E" w:rsidRDefault="009C0B88" w:rsidP="009C0B88"/>
    <w:p w:rsidR="009C0B88" w:rsidRDefault="009C0B88" w:rsidP="009C0B88">
      <w:r w:rsidRPr="00E028CC">
        <w:t>The forecasts that IFs produce</w:t>
      </w:r>
      <w:r>
        <w:t>s</w:t>
      </w:r>
      <w:r w:rsidRPr="00E028CC">
        <w:t xml:space="preserve"> of key </w:t>
      </w:r>
      <w:r>
        <w:t>variables</w:t>
      </w:r>
      <w:r w:rsidRPr="00E028CC">
        <w:t>, such as population</w:t>
      </w:r>
      <w:r>
        <w:t>,</w:t>
      </w:r>
      <w:r w:rsidRPr="00E028CC">
        <w:t xml:space="preserve"> GDP per capita</w:t>
      </w:r>
      <w:r>
        <w:t>,</w:t>
      </w:r>
      <w:r w:rsidRPr="00E028CC">
        <w:t xml:space="preserve"> and educational attainment, are thus foundational underpinnings of its infrastructure forecasts.</w:t>
      </w:r>
      <w:r>
        <w:t xml:space="preserve"> </w:t>
      </w:r>
      <w:r w:rsidRPr="00E028CC">
        <w:t xml:space="preserve">Hughes et al. </w:t>
      </w:r>
      <w:r w:rsidR="00F7383F" w:rsidRPr="00E028CC">
        <w:fldChar w:fldCharType="begin"/>
      </w:r>
      <w:r>
        <w:instrText xml:space="preserve"> ADDIN ZOTERO_ITEM {"citationID":"2TrnTW3d","properties":{"formattedCitation":"{\\rtf (2009, 56\\uc0\\u8211{}71)}","plainCitation":"(2009, 56–71)"},"citationItems":[{"id":612,"uris":["http://zotero.org/groups/4482/items/UH9CPN5F"],"uri":["http://zotero.org/groups/4482/items/UH9CPN5F"],"locator":"56-71","suppress-author":true}]} </w:instrText>
      </w:r>
      <w:r w:rsidR="00F7383F" w:rsidRPr="00E028CC">
        <w:fldChar w:fldCharType="separate"/>
      </w:r>
      <w:r w:rsidRPr="00EE1992">
        <w:t>(2009, 56–71)</w:t>
      </w:r>
      <w:r w:rsidR="00F7383F" w:rsidRPr="00E028CC">
        <w:fldChar w:fldCharType="end"/>
      </w:r>
      <w:r w:rsidRPr="00E028CC">
        <w:t xml:space="preserve"> explored those forecasts, comparing them to other forecasts such as those of the </w:t>
      </w:r>
      <w:r>
        <w:t>United Nations Population Division (</w:t>
      </w:r>
      <w:r w:rsidRPr="00E028CC">
        <w:t>UNPD</w:t>
      </w:r>
      <w:r>
        <w:t>)</w:t>
      </w:r>
      <w:r w:rsidRPr="00E028CC">
        <w:t xml:space="preserve"> and </w:t>
      </w:r>
      <w:r>
        <w:t>the International Monetary Fund</w:t>
      </w:r>
      <w:r w:rsidRPr="00E028CC">
        <w:t>. As a general rule, the IFs</w:t>
      </w:r>
      <w:r>
        <w:t xml:space="preserve"> base case</w:t>
      </w:r>
      <w:r w:rsidRPr="00E028CC">
        <w:t xml:space="preserve"> produces behavior that tends to be quite similar to medium variant or </w:t>
      </w:r>
      <w:r>
        <w:t>reference</w:t>
      </w:r>
      <w:r w:rsidRPr="00E028CC">
        <w:t xml:space="preserve"> forecasts of such analyses (see also Hughes </w:t>
      </w:r>
      <w:r w:rsidR="00F7383F" w:rsidRPr="00E028CC">
        <w:fldChar w:fldCharType="begin"/>
      </w:r>
      <w:r>
        <w:instrText xml:space="preserve"> ADDIN ZOTERO_ITEM {"citationID":"3KTRBksc","properties":{"formattedCitation":"(2004)","plainCitation":"(2004)"},"citationItems":[{"id":772,"uris":["http://zotero.org/groups/4482/items/5TAA83I6"],"uri":["http://zotero.org/groups/4482/items/5TAA83I6"],"suppress-author":true}]} </w:instrText>
      </w:r>
      <w:r w:rsidR="00F7383F" w:rsidRPr="00E028CC">
        <w:fldChar w:fldCharType="separate"/>
      </w:r>
      <w:r>
        <w:rPr>
          <w:szCs w:val="21"/>
        </w:rPr>
        <w:t>(2004)</w:t>
      </w:r>
      <w:r w:rsidR="00F7383F" w:rsidRPr="00E028CC">
        <w:fldChar w:fldCharType="end"/>
      </w:r>
      <w:r w:rsidRPr="00E028CC">
        <w:t xml:space="preserve"> and Hughes and Hillebrand </w:t>
      </w:r>
      <w:r w:rsidR="00F7383F" w:rsidRPr="00E028CC">
        <w:fldChar w:fldCharType="begin"/>
      </w:r>
      <w:r>
        <w:instrText xml:space="preserve"> ADDIN ZOTERO_ITEM {"citationID":"Cv6W9b4v","properties":{"formattedCitation":"(2006)","plainCitation":"(2006)"},"citationItems":[{"id":806,"uris":["http://zotero.org/groups/4482/items/SVCTDQMN"],"uri":["http://zotero.org/groups/4482/items/SVCTDQMN"],"suppress-author":true}]} </w:instrText>
      </w:r>
      <w:r w:rsidR="00F7383F" w:rsidRPr="00E028CC">
        <w:fldChar w:fldCharType="separate"/>
      </w:r>
      <w:r>
        <w:rPr>
          <w:szCs w:val="21"/>
        </w:rPr>
        <w:t>(2006)</w:t>
      </w:r>
      <w:r w:rsidR="00F7383F" w:rsidRPr="00E028CC">
        <w:fldChar w:fldCharType="end"/>
      </w:r>
      <w:r>
        <w:t>).</w:t>
      </w:r>
    </w:p>
    <w:p w:rsidR="009C0B88" w:rsidRDefault="009C0B88" w:rsidP="009C0B88"/>
    <w:p w:rsidR="009C0B88" w:rsidRDefault="009C0B88" w:rsidP="009C0B88">
      <w:r>
        <w:t>The current base year for IFs forecasts is 2010. To the extent that historical data exist, all variables are assigned actual values for that year. For other data, we estimate 2010 values based on either recent country-level data and trends or cross-sectional relationships as described in Chapter 4. All values for future years are forecasted by the model, so they may not match the most recent historical data</w:t>
      </w:r>
      <w:r w:rsidRPr="007851AF">
        <w:t xml:space="preserve"> </w:t>
      </w:r>
      <w:r>
        <w:t>exactly.</w:t>
      </w:r>
    </w:p>
    <w:p w:rsidR="009C0B88" w:rsidRDefault="009C0B88" w:rsidP="009C0B88"/>
    <w:p w:rsidR="009C0B88" w:rsidRDefault="009C0B88" w:rsidP="00EC2D95">
      <w:pPr>
        <w:pStyle w:val="Heading3"/>
        <w:numPr>
          <w:ilvl w:val="0"/>
          <w:numId w:val="0"/>
        </w:numPr>
        <w:ind w:left="720" w:hanging="720"/>
      </w:pPr>
      <w:bookmarkStart w:id="143" w:name="_Toc199491236"/>
      <w:bookmarkStart w:id="144" w:name="_Toc200095313"/>
      <w:bookmarkStart w:id="145" w:name="_Toc286330607"/>
      <w:r>
        <w:t>5.1.2</w:t>
      </w:r>
      <w:r>
        <w:tab/>
      </w:r>
      <w:r w:rsidRPr="004E4ED8">
        <w:t xml:space="preserve">Total </w:t>
      </w:r>
      <w:r>
        <w:t>s</w:t>
      </w:r>
      <w:r w:rsidRPr="004E4ED8">
        <w:t xml:space="preserve">tocks of </w:t>
      </w:r>
      <w:r>
        <w:t>i</w:t>
      </w:r>
      <w:r w:rsidRPr="004E4ED8">
        <w:t>nfrastructure</w:t>
      </w:r>
      <w:bookmarkEnd w:id="143"/>
      <w:bookmarkEnd w:id="144"/>
    </w:p>
    <w:p w:rsidR="009C0B88" w:rsidRDefault="009C0B88" w:rsidP="009C0B88">
      <w:r>
        <w:t>In Chapter 2, we reviewed how the total stock of infrastructure has grown in recent decades. We forecast this growth to continue over the next half century as the world strives to meet the needs of their existing and growing populations (Figure 5.1). At the same time, we do start to see some hint of leveling off closer to the end of this period as population growth slows</w:t>
      </w:r>
      <w:r w:rsidRPr="00422D46">
        <w:rPr>
          <w:rStyle w:val="FootnoteReference"/>
        </w:rPr>
        <w:footnoteReference w:id="84"/>
      </w:r>
      <w:r>
        <w:t xml:space="preserve"> and many countries reach levels of saturation in certain forms of infrastructure.</w:t>
      </w:r>
    </w:p>
    <w:p w:rsidR="009C0B88" w:rsidRDefault="009C0B88" w:rsidP="009C0B88"/>
    <w:p w:rsidR="009C0B88" w:rsidRDefault="009C0B88" w:rsidP="009C0B88">
      <w:r>
        <w:t>The most spectacular growth, particularly over the next decade, will almost certainly be in mobile and fixed broadband subscriptions (see Figure 5.1 inset), followed in terms of growth rates by the completion of rapid movement towards nearly universal mobile phone subscriptions. Meanwhile, while not completely disappearing, the number of fixed telephone lines gradually will fall as they are replaced by these newer technologies, continuing a pattern already seen today.</w:t>
      </w:r>
    </w:p>
    <w:p w:rsidR="009C0B88" w:rsidRDefault="009C0B88" w:rsidP="009C0B88"/>
    <w:p w:rsidR="009C0B88" w:rsidRDefault="009C0B88" w:rsidP="009C0B88">
      <w:r>
        <w:t>The base case anticipates steady but less dramatic growth in other more established forms of infrastructure. Total road length increases by 65 percent and paved road length more than doubles as an increasing share of roads are paved.</w:t>
      </w:r>
      <w:r w:rsidRPr="001B298F">
        <w:t xml:space="preserve"> </w:t>
      </w:r>
      <w:r>
        <w:t>Total electricity generating capacity increases by 150 percent and the number of households with electricity connections approximately doubles. Households with connections to water and sanitation both grow by 150 percent. The area equipped for irrigation only increases by around 15 percent, reflecting the inherent limitations imposed by water availability and land suitability. More generally, of course, such infrastructure development will not only be constrained by natural systems, but oft</w:t>
      </w:r>
      <w:r w:rsidR="003054EC">
        <w:t>en be very disruptive to them.</w:t>
      </w:r>
    </w:p>
    <w:p w:rsidR="009C0B88" w:rsidRDefault="009C0B88" w:rsidP="009C0B88"/>
    <w:p w:rsidR="009C0B88" w:rsidRDefault="009C0B88" w:rsidP="009C0B88"/>
    <w:p w:rsidR="009C0B88" w:rsidRDefault="003054EC" w:rsidP="009C0B88">
      <w:r>
        <w:rPr>
          <w:noProof/>
          <w:sz w:val="16"/>
        </w:rPr>
        <w:drawing>
          <wp:anchor distT="0" distB="0" distL="114300" distR="114300" simplePos="0" relativeHeight="251684864" behindDoc="0" locked="0" layoutInCell="1" allowOverlap="1">
            <wp:simplePos x="0" y="0"/>
            <wp:positionH relativeFrom="column">
              <wp:posOffset>3886200</wp:posOffset>
            </wp:positionH>
            <wp:positionV relativeFrom="paragraph">
              <wp:posOffset>2910840</wp:posOffset>
            </wp:positionV>
            <wp:extent cx="1828800" cy="1371600"/>
            <wp:effectExtent l="25400" t="0" r="0" b="0"/>
            <wp:wrapNone/>
            <wp:docPr id="4" name="C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r>
        <w:rPr>
          <w:noProof/>
        </w:rPr>
        <w:drawing>
          <wp:inline distT="0" distB="0" distL="0" distR="0">
            <wp:extent cx="5918200" cy="4563533"/>
            <wp:effectExtent l="25400" t="0" r="0" b="0"/>
            <wp:docPr id="1"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9C0B88" w:rsidRPr="0051651C" w:rsidRDefault="009C0B88" w:rsidP="009C0B88">
      <w:pPr>
        <w:rPr>
          <w:b/>
          <w:i/>
        </w:rPr>
      </w:pPr>
      <w:r w:rsidRPr="002C26FA">
        <w:rPr>
          <w:b/>
          <w:i/>
        </w:rPr>
        <w:t>Figure 5.1 Global growth in total stocks of infrastructure</w:t>
      </w:r>
    </w:p>
    <w:p w:rsidR="009C0B88" w:rsidRPr="0051651C" w:rsidRDefault="009C0B88" w:rsidP="009C0B88">
      <w:pPr>
        <w:rPr>
          <w:i/>
        </w:rPr>
      </w:pPr>
      <w:r w:rsidRPr="002C26FA">
        <w:rPr>
          <w:i/>
          <w:szCs w:val="24"/>
        </w:rPr>
        <w:t>Source: IFs v6.54</w:t>
      </w:r>
    </w:p>
    <w:p w:rsidR="009C0B88" w:rsidRDefault="009C0B88" w:rsidP="009C0B88"/>
    <w:p w:rsidR="009C0B88" w:rsidRDefault="009C0B88" w:rsidP="009C0B88">
      <w:r>
        <w:t xml:space="preserve">The bulk of this growth occurs in the developing world, continuing past trends. For example, in 1975 over 70 percent of the total global installed electricity generating capacity was in the high-income economies (Figure 5.2). This declined to just over 50 percent in 2010 and, in our base case, continues to fall to 30 percent by 2060. Starting in the 2030s, the upper-middle-income economies take the top spot. This is also when its share peaks, though, due to faster growth in the lower-middle and low-income economies. Regionally, the pattern is much the same, as increases in electricity generating capacity in East Asia and the Pacific and South Asia in particular come to account for a larger share of global capacity. By 2060, the two regions alone account for 42 percent of global capacity. Outside of the EAP and SA, sub-Saharan Africa sees its share of global capacity increase from 1.5 percent in 2010 to 8 percent in 2060, while the Middle East and North Africa, Latin America and the Caribbean and Europe and Central Asia see relatively little change in their shares (the ECA actually shows a decline from 8 percent to 6 percent between 2010 and 2060). We forecast similar dynamic patterns for the other forms of infrastructure. </w:t>
      </w:r>
    </w:p>
    <w:p w:rsidR="009C0B88" w:rsidRDefault="009C0B88" w:rsidP="009C0B88"/>
    <w:p w:rsidR="00B15811" w:rsidRDefault="009C0B88" w:rsidP="009C0B88">
      <w:r>
        <w:t>This pattern of more rapid growth in infrastructure in the developing economies reflects the more rapid population and economic growth forecast for these countries compared to the developed economies.</w:t>
      </w:r>
      <w:r>
        <w:rPr>
          <w:rStyle w:val="FootnoteReference"/>
        </w:rPr>
        <w:t xml:space="preserve"> </w:t>
      </w:r>
      <w:r>
        <w:t>Our base case forecasts for average annual growth rates in GDP per person (using PPP) over the period 2010-2060 are 3.8 percent, 3.4 percent, 2.6 percent, and 1.2 percent for the low-income, lower-middle-income, upper-middle-income, and high-income economies, respectively. For population, the absolute levels of growth over this period are 132 percent, 62 percent, 4 percent, and 8 percent for the low-income, lower-middle-income, upper-middle-income, and high-income economies, respectively.</w:t>
      </w:r>
      <w:r>
        <w:rPr>
          <w:rStyle w:val="FootnoteReference"/>
        </w:rPr>
        <w:t xml:space="preserve"> </w:t>
      </w:r>
      <w:r>
        <w:t>More rapid anticipated growth of infrastructure in developing countries obviously also reflects the much greater "head room" that they have to build out their infrastructure so as to meet the needs of subpopulations that currently have no access to electricity and other modern infrastructure and, as we will see, the greater proportion of GDP they devote to doing so.</w:t>
      </w:r>
    </w:p>
    <w:p w:rsidR="00B15811" w:rsidRDefault="00B15811" w:rsidP="009C0B88"/>
    <w:p w:rsidR="009C0B88" w:rsidRDefault="009C0B88" w:rsidP="009C0B88"/>
    <w:p w:rsidR="009C0B88" w:rsidRDefault="009C0B88" w:rsidP="009C0B88"/>
    <w:p w:rsidR="009C0B88" w:rsidRDefault="00B15811" w:rsidP="00B15811">
      <w:pPr>
        <w:jc w:val="center"/>
        <w:rPr>
          <w:b/>
        </w:rPr>
      </w:pPr>
      <w:r w:rsidRPr="00B15811">
        <w:rPr>
          <w:noProof/>
        </w:rPr>
        <w:drawing>
          <wp:inline distT="0" distB="0" distL="0" distR="0">
            <wp:extent cx="5461000" cy="3175000"/>
            <wp:effectExtent l="25400" t="25400" r="0" b="0"/>
            <wp:docPr id="5" name="C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C0B88" w:rsidRPr="00463ED6" w:rsidRDefault="009C0B88" w:rsidP="009C0B88">
      <w:pPr>
        <w:rPr>
          <w:b/>
        </w:rPr>
      </w:pPr>
      <w:r w:rsidRPr="00463ED6">
        <w:rPr>
          <w:b/>
        </w:rPr>
        <w:t>Figure 5.</w:t>
      </w:r>
      <w:r>
        <w:rPr>
          <w:b/>
        </w:rPr>
        <w:t>2</w:t>
      </w:r>
      <w:r w:rsidRPr="00463ED6">
        <w:rPr>
          <w:b/>
        </w:rPr>
        <w:t xml:space="preserve"> </w:t>
      </w:r>
      <w:r>
        <w:rPr>
          <w:b/>
        </w:rPr>
        <w:t>Share of global installed electricity generating capacity</w:t>
      </w:r>
    </w:p>
    <w:p w:rsidR="009C0B88" w:rsidRPr="0051651C" w:rsidRDefault="009C0B88" w:rsidP="009C0B88">
      <w:pPr>
        <w:rPr>
          <w:i/>
        </w:rPr>
      </w:pPr>
      <w:r w:rsidRPr="002C26FA">
        <w:rPr>
          <w:i/>
          <w:szCs w:val="24"/>
        </w:rPr>
        <w:t>Source: IFs v6.54</w:t>
      </w:r>
    </w:p>
    <w:p w:rsidR="009C0B88" w:rsidRDefault="009C0B88" w:rsidP="009C0B88"/>
    <w:p w:rsidR="009C0B88" w:rsidRDefault="009C0B88" w:rsidP="00EC2D95">
      <w:pPr>
        <w:pStyle w:val="Heading3"/>
        <w:numPr>
          <w:ilvl w:val="0"/>
          <w:numId w:val="0"/>
        </w:numPr>
      </w:pPr>
      <w:bookmarkStart w:id="146" w:name="_Toc199491237"/>
      <w:bookmarkStart w:id="147" w:name="_Toc200095314"/>
      <w:r>
        <w:t>5.1.3</w:t>
      </w:r>
      <w:r>
        <w:tab/>
        <w:t>Access to i</w:t>
      </w:r>
      <w:r w:rsidRPr="004E4ED8">
        <w:t>nfrastructure</w:t>
      </w:r>
      <w:bookmarkEnd w:id="146"/>
      <w:bookmarkEnd w:id="147"/>
    </w:p>
    <w:p w:rsidR="009C0B88" w:rsidRDefault="009C0B88" w:rsidP="009C0B88">
      <w:r>
        <w:t>The expected growth in total amount of infrastructure, while impressive and also significant from a resource use and environmental perspective, is of less interest from a social perspective. Of greater fundamental concern to us is the amount of infrastructure relative to each society’s need. As we have discussed, there are currently great disparities across countries in terms of access to infrastructure. How do these change in our base case?</w:t>
      </w:r>
    </w:p>
    <w:p w:rsidR="009C0B88" w:rsidRDefault="009C0B88" w:rsidP="009C0B88"/>
    <w:p w:rsidR="009C0B88" w:rsidRDefault="009C0B88" w:rsidP="009C0B88">
      <w:r>
        <w:rPr>
          <w:i/>
        </w:rPr>
        <w:t xml:space="preserve">Global access rates will increase as the growth in global infrastructure exceeds that of population. </w:t>
      </w:r>
      <w:r>
        <w:t>In spite of global population growth of over 40% between 2010 and 2060, we forecast that access to all forms of infrastructure will increase, with the exception of fixed telephones for reasons discussed earlier. The world will have achieved universal access</w:t>
      </w:r>
      <w:r w:rsidRPr="00422D46">
        <w:rPr>
          <w:rStyle w:val="FootnoteReference"/>
        </w:rPr>
        <w:footnoteReference w:id="85"/>
      </w:r>
      <w:r>
        <w:t xml:space="preserve"> for mobile telecommunications,</w:t>
      </w:r>
      <w:r w:rsidRPr="00422D46">
        <w:rPr>
          <w:rStyle w:val="FootnoteReference"/>
        </w:rPr>
        <w:footnoteReference w:id="86"/>
      </w:r>
      <w:r>
        <w:t xml:space="preserve"> and will approach universal access for access to electricity and improved sources of safe water (Table 5.1). There will still be some distance to cover for all-season roads, improved sanitation, and fixed broadband.</w:t>
      </w:r>
    </w:p>
    <w:p w:rsidR="00B15811" w:rsidRDefault="00B15811" w:rsidP="009C0B88"/>
    <w:p w:rsidR="009C0B88" w:rsidRDefault="009C0B88" w:rsidP="009C0B88"/>
    <w:tbl>
      <w:tblPr>
        <w:tblStyle w:val="TableGrid"/>
        <w:tblW w:w="9578" w:type="dxa"/>
        <w:jc w:val="center"/>
        <w:tblLook w:val="04A0"/>
      </w:tblPr>
      <w:tblGrid>
        <w:gridCol w:w="3903"/>
        <w:gridCol w:w="2236"/>
        <w:gridCol w:w="1719"/>
        <w:gridCol w:w="1720"/>
      </w:tblGrid>
      <w:tr w:rsidR="009C0B88" w:rsidRPr="00A12BBF">
        <w:trPr>
          <w:jc w:val="center"/>
        </w:trPr>
        <w:tc>
          <w:tcPr>
            <w:tcW w:w="9578" w:type="dxa"/>
            <w:gridSpan w:val="4"/>
          </w:tcPr>
          <w:p w:rsidR="009C0B88" w:rsidRPr="00A12BBF" w:rsidRDefault="009C0B88" w:rsidP="009C0B88">
            <w:pPr>
              <w:rPr>
                <w:b/>
              </w:rPr>
            </w:pPr>
            <w:r w:rsidRPr="00A12BBF">
              <w:rPr>
                <w:b/>
              </w:rPr>
              <w:t xml:space="preserve">Table </w:t>
            </w:r>
            <w:r>
              <w:rPr>
                <w:b/>
              </w:rPr>
              <w:t>5</w:t>
            </w:r>
            <w:r w:rsidRPr="00A12BBF">
              <w:rPr>
                <w:b/>
              </w:rPr>
              <w:t>.</w:t>
            </w:r>
            <w:r>
              <w:rPr>
                <w:b/>
              </w:rPr>
              <w:t>1</w:t>
            </w:r>
            <w:r w:rsidRPr="00A12BBF">
              <w:rPr>
                <w:b/>
              </w:rPr>
              <w:t xml:space="preserve"> </w:t>
            </w:r>
            <w:r>
              <w:rPr>
                <w:b/>
              </w:rPr>
              <w:t>Levels of infrastructure access for the world</w:t>
            </w:r>
          </w:p>
        </w:tc>
      </w:tr>
      <w:tr w:rsidR="009C0B88" w:rsidRPr="00DF260F">
        <w:trPr>
          <w:jc w:val="center"/>
        </w:trPr>
        <w:tc>
          <w:tcPr>
            <w:tcW w:w="3903" w:type="dxa"/>
            <w:vAlign w:val="bottom"/>
          </w:tcPr>
          <w:p w:rsidR="009C0B88" w:rsidRPr="00DF260F" w:rsidRDefault="009C0B88" w:rsidP="009C0B88">
            <w:pPr>
              <w:jc w:val="center"/>
              <w:rPr>
                <w:szCs w:val="24"/>
              </w:rPr>
            </w:pPr>
          </w:p>
        </w:tc>
        <w:tc>
          <w:tcPr>
            <w:tcW w:w="2236" w:type="dxa"/>
            <w:vAlign w:val="bottom"/>
          </w:tcPr>
          <w:p w:rsidR="009C0B88" w:rsidRDefault="009C0B88" w:rsidP="009C0B88">
            <w:pPr>
              <w:jc w:val="center"/>
            </w:pPr>
            <w:r>
              <w:t>Unit</w:t>
            </w:r>
          </w:p>
        </w:tc>
        <w:tc>
          <w:tcPr>
            <w:tcW w:w="1719" w:type="dxa"/>
            <w:vAlign w:val="bottom"/>
          </w:tcPr>
          <w:p w:rsidR="009C0B88" w:rsidRDefault="009C0B88" w:rsidP="009C0B88">
            <w:pPr>
              <w:jc w:val="center"/>
            </w:pPr>
            <w:r>
              <w:t>Value in 2010</w:t>
            </w:r>
          </w:p>
        </w:tc>
        <w:tc>
          <w:tcPr>
            <w:tcW w:w="1720" w:type="dxa"/>
            <w:vAlign w:val="bottom"/>
          </w:tcPr>
          <w:p w:rsidR="009C0B88" w:rsidRDefault="009C0B88" w:rsidP="009C0B88">
            <w:pPr>
              <w:jc w:val="center"/>
            </w:pPr>
            <w:r>
              <w:t>Value in 2060</w:t>
            </w:r>
          </w:p>
        </w:tc>
      </w:tr>
      <w:tr w:rsidR="009C0B88" w:rsidRPr="00DF260F">
        <w:trPr>
          <w:jc w:val="center"/>
        </w:trPr>
        <w:tc>
          <w:tcPr>
            <w:tcW w:w="3903" w:type="dxa"/>
          </w:tcPr>
          <w:p w:rsidR="009C0B88" w:rsidRPr="00DF260F" w:rsidRDefault="009C0B88" w:rsidP="009C0B88">
            <w:r>
              <w:t>All-season roads (rural)</w:t>
            </w:r>
          </w:p>
        </w:tc>
        <w:tc>
          <w:tcPr>
            <w:tcW w:w="2236" w:type="dxa"/>
            <w:vAlign w:val="center"/>
          </w:tcPr>
          <w:p w:rsidR="009C0B88" w:rsidRPr="00DF260F" w:rsidRDefault="009C0B88" w:rsidP="009C0B88">
            <w:pPr>
              <w:jc w:val="center"/>
            </w:pPr>
            <w:r>
              <w:t>% of rural population</w:t>
            </w:r>
          </w:p>
        </w:tc>
        <w:tc>
          <w:tcPr>
            <w:tcW w:w="1719" w:type="dxa"/>
            <w:vAlign w:val="center"/>
          </w:tcPr>
          <w:p w:rsidR="009C0B88" w:rsidRPr="00DF260F" w:rsidRDefault="009C0B88" w:rsidP="009C0B88">
            <w:pPr>
              <w:jc w:val="center"/>
            </w:pPr>
            <w:r>
              <w:t>72.2</w:t>
            </w:r>
          </w:p>
        </w:tc>
        <w:tc>
          <w:tcPr>
            <w:tcW w:w="1720" w:type="dxa"/>
            <w:vAlign w:val="center"/>
          </w:tcPr>
          <w:p w:rsidR="009C0B88" w:rsidRPr="00DF260F" w:rsidRDefault="009C0B88" w:rsidP="009C0B88">
            <w:pPr>
              <w:jc w:val="center"/>
            </w:pPr>
            <w:r>
              <w:t>84.9</w:t>
            </w:r>
          </w:p>
        </w:tc>
      </w:tr>
      <w:tr w:rsidR="009C0B88" w:rsidRPr="00DF260F">
        <w:trPr>
          <w:jc w:val="center"/>
        </w:trPr>
        <w:tc>
          <w:tcPr>
            <w:tcW w:w="3903" w:type="dxa"/>
          </w:tcPr>
          <w:p w:rsidR="009C0B88" w:rsidRPr="00DF260F" w:rsidRDefault="009C0B88" w:rsidP="009C0B88">
            <w:pPr>
              <w:rPr>
                <w:szCs w:val="24"/>
              </w:rPr>
            </w:pPr>
            <w:r>
              <w:t>E</w:t>
            </w:r>
            <w:r w:rsidRPr="00DF260F">
              <w:t>lectricity (national)</w:t>
            </w:r>
          </w:p>
        </w:tc>
        <w:tc>
          <w:tcPr>
            <w:tcW w:w="2236" w:type="dxa"/>
            <w:vAlign w:val="center"/>
          </w:tcPr>
          <w:p w:rsidR="009C0B88" w:rsidRPr="00DF260F" w:rsidRDefault="009C0B88" w:rsidP="009C0B88">
            <w:pPr>
              <w:jc w:val="center"/>
            </w:pPr>
            <w:r>
              <w:t>% of population</w:t>
            </w:r>
          </w:p>
        </w:tc>
        <w:tc>
          <w:tcPr>
            <w:tcW w:w="1719" w:type="dxa"/>
            <w:vAlign w:val="center"/>
          </w:tcPr>
          <w:p w:rsidR="009C0B88" w:rsidRPr="00DF260F" w:rsidRDefault="009C0B88" w:rsidP="009C0B88">
            <w:pPr>
              <w:jc w:val="center"/>
            </w:pPr>
            <w:r>
              <w:t>79.2</w:t>
            </w:r>
          </w:p>
        </w:tc>
        <w:tc>
          <w:tcPr>
            <w:tcW w:w="1720" w:type="dxa"/>
            <w:vAlign w:val="center"/>
          </w:tcPr>
          <w:p w:rsidR="009C0B88" w:rsidRPr="00DF260F" w:rsidRDefault="009C0B88" w:rsidP="009C0B88">
            <w:pPr>
              <w:jc w:val="center"/>
            </w:pPr>
            <w:r>
              <w:t>94.6</w:t>
            </w:r>
          </w:p>
        </w:tc>
      </w:tr>
      <w:tr w:rsidR="009C0B88" w:rsidRPr="00DF260F">
        <w:trPr>
          <w:jc w:val="center"/>
        </w:trPr>
        <w:tc>
          <w:tcPr>
            <w:tcW w:w="3903" w:type="dxa"/>
          </w:tcPr>
          <w:p w:rsidR="009C0B88" w:rsidRPr="00DF260F" w:rsidRDefault="009C0B88" w:rsidP="009C0B88">
            <w:pPr>
              <w:rPr>
                <w:szCs w:val="24"/>
              </w:rPr>
            </w:pPr>
            <w:r>
              <w:t>Improved source of s</w:t>
            </w:r>
            <w:r w:rsidRPr="00DF260F">
              <w:t xml:space="preserve">afe </w:t>
            </w:r>
            <w:r>
              <w:t>w</w:t>
            </w:r>
            <w:r w:rsidRPr="00DF260F">
              <w:t>ater</w:t>
            </w:r>
          </w:p>
        </w:tc>
        <w:tc>
          <w:tcPr>
            <w:tcW w:w="2236" w:type="dxa"/>
            <w:vAlign w:val="center"/>
          </w:tcPr>
          <w:p w:rsidR="009C0B88" w:rsidRPr="00DF260F" w:rsidRDefault="009C0B88" w:rsidP="009C0B88">
            <w:pPr>
              <w:jc w:val="center"/>
            </w:pPr>
            <w:r>
              <w:t>% of population</w:t>
            </w:r>
          </w:p>
        </w:tc>
        <w:tc>
          <w:tcPr>
            <w:tcW w:w="1719" w:type="dxa"/>
            <w:vAlign w:val="center"/>
          </w:tcPr>
          <w:p w:rsidR="009C0B88" w:rsidRPr="00DF260F" w:rsidRDefault="009C0B88" w:rsidP="009C0B88">
            <w:pPr>
              <w:jc w:val="center"/>
            </w:pPr>
            <w:r>
              <w:t>87.8</w:t>
            </w:r>
          </w:p>
        </w:tc>
        <w:tc>
          <w:tcPr>
            <w:tcW w:w="1720" w:type="dxa"/>
            <w:vAlign w:val="center"/>
          </w:tcPr>
          <w:p w:rsidR="009C0B88" w:rsidRPr="00DF260F" w:rsidRDefault="009C0B88" w:rsidP="009C0B88">
            <w:pPr>
              <w:jc w:val="center"/>
            </w:pPr>
            <w:r>
              <w:t>96.1</w:t>
            </w:r>
          </w:p>
        </w:tc>
      </w:tr>
      <w:tr w:rsidR="009C0B88" w:rsidRPr="00DF260F">
        <w:trPr>
          <w:jc w:val="center"/>
        </w:trPr>
        <w:tc>
          <w:tcPr>
            <w:tcW w:w="3903" w:type="dxa"/>
          </w:tcPr>
          <w:p w:rsidR="009C0B88" w:rsidRPr="00DF260F" w:rsidRDefault="009C0B88" w:rsidP="009C0B88">
            <w:pPr>
              <w:rPr>
                <w:szCs w:val="24"/>
              </w:rPr>
            </w:pPr>
            <w:r>
              <w:t>Improved</w:t>
            </w:r>
            <w:r w:rsidRPr="00DF260F">
              <w:t xml:space="preserve"> </w:t>
            </w:r>
            <w:r>
              <w:t>s</w:t>
            </w:r>
            <w:r w:rsidRPr="00DF260F">
              <w:t>anitation</w:t>
            </w:r>
          </w:p>
        </w:tc>
        <w:tc>
          <w:tcPr>
            <w:tcW w:w="2236" w:type="dxa"/>
            <w:vAlign w:val="center"/>
          </w:tcPr>
          <w:p w:rsidR="009C0B88" w:rsidRPr="00DF260F" w:rsidRDefault="009C0B88" w:rsidP="009C0B88">
            <w:pPr>
              <w:jc w:val="center"/>
            </w:pPr>
            <w:r>
              <w:t>% of population</w:t>
            </w:r>
          </w:p>
        </w:tc>
        <w:tc>
          <w:tcPr>
            <w:tcW w:w="1719" w:type="dxa"/>
            <w:vAlign w:val="center"/>
          </w:tcPr>
          <w:p w:rsidR="009C0B88" w:rsidRPr="00DF260F" w:rsidRDefault="009C0B88" w:rsidP="009C0B88">
            <w:pPr>
              <w:jc w:val="center"/>
            </w:pPr>
            <w:r>
              <w:t>62.7</w:t>
            </w:r>
          </w:p>
        </w:tc>
        <w:tc>
          <w:tcPr>
            <w:tcW w:w="1720" w:type="dxa"/>
            <w:vAlign w:val="center"/>
          </w:tcPr>
          <w:p w:rsidR="009C0B88" w:rsidRPr="00DF260F" w:rsidRDefault="009C0B88" w:rsidP="009C0B88">
            <w:pPr>
              <w:jc w:val="center"/>
            </w:pPr>
            <w:r>
              <w:t>86.1</w:t>
            </w:r>
          </w:p>
        </w:tc>
      </w:tr>
      <w:tr w:rsidR="009C0B88" w:rsidRPr="00DF260F">
        <w:trPr>
          <w:jc w:val="center"/>
        </w:trPr>
        <w:tc>
          <w:tcPr>
            <w:tcW w:w="3903" w:type="dxa"/>
          </w:tcPr>
          <w:p w:rsidR="009C0B88" w:rsidRPr="00DF260F" w:rsidRDefault="009C0B88" w:rsidP="009C0B88">
            <w:r>
              <w:t>Fixed telephone lines</w:t>
            </w:r>
          </w:p>
        </w:tc>
        <w:tc>
          <w:tcPr>
            <w:tcW w:w="2236" w:type="dxa"/>
            <w:vAlign w:val="center"/>
          </w:tcPr>
          <w:p w:rsidR="009C0B88" w:rsidRDefault="009C0B88" w:rsidP="009C0B88">
            <w:pPr>
              <w:jc w:val="center"/>
            </w:pPr>
            <w:r>
              <w:t>per 100 persons</w:t>
            </w:r>
          </w:p>
        </w:tc>
        <w:tc>
          <w:tcPr>
            <w:tcW w:w="1719" w:type="dxa"/>
            <w:vAlign w:val="center"/>
          </w:tcPr>
          <w:p w:rsidR="009C0B88" w:rsidRPr="00DF260F" w:rsidRDefault="009C0B88" w:rsidP="009C0B88">
            <w:pPr>
              <w:jc w:val="center"/>
            </w:pPr>
            <w:r>
              <w:t>17.3</w:t>
            </w:r>
          </w:p>
        </w:tc>
        <w:tc>
          <w:tcPr>
            <w:tcW w:w="1720" w:type="dxa"/>
            <w:vAlign w:val="center"/>
          </w:tcPr>
          <w:p w:rsidR="009C0B88" w:rsidRDefault="009C0B88" w:rsidP="009C0B88">
            <w:pPr>
              <w:jc w:val="center"/>
            </w:pPr>
            <w:r>
              <w:t>3.4</w:t>
            </w:r>
          </w:p>
        </w:tc>
      </w:tr>
      <w:tr w:rsidR="009C0B88" w:rsidRPr="00DF260F">
        <w:trPr>
          <w:jc w:val="center"/>
        </w:trPr>
        <w:tc>
          <w:tcPr>
            <w:tcW w:w="3903" w:type="dxa"/>
          </w:tcPr>
          <w:p w:rsidR="009C0B88" w:rsidRPr="00DF260F" w:rsidRDefault="009C0B88" w:rsidP="009C0B88">
            <w:r w:rsidRPr="00DF260F">
              <w:t>Mobile phone subscriptions</w:t>
            </w:r>
          </w:p>
        </w:tc>
        <w:tc>
          <w:tcPr>
            <w:tcW w:w="2236" w:type="dxa"/>
            <w:vAlign w:val="center"/>
          </w:tcPr>
          <w:p w:rsidR="009C0B88" w:rsidRPr="00DF260F" w:rsidRDefault="009C0B88" w:rsidP="009C0B88">
            <w:pPr>
              <w:jc w:val="center"/>
            </w:pPr>
            <w:r>
              <w:t>per 100 persons</w:t>
            </w:r>
          </w:p>
        </w:tc>
        <w:tc>
          <w:tcPr>
            <w:tcW w:w="1719" w:type="dxa"/>
            <w:vAlign w:val="center"/>
          </w:tcPr>
          <w:p w:rsidR="009C0B88" w:rsidRPr="00DF260F" w:rsidRDefault="009C0B88" w:rsidP="009C0B88">
            <w:pPr>
              <w:jc w:val="center"/>
            </w:pPr>
            <w:r>
              <w:t>77.9</w:t>
            </w:r>
          </w:p>
        </w:tc>
        <w:tc>
          <w:tcPr>
            <w:tcW w:w="1720" w:type="dxa"/>
            <w:vAlign w:val="center"/>
          </w:tcPr>
          <w:p w:rsidR="009C0B88" w:rsidRPr="00DF260F" w:rsidRDefault="009C0B88" w:rsidP="009C0B88">
            <w:pPr>
              <w:jc w:val="center"/>
            </w:pPr>
            <w:r>
              <w:t>*150</w:t>
            </w:r>
          </w:p>
        </w:tc>
      </w:tr>
      <w:tr w:rsidR="009C0B88" w:rsidRPr="00DF260F">
        <w:trPr>
          <w:jc w:val="center"/>
        </w:trPr>
        <w:tc>
          <w:tcPr>
            <w:tcW w:w="3903" w:type="dxa"/>
          </w:tcPr>
          <w:p w:rsidR="009C0B88" w:rsidRPr="00DF260F" w:rsidRDefault="009C0B88" w:rsidP="009C0B88">
            <w:r w:rsidRPr="00DF260F">
              <w:t>Fixed broadband subscriptions</w:t>
            </w:r>
          </w:p>
        </w:tc>
        <w:tc>
          <w:tcPr>
            <w:tcW w:w="2236" w:type="dxa"/>
            <w:vAlign w:val="center"/>
          </w:tcPr>
          <w:p w:rsidR="009C0B88" w:rsidRPr="00DF260F" w:rsidRDefault="009C0B88" w:rsidP="009C0B88">
            <w:pPr>
              <w:jc w:val="center"/>
            </w:pPr>
            <w:r>
              <w:t>per 100 persons</w:t>
            </w:r>
          </w:p>
        </w:tc>
        <w:tc>
          <w:tcPr>
            <w:tcW w:w="1719" w:type="dxa"/>
            <w:vAlign w:val="center"/>
          </w:tcPr>
          <w:p w:rsidR="009C0B88" w:rsidRPr="00DF260F" w:rsidRDefault="009C0B88" w:rsidP="009C0B88">
            <w:pPr>
              <w:jc w:val="center"/>
            </w:pPr>
            <w:r>
              <w:t>7.7</w:t>
            </w:r>
          </w:p>
        </w:tc>
        <w:tc>
          <w:tcPr>
            <w:tcW w:w="1720" w:type="dxa"/>
            <w:vAlign w:val="center"/>
          </w:tcPr>
          <w:p w:rsidR="009C0B88" w:rsidRPr="00DF260F" w:rsidRDefault="009C0B88" w:rsidP="009C0B88">
            <w:pPr>
              <w:jc w:val="center"/>
            </w:pPr>
            <w:r>
              <w:t>55.8</w:t>
            </w:r>
          </w:p>
        </w:tc>
      </w:tr>
      <w:tr w:rsidR="009C0B88" w:rsidRPr="00DF260F">
        <w:trPr>
          <w:jc w:val="center"/>
        </w:trPr>
        <w:tc>
          <w:tcPr>
            <w:tcW w:w="3903" w:type="dxa"/>
          </w:tcPr>
          <w:p w:rsidR="009C0B88" w:rsidRPr="00DF260F" w:rsidRDefault="009C0B88" w:rsidP="009C0B88">
            <w:r w:rsidRPr="00DF260F">
              <w:t>Mobile broadband subscriptions</w:t>
            </w:r>
          </w:p>
        </w:tc>
        <w:tc>
          <w:tcPr>
            <w:tcW w:w="2236" w:type="dxa"/>
            <w:vAlign w:val="center"/>
          </w:tcPr>
          <w:p w:rsidR="009C0B88" w:rsidRPr="00DF260F" w:rsidRDefault="009C0B88" w:rsidP="009C0B88">
            <w:pPr>
              <w:jc w:val="center"/>
            </w:pPr>
            <w:r>
              <w:t>per 100 persons</w:t>
            </w:r>
          </w:p>
        </w:tc>
        <w:tc>
          <w:tcPr>
            <w:tcW w:w="1719" w:type="dxa"/>
            <w:vAlign w:val="center"/>
          </w:tcPr>
          <w:p w:rsidR="009C0B88" w:rsidRPr="00DF260F" w:rsidRDefault="009C0B88" w:rsidP="009C0B88">
            <w:pPr>
              <w:jc w:val="center"/>
            </w:pPr>
            <w:r>
              <w:t>13.0</w:t>
            </w:r>
          </w:p>
        </w:tc>
        <w:tc>
          <w:tcPr>
            <w:tcW w:w="1720" w:type="dxa"/>
            <w:vAlign w:val="center"/>
          </w:tcPr>
          <w:p w:rsidR="009C0B88" w:rsidRPr="00DF260F" w:rsidRDefault="009C0B88" w:rsidP="009C0B88">
            <w:pPr>
              <w:jc w:val="center"/>
            </w:pPr>
            <w:r>
              <w:t>*150</w:t>
            </w:r>
          </w:p>
        </w:tc>
      </w:tr>
      <w:tr w:rsidR="009C0B88" w:rsidRPr="00DF260F">
        <w:trPr>
          <w:jc w:val="center"/>
        </w:trPr>
        <w:tc>
          <w:tcPr>
            <w:tcW w:w="9578" w:type="dxa"/>
            <w:gridSpan w:val="4"/>
            <w:vAlign w:val="center"/>
          </w:tcPr>
          <w:p w:rsidR="009C0B88" w:rsidRDefault="009C0B88" w:rsidP="009C0B88">
            <w:pPr>
              <w:rPr>
                <w:szCs w:val="24"/>
              </w:rPr>
            </w:pPr>
            <w:r>
              <w:t>Source: IFs v6.54</w:t>
            </w:r>
          </w:p>
          <w:p w:rsidR="009C0B88" w:rsidRDefault="009C0B88" w:rsidP="009C0B88">
            <w:pPr>
              <w:rPr>
                <w:szCs w:val="24"/>
              </w:rPr>
            </w:pPr>
            <w:r>
              <w:t>* There remains debate about the level at which mobile and mobile broadband subscriptions will saturate. Multiple subscriptions push the saturation or universal access level for mobile telephony up to about 150 subscriptions per 100 persons; See Chapter 4 (including Figure 4.7) and footnote 7 of this chapter for further discussion of ICT saturation rates.</w:t>
            </w:r>
          </w:p>
        </w:tc>
      </w:tr>
    </w:tbl>
    <w:p w:rsidR="009C0B88" w:rsidRPr="007E3245" w:rsidRDefault="009C0B88" w:rsidP="009C0B88"/>
    <w:p w:rsidR="009C0B88" w:rsidRDefault="009C0B88" w:rsidP="009C0B88">
      <w:r w:rsidRPr="00A57662">
        <w:rPr>
          <w:i/>
        </w:rPr>
        <w:t>There will be a narrowing of the gap between rich and poor countries in access to all forms of infrastructure.</w:t>
      </w:r>
      <w:r>
        <w:t xml:space="preserve"> Given the base case forecast of universal global access to mobile telecommunications, no gap between rich and poor countries will remain by the end of our scenario horizon</w:t>
      </w:r>
      <w:r w:rsidRPr="00EF4F7A">
        <w:t xml:space="preserve"> (see Figure 5.3)</w:t>
      </w:r>
      <w:r>
        <w:t xml:space="preserve">. With respect to access to electricity and improved sources of drinking water, the gap between middle-income and high-income countries will also likely disappear, leaving only low-income economies short of universal access. In contrast, universal access to improved sanitation will continue to elude all but the high-income-economies, even as there is significant convergence. </w:t>
      </w:r>
    </w:p>
    <w:p w:rsidR="009C0B88" w:rsidRDefault="009C0B88" w:rsidP="009C0B88"/>
    <w:p w:rsidR="009C0B88" w:rsidRDefault="009C0B88" w:rsidP="009C0B88">
      <w:r>
        <w:rPr>
          <w:noProof/>
        </w:rPr>
        <w:drawing>
          <wp:inline distT="0" distB="0" distL="0" distR="0">
            <wp:extent cx="5943600" cy="7292975"/>
            <wp:effectExtent l="25400" t="0" r="0" b="0"/>
            <wp:docPr id="78" name="Picture 1" descr="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jpg"/>
                    <pic:cNvPicPr/>
                  </pic:nvPicPr>
                  <pic:blipFill>
                    <a:blip r:embed="rId72" cstate="print"/>
                    <a:stretch>
                      <a:fillRect/>
                    </a:stretch>
                  </pic:blipFill>
                  <pic:spPr>
                    <a:xfrm>
                      <a:off x="0" y="0"/>
                      <a:ext cx="5943600" cy="7292975"/>
                    </a:xfrm>
                    <a:prstGeom prst="rect">
                      <a:avLst/>
                    </a:prstGeom>
                  </pic:spPr>
                </pic:pic>
              </a:graphicData>
            </a:graphic>
          </wp:inline>
        </w:drawing>
      </w:r>
    </w:p>
    <w:p w:rsidR="009C0B88" w:rsidRDefault="009C0B88" w:rsidP="009C0B88">
      <w:r>
        <w:rPr>
          <w:b/>
        </w:rPr>
        <w:t>Figure 5.3 Infrastructure access 2010-2060, by World Bank Income Groups</w:t>
      </w:r>
    </w:p>
    <w:p w:rsidR="009C0B88" w:rsidRPr="0051651C" w:rsidRDefault="009C0B88" w:rsidP="009C0B88">
      <w:pPr>
        <w:rPr>
          <w:i/>
        </w:rPr>
      </w:pPr>
      <w:r w:rsidRPr="002C26FA">
        <w:rPr>
          <w:i/>
          <w:szCs w:val="24"/>
        </w:rPr>
        <w:t>Source: IFs 6.54. Values for mobiles phones and mobile broadband have been scaled by 2/3 reflecting an assumed saturation level of 150 subscriptions per 100 persons.</w:t>
      </w:r>
    </w:p>
    <w:p w:rsidR="009C0B88" w:rsidRDefault="009C0B88" w:rsidP="009C0B88">
      <w:pPr>
        <w:spacing w:after="200" w:line="276" w:lineRule="auto"/>
      </w:pPr>
      <w:r>
        <w:br w:type="page"/>
      </w:r>
    </w:p>
    <w:p w:rsidR="009C0B88" w:rsidRDefault="009C0B88" w:rsidP="009C0B88"/>
    <w:p w:rsidR="009C0B88" w:rsidRDefault="009C0B88" w:rsidP="009C0B88">
      <w:r w:rsidRPr="009E7399">
        <w:rPr>
          <w:i/>
        </w:rPr>
        <w:t>Th</w:t>
      </w:r>
      <w:r>
        <w:rPr>
          <w:i/>
        </w:rPr>
        <w:t xml:space="preserve">ere will be a significant reduction in the absolute number of people lacking access to basic infrastructure services, with those lacking access increasingly concentrated in low- and lower-middle-income countries. </w:t>
      </w:r>
      <w:r>
        <w:t>In our base case, the numbers of people lacking access to electricity, all-season roads, improved water, and improved sanitation fall between 2010 and 2060 by 500 million, 900 million, 1.2 billion, and 460 million, respectively, even as the global population increases by nearly 2.5 billion persons. Still, this leaves more than 1.3 billion people lacking access to improved sanitation, and on the order of half a billion without access to improved water, electricity, and an all-season road (Figure 5.4).</w:t>
      </w:r>
    </w:p>
    <w:p w:rsidR="009C0B88" w:rsidRDefault="009C0B88" w:rsidP="009C0B88"/>
    <w:p w:rsidR="009C0B88" w:rsidRDefault="009C0B88" w:rsidP="009C0B88">
      <w:r>
        <w:t>Those persons without access will be increasingly concentrated in the low-income and lower-middle income economies. This reflects both the remaining gaps in coverage in these countries, as well as their relatively larger population growth. In the mid-term (2010-2030), in fact, we see an increase in the absolute number of citizens without access to electricity and improved water and sanitation in the low-income-economies, before these numbers come down later in the period (again see Figure 5.4).</w:t>
      </w:r>
    </w:p>
    <w:p w:rsidR="009C0B88" w:rsidRDefault="009C0B88" w:rsidP="009C0B88"/>
    <w:p w:rsidR="009C0B88" w:rsidRDefault="009C0B88" w:rsidP="009C0B88">
      <w:r>
        <w:t>There will also remain important discrepancies in access within countries. T</w:t>
      </w:r>
      <w:r w:rsidRPr="00751F2D">
        <w:t>he IFs model is limited in its ability to forecast access to spec</w:t>
      </w:r>
      <w:r>
        <w:t>ific groups within countries. We do</w:t>
      </w:r>
      <w:r w:rsidRPr="00751F2D">
        <w:t xml:space="preserve">, however, calculate separate values of access to electricity for urban and rural areas. </w:t>
      </w:r>
      <w:r>
        <w:t>T</w:t>
      </w:r>
      <w:r w:rsidRPr="00751F2D">
        <w:t xml:space="preserve">hese do not differ significantly in high- and upper-middle-income countries, where </w:t>
      </w:r>
      <w:r>
        <w:t>access</w:t>
      </w:r>
      <w:r w:rsidRPr="00751F2D">
        <w:t xml:space="preserve"> </w:t>
      </w:r>
      <w:r>
        <w:t xml:space="preserve">in 2010 </w:t>
      </w:r>
      <w:r w:rsidRPr="00751F2D">
        <w:t xml:space="preserve">already exceeded 95 percent in both urban and rural areas. In lower-middle-income economies, however, while </w:t>
      </w:r>
      <w:r>
        <w:t>rates exceeded 90 percent in urban areas</w:t>
      </w:r>
      <w:r w:rsidRPr="00751F2D">
        <w:t xml:space="preserve"> </w:t>
      </w:r>
      <w:r>
        <w:t xml:space="preserve">they </w:t>
      </w:r>
      <w:r w:rsidRPr="00751F2D">
        <w:t>were only a</w:t>
      </w:r>
      <w:r>
        <w:t>round 55 percent in rural areas;</w:t>
      </w:r>
      <w:r w:rsidRPr="00751F2D">
        <w:t xml:space="preserve"> </w:t>
      </w:r>
      <w:r>
        <w:t>in low-income economies</w:t>
      </w:r>
      <w:r w:rsidRPr="00751F2D">
        <w:t xml:space="preserve"> these figures were just under 50 percent for urban areas and around 13 percent for rural areas. In our</w:t>
      </w:r>
      <w:r>
        <w:t xml:space="preserve"> base case</w:t>
      </w:r>
      <w:r w:rsidRPr="00751F2D">
        <w:t>, we forecast access in the lower-middle-income economies to exceed 95 percent in both urban and rural areas by 2060, but these will only reach 89 percent in urban and 68 percent in rural ar</w:t>
      </w:r>
      <w:r>
        <w:t>eas of</w:t>
      </w:r>
      <w:r w:rsidRPr="00751F2D">
        <w:t xml:space="preserve"> the low-income-economies.</w:t>
      </w:r>
    </w:p>
    <w:p w:rsidR="009C0B88" w:rsidRDefault="009C0B88" w:rsidP="009C0B88">
      <w:pPr>
        <w:rPr>
          <w:b/>
        </w:rPr>
      </w:pPr>
    </w:p>
    <w:p w:rsidR="009C0B88" w:rsidRDefault="009C0B88" w:rsidP="009C0B88">
      <w:pPr>
        <w:rPr>
          <w:b/>
        </w:rPr>
      </w:pPr>
      <w:r>
        <w:rPr>
          <w:b/>
          <w:noProof/>
        </w:rPr>
        <w:drawing>
          <wp:inline distT="0" distB="0" distL="0" distR="0">
            <wp:extent cx="5943600" cy="4691380"/>
            <wp:effectExtent l="25400" t="0" r="0" b="0"/>
            <wp:docPr id="79" name="Picture 10" descr="Figure 5.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4.pdf"/>
                    <pic:cNvPicPr/>
                  </pic:nvPicPr>
                  <ve:AlternateContent xmlns:ma="http://schemas.microsoft.com/office/mac/drawingml/2008/main">
                    <ve:Choice Requires="ma">
                      <pic:blipFill>
                        <a:blip r:embed="rId73"/>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74"/>
                        <a:stretch>
                          <a:fillRect/>
                        </a:stretch>
                      </pic:blipFill>
                    </ve:Fallback>
                  </ve:AlternateContent>
                  <pic:spPr>
                    <a:xfrm>
                      <a:off x="0" y="0"/>
                      <a:ext cx="5943600" cy="4691380"/>
                    </a:xfrm>
                    <a:prstGeom prst="rect">
                      <a:avLst/>
                    </a:prstGeom>
                  </pic:spPr>
                </pic:pic>
              </a:graphicData>
            </a:graphic>
          </wp:inline>
        </w:drawing>
      </w:r>
    </w:p>
    <w:p w:rsidR="009C0B88" w:rsidRPr="008B22E6" w:rsidRDefault="009C0B88" w:rsidP="009C0B88">
      <w:pPr>
        <w:rPr>
          <w:b/>
        </w:rPr>
      </w:pPr>
      <w:r w:rsidRPr="008B22E6">
        <w:rPr>
          <w:b/>
        </w:rPr>
        <w:t>Figure 5</w:t>
      </w:r>
      <w:r>
        <w:rPr>
          <w:b/>
        </w:rPr>
        <w:t>.4</w:t>
      </w:r>
      <w:r w:rsidRPr="008B22E6">
        <w:rPr>
          <w:b/>
        </w:rPr>
        <w:t xml:space="preserve"> Persons without </w:t>
      </w:r>
      <w:r>
        <w:rPr>
          <w:b/>
        </w:rPr>
        <w:t>a</w:t>
      </w:r>
      <w:r w:rsidRPr="008B22E6">
        <w:rPr>
          <w:b/>
        </w:rPr>
        <w:t xml:space="preserve">ccess to </w:t>
      </w:r>
      <w:r>
        <w:rPr>
          <w:b/>
        </w:rPr>
        <w:t>b</w:t>
      </w:r>
      <w:r w:rsidRPr="008B22E6">
        <w:rPr>
          <w:b/>
        </w:rPr>
        <w:t xml:space="preserve">asic </w:t>
      </w:r>
      <w:r>
        <w:rPr>
          <w:b/>
        </w:rPr>
        <w:t>i</w:t>
      </w:r>
      <w:r w:rsidRPr="008B22E6">
        <w:rPr>
          <w:b/>
        </w:rPr>
        <w:t xml:space="preserve">nfrastructure </w:t>
      </w:r>
      <w:r>
        <w:rPr>
          <w:b/>
        </w:rPr>
        <w:t>s</w:t>
      </w:r>
      <w:r w:rsidRPr="008B22E6">
        <w:rPr>
          <w:b/>
        </w:rPr>
        <w:t>ervices, by W</w:t>
      </w:r>
      <w:r>
        <w:rPr>
          <w:b/>
        </w:rPr>
        <w:t xml:space="preserve">orld </w:t>
      </w:r>
      <w:r w:rsidRPr="008B22E6">
        <w:rPr>
          <w:b/>
        </w:rPr>
        <w:t>B</w:t>
      </w:r>
      <w:r>
        <w:rPr>
          <w:b/>
        </w:rPr>
        <w:t>ank</w:t>
      </w:r>
      <w:r w:rsidRPr="008B22E6">
        <w:rPr>
          <w:b/>
        </w:rPr>
        <w:t xml:space="preserve"> Income Groups (millions)</w:t>
      </w:r>
    </w:p>
    <w:p w:rsidR="009C0B88" w:rsidRPr="007910DA" w:rsidRDefault="009C0B88" w:rsidP="009C0B88">
      <w:pPr>
        <w:rPr>
          <w:i/>
        </w:rPr>
      </w:pPr>
      <w:r w:rsidRPr="007910DA">
        <w:rPr>
          <w:i/>
        </w:rPr>
        <w:t>Source: IFs 6.57</w:t>
      </w:r>
    </w:p>
    <w:p w:rsidR="009C0B88" w:rsidRDefault="009C0B88" w:rsidP="009C0B88"/>
    <w:p w:rsidR="009C0B88" w:rsidRDefault="009C0B88" w:rsidP="009C0B88">
      <w:r>
        <w:t>Regionally (see Figure 5.5), the largest numbers without access to electricity and improved water sources are now in South Asia, while most people without access to rural roads or sanitation are in Africa; one can see the impact of South Asia's greater population density in those comparisons. East Asia, if only by virtue of its huge population numbers (2 billion in 2012 versus 1.6 billion in South Asia and 0.9 billion in sub-Saharan Africa) also has a great many people without modern infrastructure, especially improved water and sanitation.</w:t>
      </w:r>
    </w:p>
    <w:p w:rsidR="009C0B88" w:rsidRDefault="009C0B88" w:rsidP="009C0B88"/>
    <w:p w:rsidR="009C0B88" w:rsidRDefault="009C0B88" w:rsidP="009C0B88">
      <w:r>
        <w:t>Progress with respect to all infrastructure forms is, however, likely to be more rapid in South Asia and East Asia than in sub-Saharan Africa. By 2060 we anticipate that well over half of those globally who lack access to all-weather roads, electricity, and improved water will live in sub-Saharan Africa, as well as the single largest regional number of those without improved sanitation. There will still be many in South Asia without access to all-weather roads and especially without access to improved sanitation. More than 150 million East Asians will also not have improved sanitation, but otherwise regional access will be mostly universal for all four infrastructure forms (and, of course, mobile services</w:t>
      </w:r>
      <w:r w:rsidRPr="00422D46">
        <w:rPr>
          <w:rStyle w:val="FootnoteReference"/>
        </w:rPr>
        <w:footnoteReference w:id="87"/>
      </w:r>
      <w:r>
        <w:t>).</w:t>
      </w:r>
    </w:p>
    <w:p w:rsidR="009C0B88" w:rsidRDefault="009C0B88" w:rsidP="009C0B88"/>
    <w:p w:rsidR="009C0B88" w:rsidRDefault="009C0B88" w:rsidP="009C0B88">
      <w:pPr>
        <w:rPr>
          <w:b/>
        </w:rPr>
      </w:pPr>
      <w:r>
        <w:rPr>
          <w:b/>
          <w:noProof/>
        </w:rPr>
        <w:drawing>
          <wp:inline distT="0" distB="0" distL="0" distR="0">
            <wp:extent cx="5943600" cy="4398010"/>
            <wp:effectExtent l="0" t="0" r="0" b="0"/>
            <wp:docPr id="80" name="Picture 8" descr="Figure 5.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5.pdf"/>
                    <pic:cNvPicPr/>
                  </pic:nvPicPr>
                  <ve:AlternateContent xmlns:ma="http://schemas.microsoft.com/office/mac/drawingml/2008/main">
                    <ve:Choice Requires="ma">
                      <pic:blipFill>
                        <a:blip r:embed="rId75"/>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76"/>
                        <a:stretch>
                          <a:fillRect/>
                        </a:stretch>
                      </pic:blipFill>
                    </ve:Fallback>
                  </ve:AlternateContent>
                  <pic:spPr>
                    <a:xfrm>
                      <a:off x="0" y="0"/>
                      <a:ext cx="5943600" cy="4398010"/>
                    </a:xfrm>
                    <a:prstGeom prst="rect">
                      <a:avLst/>
                    </a:prstGeom>
                  </pic:spPr>
                </pic:pic>
              </a:graphicData>
            </a:graphic>
          </wp:inline>
        </w:drawing>
      </w:r>
    </w:p>
    <w:p w:rsidR="009C0B88" w:rsidRPr="008B22E6" w:rsidRDefault="009C0B88" w:rsidP="009C0B88">
      <w:pPr>
        <w:rPr>
          <w:b/>
        </w:rPr>
      </w:pPr>
      <w:r w:rsidRPr="008B22E6">
        <w:rPr>
          <w:b/>
        </w:rPr>
        <w:t>Figure 5</w:t>
      </w:r>
      <w:r>
        <w:rPr>
          <w:b/>
        </w:rPr>
        <w:t>.5</w:t>
      </w:r>
      <w:r w:rsidRPr="008B22E6">
        <w:rPr>
          <w:b/>
        </w:rPr>
        <w:t xml:space="preserve"> Persons without </w:t>
      </w:r>
      <w:r>
        <w:rPr>
          <w:b/>
        </w:rPr>
        <w:t>a</w:t>
      </w:r>
      <w:r w:rsidRPr="008B22E6">
        <w:rPr>
          <w:b/>
        </w:rPr>
        <w:t xml:space="preserve">ccess to </w:t>
      </w:r>
      <w:r>
        <w:rPr>
          <w:b/>
        </w:rPr>
        <w:t>b</w:t>
      </w:r>
      <w:r w:rsidRPr="008B22E6">
        <w:rPr>
          <w:b/>
        </w:rPr>
        <w:t>asi</w:t>
      </w:r>
      <w:r>
        <w:rPr>
          <w:b/>
        </w:rPr>
        <w:t>c infrastructure services, by</w:t>
      </w:r>
      <w:r w:rsidRPr="008B22E6">
        <w:rPr>
          <w:b/>
        </w:rPr>
        <w:t xml:space="preserve"> </w:t>
      </w:r>
      <w:r>
        <w:rPr>
          <w:b/>
        </w:rPr>
        <w:t>region</w:t>
      </w:r>
      <w:r w:rsidRPr="008B22E6">
        <w:rPr>
          <w:b/>
        </w:rPr>
        <w:t xml:space="preserve"> (millions)</w:t>
      </w:r>
    </w:p>
    <w:p w:rsidR="009C0B88" w:rsidRPr="007910DA" w:rsidRDefault="009C0B88" w:rsidP="009C0B88">
      <w:pPr>
        <w:rPr>
          <w:i/>
        </w:rPr>
      </w:pPr>
      <w:r w:rsidRPr="007910DA">
        <w:rPr>
          <w:i/>
        </w:rPr>
        <w:t>Source: IFs 6.57</w:t>
      </w:r>
    </w:p>
    <w:p w:rsidR="009C0B88" w:rsidRDefault="009C0B88" w:rsidP="009C0B88"/>
    <w:p w:rsidR="009C0B88" w:rsidRDefault="009C0B88" w:rsidP="002C11AA">
      <w:pPr>
        <w:pStyle w:val="Heading3"/>
        <w:numPr>
          <w:ilvl w:val="0"/>
          <w:numId w:val="0"/>
        </w:numPr>
        <w:ind w:left="720" w:hanging="720"/>
      </w:pPr>
      <w:bookmarkStart w:id="148" w:name="_Toc199491238"/>
      <w:bookmarkStart w:id="149" w:name="_Toc200095315"/>
      <w:r>
        <w:t>5.1.4</w:t>
      </w:r>
      <w:r>
        <w:tab/>
        <w:t>Spending on</w:t>
      </w:r>
      <w:r w:rsidRPr="004E4ED8">
        <w:t xml:space="preserve"> Infrastructure</w:t>
      </w:r>
      <w:bookmarkEnd w:id="148"/>
      <w:bookmarkEnd w:id="149"/>
    </w:p>
    <w:p w:rsidR="009C0B88" w:rsidRDefault="009C0B88" w:rsidP="009C0B88">
      <w:r>
        <w:t>In Chapter 2, we described the difficulty in finding comprehensive and comparable data on infrastructure spending. Following other studies, we estimate future spending for a number of specific types of infrastructure (those discussed throughout this chapter and the next) from the bottom-up, based upon our forecasts of physical infrastructure and using average unit costs for specific types of infrastructure (see Chapter 4). We do not try to spread out the spending on new construction over the life of individual projects, which is often many years, but rather attribute the spending to the year that the infrastructure is completed and "comes on line". We also use crude assumptions about the shares of spending that come from the public and private purses. Finally, we assume that the amount of infrastructure spending by the public sector on categories not included in our bottom-up estimates (including, for example, railroads, airports, and seaports) varies as a simple function of average income; we do not estimate any private spending for this "other" infrastructure. For these and other reasons, we encourage the reader to focus primarily on the patterns of behavior rather than the specific numbers in this section, even more so than is normally the case for interpreting forecasted data.</w:t>
      </w:r>
    </w:p>
    <w:p w:rsidR="009C0B88" w:rsidRDefault="009C0B88" w:rsidP="009C0B88"/>
    <w:p w:rsidR="009C0B88" w:rsidRDefault="009C0B88" w:rsidP="009C0B88">
      <w:r>
        <w:t>In our base case, global infrastructure spending over the next 50 years is nearly $190 trillion (in year 2000 constant dollars). Annual spending gradually increases from $2 trillion in 2010 to $5.6 trillion in 2060. Over time, the developing-country portion of that global total increases, rising from 50 percent in 2010 to 70 percent in 2060 (Figure 5.6), with the bulk of the developing-world share made up of spending in East Asia and the Pacific (which rises from 21 percent of global spending in 2010 to 23 percent in 2060) and South Asia (where spending rises from 7 percent to 17 percent of the global total). Sub-Saharan Africa becomes the third largest spender among developing regions as its spending on infrastructure balloons from a 2.5 percent global share in 2010 to an 11 percent share in 2060 (Figure 5.7).</w:t>
      </w:r>
    </w:p>
    <w:p w:rsidR="009C0B88" w:rsidRDefault="009C0B88" w:rsidP="009C0B88"/>
    <w:p w:rsidR="009C0B88" w:rsidRDefault="009C0B88" w:rsidP="009C0B88">
      <w:r>
        <w:t xml:space="preserve">If we look at infrastructure spending as a share of GDP, however, a different story emerges. Globally, infrastructure spending (that in our bottom-up categories both public and private plus other infrastructure spending) as a share of total world GDP falls from around 4.2 percent to 2.7 percent over this period. This decline occurs solely due to the slower overall growth in spending on our bottom-up categories relative to the growth in global GDP; our estimate of the share of GDP spent on other forms of infrastructure remains constant at around 1.8 percent of GDP. </w:t>
      </w:r>
    </w:p>
    <w:p w:rsidR="009C0B88" w:rsidRDefault="009C0B88" w:rsidP="009C0B88"/>
    <w:p w:rsidR="009C0B88" w:rsidRDefault="009C0B88" w:rsidP="009C0B88">
      <w:r>
        <w:t>While this long-term decline in infrastructure spending as a share of GDP plays out across income groups (Figure 5.8), the patterns differ significantly for these groupings. There is a clear, temporally persistent, and strong inverse relationship between spending on infrastructure as a share of GDP and average income as measured by GDP per capita.</w:t>
      </w:r>
      <w:r w:rsidRPr="00422D46">
        <w:rPr>
          <w:rStyle w:val="FootnoteReference"/>
        </w:rPr>
        <w:footnoteReference w:id="88"/>
      </w:r>
      <w:r>
        <w:t xml:space="preserve"> Also, the low-income economies actually see a sharp rise in the first decade, peaking at over 20 percent prior to falling over the remainder of our horizon. Regionally (Figure 5.9), sub-Saharan Africa spends the greatest percentage of GDP throughout the time period, though its rate does fall by slightly more than half by the end of the horizon, while Latin America spends the least of any developing region, specifically 6 percent of GDP in 2010, falling to 3.8 percent in 2060.</w:t>
      </w:r>
    </w:p>
    <w:p w:rsidR="009C0B88" w:rsidRDefault="009C0B88" w:rsidP="009C0B88"/>
    <w:p w:rsidR="009C0B88" w:rsidRDefault="009C0B88" w:rsidP="009C0B88">
      <w:r>
        <w:t>This decline in infrastructure spending as a share of GDP is in line with recent historical trends (see Chapter 2), but we cannot be certain it is for the same reasons. Given the state of the historical data, we are limited in what we can say about past spending. We can, however, explore in some depth what is driving this trend in future years in the model and make some judgment about the reasonableness of our results.</w:t>
      </w:r>
    </w:p>
    <w:p w:rsidR="009C0B88" w:rsidRDefault="009C0B88" w:rsidP="009C0B88">
      <w:pPr>
        <w:rPr>
          <w:b/>
        </w:rPr>
      </w:pPr>
    </w:p>
    <w:p w:rsidR="009C0B88" w:rsidRDefault="009C0B88" w:rsidP="009C0B88">
      <w:pPr>
        <w:ind w:firstLine="720"/>
        <w:rPr>
          <w:b/>
        </w:rPr>
      </w:pPr>
      <w:r w:rsidRPr="00F547B0">
        <w:rPr>
          <w:b/>
          <w:noProof/>
        </w:rPr>
        <w:drawing>
          <wp:inline distT="0" distB="0" distL="0" distR="0">
            <wp:extent cx="4775200" cy="3271630"/>
            <wp:effectExtent l="25400" t="25400" r="0" b="4970"/>
            <wp:docPr id="366" name="C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9C0B88" w:rsidRDefault="009C0B88" w:rsidP="009C0B88">
      <w:pPr>
        <w:rPr>
          <w:b/>
        </w:rPr>
      </w:pPr>
      <w:r w:rsidRPr="006B26E8">
        <w:rPr>
          <w:b/>
        </w:rPr>
        <w:t>Figure 5.</w:t>
      </w:r>
      <w:r>
        <w:rPr>
          <w:b/>
        </w:rPr>
        <w:t>6</w:t>
      </w:r>
      <w:r w:rsidRPr="006B26E8">
        <w:rPr>
          <w:b/>
        </w:rPr>
        <w:t xml:space="preserve"> Infrastructure </w:t>
      </w:r>
      <w:r>
        <w:rPr>
          <w:b/>
        </w:rPr>
        <w:t>s</w:t>
      </w:r>
      <w:r w:rsidRPr="006B26E8">
        <w:rPr>
          <w:b/>
        </w:rPr>
        <w:t xml:space="preserve">pending </w:t>
      </w:r>
      <w:r>
        <w:rPr>
          <w:b/>
        </w:rPr>
        <w:t>in billion $US2000</w:t>
      </w:r>
      <w:r w:rsidRPr="006B26E8">
        <w:rPr>
          <w:b/>
        </w:rPr>
        <w:t xml:space="preserve">, by </w:t>
      </w:r>
      <w:r>
        <w:rPr>
          <w:b/>
        </w:rPr>
        <w:t>World Bank Income Group</w:t>
      </w:r>
    </w:p>
    <w:p w:rsidR="009C0B88" w:rsidRPr="00EB15DA" w:rsidRDefault="009C0B88" w:rsidP="009C0B88">
      <w:pPr>
        <w:rPr>
          <w:i/>
        </w:rPr>
      </w:pPr>
      <w:r w:rsidRPr="00EB15DA">
        <w:rPr>
          <w:i/>
        </w:rPr>
        <w:t>Note: Spending is total of public and private and of the infrastructure types detailed in the volume and our "other" category.</w:t>
      </w:r>
    </w:p>
    <w:p w:rsidR="009C0B88" w:rsidRPr="00EB15DA" w:rsidRDefault="009C0B88" w:rsidP="009C0B88">
      <w:pPr>
        <w:rPr>
          <w:i/>
        </w:rPr>
      </w:pPr>
      <w:r w:rsidRPr="00EB15DA">
        <w:rPr>
          <w:i/>
        </w:rPr>
        <w:t>Source: IFs v6.5</w:t>
      </w:r>
      <w:r>
        <w:rPr>
          <w:i/>
        </w:rPr>
        <w:t>7</w:t>
      </w:r>
    </w:p>
    <w:p w:rsidR="009C0B88" w:rsidRDefault="009C0B88" w:rsidP="009C0B88"/>
    <w:p w:rsidR="009C0B88" w:rsidRDefault="009C0B88" w:rsidP="009C0B88">
      <w:pPr>
        <w:ind w:firstLine="720"/>
        <w:rPr>
          <w:b/>
        </w:rPr>
      </w:pPr>
      <w:r w:rsidRPr="00287640">
        <w:rPr>
          <w:b/>
          <w:noProof/>
        </w:rPr>
        <w:drawing>
          <wp:inline distT="0" distB="0" distL="0" distR="0">
            <wp:extent cx="4775200" cy="3271630"/>
            <wp:effectExtent l="25400" t="25400" r="0" b="4970"/>
            <wp:docPr id="367" name="C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9C0B88" w:rsidRDefault="009C0B88" w:rsidP="009C0B88">
      <w:pPr>
        <w:rPr>
          <w:b/>
        </w:rPr>
      </w:pPr>
      <w:r>
        <w:rPr>
          <w:b/>
        </w:rPr>
        <w:t>Figure 5.7</w:t>
      </w:r>
      <w:r w:rsidRPr="006B26E8">
        <w:rPr>
          <w:b/>
        </w:rPr>
        <w:t xml:space="preserve">: Infrastructure </w:t>
      </w:r>
      <w:r>
        <w:rPr>
          <w:b/>
        </w:rPr>
        <w:t>s</w:t>
      </w:r>
      <w:r w:rsidRPr="006B26E8">
        <w:rPr>
          <w:b/>
        </w:rPr>
        <w:t>pending i</w:t>
      </w:r>
      <w:r>
        <w:rPr>
          <w:b/>
        </w:rPr>
        <w:t>n billion $US2000</w:t>
      </w:r>
      <w:r w:rsidRPr="006B26E8">
        <w:rPr>
          <w:b/>
        </w:rPr>
        <w:t xml:space="preserve">, by </w:t>
      </w:r>
      <w:r>
        <w:rPr>
          <w:b/>
        </w:rPr>
        <w:t>World Bank Region</w:t>
      </w:r>
    </w:p>
    <w:p w:rsidR="009C0B88" w:rsidRPr="00EB15DA" w:rsidRDefault="009C0B88" w:rsidP="009C0B88">
      <w:pPr>
        <w:rPr>
          <w:i/>
        </w:rPr>
      </w:pPr>
      <w:r w:rsidRPr="00EB15DA">
        <w:rPr>
          <w:i/>
        </w:rPr>
        <w:t>Note: Spending is total of public and private and of the infrastructure types detailed in the volume and our "other" category.</w:t>
      </w:r>
    </w:p>
    <w:p w:rsidR="009C0B88" w:rsidRPr="00EB15DA" w:rsidRDefault="009C0B88" w:rsidP="009C0B88">
      <w:pPr>
        <w:rPr>
          <w:i/>
        </w:rPr>
      </w:pPr>
      <w:r w:rsidRPr="00EB15DA">
        <w:rPr>
          <w:i/>
        </w:rPr>
        <w:t>Source: IFs v6.5</w:t>
      </w:r>
      <w:r>
        <w:rPr>
          <w:i/>
        </w:rPr>
        <w:t>7</w:t>
      </w:r>
    </w:p>
    <w:p w:rsidR="009C0B88" w:rsidRDefault="009C0B88" w:rsidP="009C0B88"/>
    <w:p w:rsidR="009C0B88" w:rsidRDefault="009C0B88" w:rsidP="009C0B88">
      <w:pPr>
        <w:keepNext/>
        <w:keepLines/>
        <w:ind w:firstLine="720"/>
        <w:rPr>
          <w:b/>
        </w:rPr>
      </w:pPr>
      <w:r w:rsidRPr="005453D9">
        <w:rPr>
          <w:b/>
          <w:noProof/>
        </w:rPr>
        <w:drawing>
          <wp:inline distT="0" distB="0" distL="0" distR="0">
            <wp:extent cx="5486400" cy="3731895"/>
            <wp:effectExtent l="25400" t="25400" r="0" b="1905"/>
            <wp:docPr id="369" name="C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9C0B88" w:rsidRDefault="009C0B88" w:rsidP="009C0B88">
      <w:pPr>
        <w:keepNext/>
        <w:keepLines/>
        <w:rPr>
          <w:b/>
        </w:rPr>
      </w:pPr>
      <w:r>
        <w:rPr>
          <w:b/>
        </w:rPr>
        <w:t xml:space="preserve">Figure 5.8 </w:t>
      </w:r>
      <w:r w:rsidRPr="006B26E8">
        <w:rPr>
          <w:b/>
        </w:rPr>
        <w:t xml:space="preserve">Infrastructure </w:t>
      </w:r>
      <w:r>
        <w:rPr>
          <w:b/>
        </w:rPr>
        <w:t>s</w:t>
      </w:r>
      <w:r w:rsidRPr="006B26E8">
        <w:rPr>
          <w:b/>
        </w:rPr>
        <w:t xml:space="preserve">pending </w:t>
      </w:r>
      <w:r>
        <w:rPr>
          <w:b/>
        </w:rPr>
        <w:t>as a percentage of GDP</w:t>
      </w:r>
      <w:r w:rsidRPr="006B26E8">
        <w:rPr>
          <w:b/>
        </w:rPr>
        <w:t xml:space="preserve">, by </w:t>
      </w:r>
      <w:r>
        <w:rPr>
          <w:b/>
        </w:rPr>
        <w:t>World Bank Income Group</w:t>
      </w:r>
      <w:r w:rsidRPr="00BA54DF">
        <w:rPr>
          <w:b/>
        </w:rPr>
        <w:t xml:space="preserve"> </w:t>
      </w:r>
    </w:p>
    <w:p w:rsidR="009C0B88" w:rsidRPr="00EB15DA" w:rsidRDefault="009C0B88" w:rsidP="009C0B88">
      <w:pPr>
        <w:keepNext/>
        <w:keepLines/>
        <w:rPr>
          <w:i/>
        </w:rPr>
      </w:pPr>
      <w:r w:rsidRPr="00EB15DA">
        <w:rPr>
          <w:i/>
        </w:rPr>
        <w:t>Note: Spending is total of public and private and of the infrastructure types detailed in the volume and our "other" category.</w:t>
      </w:r>
    </w:p>
    <w:p w:rsidR="009C0B88" w:rsidRPr="00EB15DA" w:rsidRDefault="009C0B88" w:rsidP="009C0B88">
      <w:pPr>
        <w:rPr>
          <w:i/>
        </w:rPr>
      </w:pPr>
      <w:r w:rsidRPr="00EB15DA">
        <w:rPr>
          <w:i/>
        </w:rPr>
        <w:t>Source: IFs v6.5</w:t>
      </w:r>
      <w:r>
        <w:rPr>
          <w:i/>
        </w:rPr>
        <w:t>7</w:t>
      </w:r>
    </w:p>
    <w:p w:rsidR="009C0B88" w:rsidRDefault="009C0B88" w:rsidP="009C0B88"/>
    <w:p w:rsidR="009C0B88" w:rsidRDefault="009C0B88" w:rsidP="009C0B88">
      <w:pPr>
        <w:jc w:val="center"/>
        <w:rPr>
          <w:b/>
        </w:rPr>
      </w:pPr>
      <w:r w:rsidRPr="005453D9">
        <w:rPr>
          <w:b/>
          <w:noProof/>
        </w:rPr>
        <w:drawing>
          <wp:inline distT="0" distB="0" distL="0" distR="0">
            <wp:extent cx="5486400" cy="3731895"/>
            <wp:effectExtent l="25400" t="25400" r="0" b="1905"/>
            <wp:docPr id="368" name="C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C0B88" w:rsidRDefault="009C0B88" w:rsidP="009C0B88">
      <w:pPr>
        <w:rPr>
          <w:b/>
        </w:rPr>
      </w:pPr>
      <w:r>
        <w:rPr>
          <w:b/>
        </w:rPr>
        <w:t xml:space="preserve">Figure 5.9 </w:t>
      </w:r>
      <w:r w:rsidRPr="006B26E8">
        <w:rPr>
          <w:b/>
        </w:rPr>
        <w:t xml:space="preserve">Infrastructure </w:t>
      </w:r>
      <w:r>
        <w:rPr>
          <w:b/>
        </w:rPr>
        <w:t>s</w:t>
      </w:r>
      <w:r w:rsidRPr="006B26E8">
        <w:rPr>
          <w:b/>
        </w:rPr>
        <w:t xml:space="preserve">pending </w:t>
      </w:r>
      <w:r>
        <w:rPr>
          <w:b/>
        </w:rPr>
        <w:t>as a percentage of GDP by</w:t>
      </w:r>
      <w:r w:rsidRPr="006B26E8">
        <w:rPr>
          <w:b/>
        </w:rPr>
        <w:t xml:space="preserve"> </w:t>
      </w:r>
      <w:r>
        <w:rPr>
          <w:b/>
        </w:rPr>
        <w:t>region</w:t>
      </w:r>
    </w:p>
    <w:p w:rsidR="009C0B88" w:rsidRPr="00EB15DA" w:rsidRDefault="009C0B88" w:rsidP="009C0B88">
      <w:pPr>
        <w:rPr>
          <w:i/>
        </w:rPr>
      </w:pPr>
      <w:r w:rsidRPr="00EB15DA">
        <w:rPr>
          <w:i/>
        </w:rPr>
        <w:t>Note: Spending is total of public and private and of the infrastructure types detailed in the volume and our "other" category.</w:t>
      </w:r>
    </w:p>
    <w:p w:rsidR="009C0B88" w:rsidRPr="00EB15DA" w:rsidRDefault="009C0B88" w:rsidP="009C0B88">
      <w:pPr>
        <w:spacing w:after="200" w:line="276" w:lineRule="auto"/>
        <w:rPr>
          <w:i/>
        </w:rPr>
      </w:pPr>
      <w:r w:rsidRPr="00EB15DA">
        <w:rPr>
          <w:i/>
        </w:rPr>
        <w:t>Source: IFs v6.5</w:t>
      </w:r>
      <w:r>
        <w:rPr>
          <w:i/>
        </w:rPr>
        <w:t>7</w:t>
      </w:r>
    </w:p>
    <w:p w:rsidR="009C0B88" w:rsidRDefault="009C0B88" w:rsidP="009C0B88">
      <w:r>
        <w:t xml:space="preserve">We have seen to this point that public and private spending globally on infrastructure now constitutes about 4.2 percent of GDP, that spending tends to be a higher share of GDP in lower-income countries, and that spending rates are likely to decline over time in significant part because developing countries will increasingly close infrastructure gaps with richer ones and need to spend less. We have also seen the possible spending futures for different income categories of countries and different regions. </w:t>
      </w:r>
    </w:p>
    <w:p w:rsidR="009C0B88" w:rsidRDefault="009C0B88" w:rsidP="009C0B88"/>
    <w:p w:rsidR="009C0B88" w:rsidRDefault="009C0B88" w:rsidP="009C0B88">
      <w:r>
        <w:t xml:space="preserve">Beneath that general picture, however, are other important likely developments in infrastructure spending. In elaborating the spending story of the IFs base case, we will focus on the share of global GDP that is now devoted to the specific infrastructure forms we treat in this volume (collectively now at 2.5 percent of GDP), not on the roughly 1.7 percent that we estimate is currently spent on "other infrastructure." </w:t>
      </w:r>
    </w:p>
    <w:p w:rsidR="009C0B88" w:rsidRDefault="009C0B88" w:rsidP="009C0B88"/>
    <w:p w:rsidR="009C0B88" w:rsidRDefault="009C0B88" w:rsidP="009C0B88">
      <w:r>
        <w:t>Of the 2.5 percent of GDP that global public and private sectors now spend on roads, electricity, water and sanitation, and ICT, approximately two-thirds of the spending now falls into three categories: building and maintenance of electricity generation, roads (four-fifths of which is for paving), and mobile telephony, in that descending order (see Figure 5.10). These are the "big three" globally, although in the aggregate spending on water, sanitation, and wastewater treatment constitute another 0.16 percent of GDP (0.23 when one adds irrigation).</w:t>
      </w:r>
    </w:p>
    <w:p w:rsidR="009C0B88" w:rsidRDefault="009C0B88" w:rsidP="009C0B88">
      <w:r>
        <w:t xml:space="preserve"> </w:t>
      </w:r>
    </w:p>
    <w:p w:rsidR="009C0B88" w:rsidRPr="006B5BB5" w:rsidRDefault="009C0B88" w:rsidP="009C0B88">
      <w:r>
        <w:t>The pattern is dramatically different for low-income countries. There, public and private spending on mobile telephony is now about 3 percent of GDP by itself, likely at or near its peak rates, and poised to decline substantially by 2030 (to around 1 percent of GDP and then to continue falling) as the current rapid build-out winds down. In that low-income category of countries, spending on roads follows (about 2 percent) and then electricity generation and access (about 1.5 percent); electricity spending is increasing and that each category is likely to be near 2 percent of GDP in 2030 and lower, but still dominant in 2060. For those countries, spending on improved and household-connected water and sanitation is about another 1.2 percent of GDP—moreover, irrigation and waste-water treatment add another 0.5 percent of GDP to the more general watsan category, making it near comparable to building and paving roads.</w:t>
      </w:r>
    </w:p>
    <w:p w:rsidR="009C0B88" w:rsidRDefault="009C0B88" w:rsidP="009C0B88">
      <w:pPr>
        <w:rPr>
          <w:b/>
        </w:rPr>
      </w:pPr>
    </w:p>
    <w:p w:rsidR="009C0B88" w:rsidRDefault="009C0B88" w:rsidP="009C0B88">
      <w:pPr>
        <w:ind w:firstLine="720"/>
        <w:rPr>
          <w:b/>
        </w:rPr>
      </w:pPr>
      <w:r w:rsidRPr="00605A33">
        <w:rPr>
          <w:b/>
          <w:noProof/>
        </w:rPr>
        <w:drawing>
          <wp:inline distT="0" distB="0" distL="0" distR="0">
            <wp:extent cx="5486400" cy="3731895"/>
            <wp:effectExtent l="25400" t="25400" r="0" b="1905"/>
            <wp:docPr id="370" name="C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C0B88" w:rsidRDefault="009C0B88" w:rsidP="009C0B88">
      <w:pPr>
        <w:rPr>
          <w:b/>
        </w:rPr>
      </w:pPr>
      <w:r>
        <w:rPr>
          <w:b/>
        </w:rPr>
        <w:t xml:space="preserve">Figure 5.10 </w:t>
      </w:r>
      <w:r w:rsidRPr="006B26E8">
        <w:rPr>
          <w:b/>
        </w:rPr>
        <w:t xml:space="preserve">Infrastructure </w:t>
      </w:r>
      <w:r>
        <w:rPr>
          <w:b/>
        </w:rPr>
        <w:t>s</w:t>
      </w:r>
      <w:r w:rsidRPr="006B26E8">
        <w:rPr>
          <w:b/>
        </w:rPr>
        <w:t xml:space="preserve">pending </w:t>
      </w:r>
      <w:r>
        <w:rPr>
          <w:b/>
        </w:rPr>
        <w:t>as a percentage of GDP</w:t>
      </w:r>
      <w:r w:rsidRPr="006B26E8">
        <w:rPr>
          <w:b/>
        </w:rPr>
        <w:t xml:space="preserve">, </w:t>
      </w:r>
      <w:r>
        <w:rPr>
          <w:b/>
        </w:rPr>
        <w:t>by Income Group and type</w:t>
      </w:r>
    </w:p>
    <w:p w:rsidR="009C0B88" w:rsidRPr="001A37D0" w:rsidRDefault="009C0B88" w:rsidP="009C0B88">
      <w:pPr>
        <w:rPr>
          <w:i/>
        </w:rPr>
      </w:pPr>
      <w:r w:rsidRPr="001A37D0">
        <w:rPr>
          <w:i/>
        </w:rPr>
        <w:t xml:space="preserve">Note: Spending is total of public and private. </w:t>
      </w:r>
    </w:p>
    <w:p w:rsidR="009C0B88" w:rsidRPr="001A37D0" w:rsidRDefault="009C0B88" w:rsidP="009C0B88">
      <w:pPr>
        <w:spacing w:after="200" w:line="276" w:lineRule="auto"/>
        <w:rPr>
          <w:i/>
        </w:rPr>
      </w:pPr>
      <w:r w:rsidRPr="001A37D0">
        <w:rPr>
          <w:i/>
        </w:rPr>
        <w:t>Source: IFs v6.</w:t>
      </w:r>
      <w:r>
        <w:rPr>
          <w:i/>
        </w:rPr>
        <w:t>57</w:t>
      </w:r>
    </w:p>
    <w:p w:rsidR="009C0B88" w:rsidRDefault="009C0B88" w:rsidP="009C0B88">
      <w:r>
        <w:t>Lower-middle income countries do not currently look dramatically different in their spending patterns from low-income countries (somewhat more on electricity, less on roads), but by 2030 we expect very considerable differences. Because of their much greater catch-up needs, spending rates of low-income countries will not likely decline in the same way that spending of both</w:t>
      </w:r>
      <w:r w:rsidRPr="008D4ED7">
        <w:t xml:space="preserve"> </w:t>
      </w:r>
      <w:r>
        <w:t>lower-middle and upper-middle income countries will. Both of these latter groupings of countries may in 2060 not look terribly different in total spending or the mix of it from high-income countries today. In short, the pattern of infrastructure spending across income-levels varies quite dramatically now and does in our forecasts with ongoing development; regional patterns will, of course, reflect that variation.</w:t>
      </w:r>
    </w:p>
    <w:p w:rsidR="009C0B88" w:rsidRDefault="009C0B88" w:rsidP="009C0B88"/>
    <w:p w:rsidR="009C0B88" w:rsidRDefault="009C0B88" w:rsidP="009C0B88">
      <w:r>
        <w:t>Of that same 2.5 percent of GDP that global public and private sectors now spend on the specific infrastructure types we forecast, the ratio of spending on new construction to that on maintenance is about 3-to-2 globally. As more and more countries build out their infrastructure, however, that balance will change. In fact, our base case suggests that the global balance will move to predominantly maintenance spending in about 2030. Not surprisingly, however, the ratio for low-income countries if now about 2 to 1 (and their high levels of spending on mobile telephony has about a 10-to-1 balance in favor of new construction). Rather than a shift to maintenance in the balance for these lower-income countries, we actually anticipate a surge of new construction spending on roads and electricity between now and 2030, with the subsequent decline of new construction expenditures as a portion of GDP bringing them towards maintenance spending levels only near the end of our forecast horizon.</w:t>
      </w:r>
    </w:p>
    <w:p w:rsidR="009C0B88" w:rsidRDefault="009C0B88" w:rsidP="009C0B88"/>
    <w:p w:rsidR="009C0B88" w:rsidRDefault="009C0B88" w:rsidP="009C0B88">
      <w:r>
        <w:t>And still again in reference to that 2.5 percent of GDP, the global ratio of public to private spending is now about 2 to 1. In spite of the importance of the issue and the heat it often generates in public debate, we make no assumptions in our forecasting about possible privatization (or re-nationalization) of infrastructure sectors. Hence the shift in spending across infrastructure types, to which we assign different public-private spending shares (see again Chapter 4), overwhelmingly determines the public-private balance in our forecasts. For the world as a whole, that 2-to-1 ratio remains quite stable, shifting just a bit toward the private side. In low-income countries, however, we have seen that total spending on mobile telephony spending is by far the biggest single category. Because we set the balance in mobile telephony at 90 percent private, and because spending in that sector declines over the forecast horizon, the public to private spending balance moves in low-income countries from now just over 1 to 1 now toward 2 to 1 by 2060. This is consistent with the broader pattern of convergence that we foresee across income categories and regions with respect to infrastructure access and spending patterns.</w:t>
      </w:r>
    </w:p>
    <w:p w:rsidR="009C0B88" w:rsidRDefault="009C0B88" w:rsidP="009C0B88"/>
    <w:p w:rsidR="009C0B88" w:rsidRDefault="009C0B88" w:rsidP="00EC2D95">
      <w:pPr>
        <w:pStyle w:val="Heading3"/>
        <w:numPr>
          <w:ilvl w:val="0"/>
          <w:numId w:val="0"/>
        </w:numPr>
        <w:ind w:left="720" w:hanging="720"/>
      </w:pPr>
      <w:bookmarkStart w:id="150" w:name="_Toc199491239"/>
      <w:bookmarkStart w:id="151" w:name="_Toc200095316"/>
      <w:r>
        <w:t>5.1.5</w:t>
      </w:r>
      <w:r>
        <w:tab/>
        <w:t>Spending shortfalls</w:t>
      </w:r>
      <w:bookmarkEnd w:id="150"/>
      <w:bookmarkEnd w:id="151"/>
    </w:p>
    <w:p w:rsidR="009C0B88" w:rsidRDefault="009C0B88" w:rsidP="009C0B88"/>
    <w:p w:rsidR="009C0B88" w:rsidRPr="0040476F" w:rsidRDefault="009C0B88" w:rsidP="009C0B88">
      <w:r>
        <w:t xml:space="preserve">Although the overall pattern of infrastructure spending as percentage of GDP is forecast to decline through 2060 (see again Figure 5.10) as countries move towards universal access and demands for new infrastructure begin to saturate, we cannot interpret this as meaning that the demands for infrastructure spending in the base case are being met. In fact, many countries are being squeezed by their (in)ability to mobilize revenues, by competing demands for expenditures from education, health, and the military (some of which, especially health, tend to rise as a portion of GDP with development level), or by both. </w:t>
      </w:r>
      <w:r w:rsidRPr="0040476F">
        <w:t>Chapter 4 described the approach we take to forecasting physical demand for infrastructure and associated spending demand, as well as discussing the approach we take to reconciling competing spending demands within the context of overall financial resources of governments and societies.</w:t>
      </w:r>
      <w:r w:rsidRPr="00422D46">
        <w:rPr>
          <w:rStyle w:val="FootnoteReference"/>
        </w:rPr>
        <w:footnoteReference w:id="89"/>
      </w:r>
      <w:r>
        <w:t xml:space="preserve"> </w:t>
      </w:r>
      <w:r w:rsidRPr="0040476F">
        <w:t>Infrastructure spending shortfalls occur in the IFs model when countries demand more infrastructure than they can pay for in this reconciliation process.</w:t>
      </w:r>
      <w:r>
        <w:t xml:space="preserve"> </w:t>
      </w:r>
    </w:p>
    <w:p w:rsidR="009C0B88" w:rsidRDefault="009C0B88" w:rsidP="009C0B88">
      <w:pPr>
        <w:rPr>
          <w:rFonts w:asciiTheme="minorHAnsi" w:hAnsiTheme="minorHAnsi"/>
        </w:rPr>
      </w:pPr>
    </w:p>
    <w:p w:rsidR="009C0B88" w:rsidRDefault="009C0B88" w:rsidP="009C0B88">
      <w:r>
        <w:t>We can consider a</w:t>
      </w:r>
      <w:r w:rsidRPr="00DC73AD">
        <w:t xml:space="preserve"> spending shortfall </w:t>
      </w:r>
      <w:r>
        <w:t xml:space="preserve">to be severe </w:t>
      </w:r>
      <w:r w:rsidRPr="00DC73AD">
        <w:t>when</w:t>
      </w:r>
      <w:r>
        <w:t xml:space="preserve"> the sum allocated to infrastructure spending ends up being </w:t>
      </w:r>
      <w:r w:rsidRPr="00DC73AD">
        <w:t>more than 1 percent of the country’s total GDP</w:t>
      </w:r>
      <w:r>
        <w:t xml:space="preserve"> below the funding demand in a single year. In the base case</w:t>
      </w:r>
      <w:r w:rsidRPr="00DC73AD">
        <w:t>, 59 countries had spending shortfalls of at least 1 percent or more of GDP. Of the 59 countries, 25 were in sub-Saharan Africa</w:t>
      </w:r>
      <w:r>
        <w:t xml:space="preserve"> (42 percent of the countries in that region)</w:t>
      </w:r>
      <w:r w:rsidRPr="00DC73AD">
        <w:t>. Europe and central Asia had eight countries with significant shortfalls</w:t>
      </w:r>
      <w:r>
        <w:t xml:space="preserve">. </w:t>
      </w:r>
      <w:r w:rsidRPr="00DC73AD">
        <w:t>Interestingly, every region, including high-income countries, had at least two countries</w:t>
      </w:r>
      <w:r>
        <w:t xml:space="preserve"> that experience</w:t>
      </w:r>
      <w:r w:rsidRPr="00DC73AD">
        <w:t xml:space="preserve"> significant shortfalls. When broken dow</w:t>
      </w:r>
      <w:r>
        <w:t>n by income level, lower-middle-i</w:t>
      </w:r>
      <w:r w:rsidRPr="00DC73AD">
        <w:t>ncome countries have the highest num</w:t>
      </w:r>
      <w:r>
        <w:t>ber of shortfalls (25), with low-income c</w:t>
      </w:r>
      <w:r w:rsidRPr="00DC73AD">
        <w:t xml:space="preserve">ountries second </w:t>
      </w:r>
      <w:r>
        <w:t>(21)</w:t>
      </w:r>
      <w:r w:rsidRPr="00DC73AD">
        <w:t>. High-income countries, by comparison, had only two countries (Brunei and Trinidad) with shortfalls</w:t>
      </w:r>
      <w:r>
        <w:t xml:space="preserve">. At the most extreme end, 11 countries had shortfalls at some point in the forecasting horizon that were 5 percent or more of GDP and 7 countries had infrastructure shortfalls equal to 50 percent or more of their total infrastructure spending demand. Most of the countries with the greatest constraints were in sub-Saharan Africa, and they included Liberia, Tajikistan, Angola, Mozambique, Timor-Leste, Micronesia, Jamaica, and Haiti. </w:t>
      </w:r>
    </w:p>
    <w:p w:rsidR="009C0B88" w:rsidRDefault="009C0B88" w:rsidP="009C0B88"/>
    <w:p w:rsidR="009C0B88" w:rsidRDefault="009C0B88" w:rsidP="00EC2D95">
      <w:pPr>
        <w:pStyle w:val="Heading3"/>
        <w:numPr>
          <w:ilvl w:val="0"/>
          <w:numId w:val="0"/>
        </w:numPr>
        <w:ind w:left="720" w:hanging="720"/>
      </w:pPr>
      <w:bookmarkStart w:id="152" w:name="_Toc199491240"/>
      <w:bookmarkStart w:id="153" w:name="_Toc200095317"/>
      <w:r>
        <w:t>5.1.6</w:t>
      </w:r>
      <w:r>
        <w:tab/>
        <w:t>Falling short of targets</w:t>
      </w:r>
      <w:bookmarkEnd w:id="152"/>
      <w:bookmarkEnd w:id="153"/>
    </w:p>
    <w:p w:rsidR="009C0B88" w:rsidRPr="00130EC3" w:rsidRDefault="009C0B88" w:rsidP="009C0B88">
      <w:r>
        <w:rPr>
          <w:i/>
        </w:rPr>
        <w:t>The rate of progress in the base case is not sufficient for many countries to meet most infrastructure-related targets.</w:t>
      </w:r>
      <w:r>
        <w:t xml:space="preserve"> This is a result of several interacting phenomena, including the current poorly developed status of their infrastructure, levels of GDP per capita, and mobilization and usage of resources by governments. For example, the targets of the MDGs for increased access to improved water and sanitation by the year 2015 involved reducing the proportion of populations without such access by one-half. In our base case forecasts the MDG water target will be met at the global level</w:t>
      </w:r>
      <w:r w:rsidRPr="00422D46">
        <w:rPr>
          <w:rStyle w:val="FootnoteReference"/>
        </w:rPr>
        <w:footnoteReference w:id="90"/>
      </w:r>
      <w:r>
        <w:t xml:space="preserve"> and by all income groups but low-income economies (Table 5.2). These aggregates, however, hide the fact that more than half of all of the developing economies, including three quarters of the low-income-economies, will not meet the targets. In fact, regionally, sub-Saharan Africa and the Middle East and North Africa as a whole will not achieve the target. The situation for sanitation is even less sanguine, both in terms of the absolute levels of coverage and the achievement of the targets. The target is not met globally and among developing countries only the upper-middle-income countries are close. Three quarters of the developing economies and almost no low-income economies meet the country-level targets. In the aggregate no developing region will fully meet the goal.</w:t>
      </w:r>
    </w:p>
    <w:p w:rsidR="009C0B88" w:rsidRDefault="009C0B88" w:rsidP="009C0B88">
      <w:pPr>
        <w:rPr>
          <w:noProof/>
        </w:rPr>
      </w:pPr>
    </w:p>
    <w:p w:rsidR="009C0B88" w:rsidRPr="00CA4EF3" w:rsidRDefault="009C0B88" w:rsidP="009C0B88">
      <w:pPr>
        <w:rPr>
          <w:noProof/>
        </w:rPr>
      </w:pPr>
    </w:p>
    <w:tbl>
      <w:tblPr>
        <w:tblW w:w="964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306"/>
        <w:gridCol w:w="1223"/>
        <w:gridCol w:w="1223"/>
        <w:gridCol w:w="1223"/>
        <w:gridCol w:w="1223"/>
        <w:gridCol w:w="1223"/>
        <w:gridCol w:w="1223"/>
      </w:tblGrid>
      <w:tr w:rsidR="009C0B88" w:rsidRPr="00CA4EF3">
        <w:trPr>
          <w:trHeight w:val="305"/>
          <w:jc w:val="center"/>
        </w:trPr>
        <w:tc>
          <w:tcPr>
            <w:tcW w:w="9644" w:type="dxa"/>
            <w:gridSpan w:val="7"/>
          </w:tcPr>
          <w:p w:rsidR="009C0B88" w:rsidRPr="00CA4EF3" w:rsidRDefault="009C0B88" w:rsidP="009C0B88">
            <w:pPr>
              <w:keepNext/>
              <w:keepLines/>
              <w:autoSpaceDE w:val="0"/>
              <w:autoSpaceDN w:val="0"/>
              <w:adjustRightInd w:val="0"/>
              <w:rPr>
                <w:b/>
                <w:bCs/>
                <w:color w:val="000000"/>
              </w:rPr>
            </w:pPr>
            <w:r w:rsidRPr="00CA4EF3">
              <w:rPr>
                <w:b/>
                <w:bCs/>
                <w:color w:val="000000"/>
                <w:sz w:val="22"/>
                <w:szCs w:val="22"/>
              </w:rPr>
              <w:t xml:space="preserve">Table </w:t>
            </w:r>
            <w:r>
              <w:rPr>
                <w:b/>
                <w:bCs/>
                <w:color w:val="000000"/>
                <w:sz w:val="22"/>
                <w:szCs w:val="22"/>
              </w:rPr>
              <w:t>5.2 Achieving the MDGs for access to improved water and sanitation</w:t>
            </w:r>
          </w:p>
        </w:tc>
      </w:tr>
      <w:tr w:rsidR="009C0B88" w:rsidRPr="008A4D8E">
        <w:trPr>
          <w:trHeight w:val="305"/>
          <w:jc w:val="center"/>
        </w:trPr>
        <w:tc>
          <w:tcPr>
            <w:tcW w:w="2306" w:type="dxa"/>
            <w:vAlign w:val="bottom"/>
          </w:tcPr>
          <w:p w:rsidR="009C0B88" w:rsidRPr="008A4D8E" w:rsidRDefault="009C0B88" w:rsidP="009C0B88">
            <w:pPr>
              <w:keepNext/>
              <w:keepLines/>
              <w:autoSpaceDE w:val="0"/>
              <w:autoSpaceDN w:val="0"/>
              <w:adjustRightInd w:val="0"/>
              <w:jc w:val="center"/>
              <w:rPr>
                <w:bCs/>
                <w:color w:val="000000"/>
              </w:rPr>
            </w:pPr>
          </w:p>
        </w:tc>
        <w:tc>
          <w:tcPr>
            <w:tcW w:w="3669" w:type="dxa"/>
            <w:gridSpan w:val="3"/>
            <w:vAlign w:val="bottom"/>
          </w:tcPr>
          <w:p w:rsidR="009C0B88" w:rsidRPr="008A4D8E" w:rsidRDefault="009C0B88" w:rsidP="009C0B88">
            <w:pPr>
              <w:autoSpaceDE w:val="0"/>
              <w:autoSpaceDN w:val="0"/>
              <w:adjustRightInd w:val="0"/>
              <w:jc w:val="center"/>
              <w:rPr>
                <w:bCs/>
                <w:color w:val="000000"/>
              </w:rPr>
            </w:pPr>
            <w:r>
              <w:rPr>
                <w:bCs/>
                <w:color w:val="000000"/>
                <w:sz w:val="22"/>
                <w:szCs w:val="22"/>
              </w:rPr>
              <w:t>Water</w:t>
            </w:r>
          </w:p>
        </w:tc>
        <w:tc>
          <w:tcPr>
            <w:tcW w:w="3669" w:type="dxa"/>
            <w:gridSpan w:val="3"/>
            <w:vAlign w:val="bottom"/>
          </w:tcPr>
          <w:p w:rsidR="009C0B88" w:rsidRPr="008A4D8E" w:rsidRDefault="009C0B88" w:rsidP="009C0B88">
            <w:pPr>
              <w:autoSpaceDE w:val="0"/>
              <w:autoSpaceDN w:val="0"/>
              <w:adjustRightInd w:val="0"/>
              <w:jc w:val="center"/>
              <w:rPr>
                <w:bCs/>
                <w:color w:val="000000"/>
              </w:rPr>
            </w:pPr>
            <w:r>
              <w:rPr>
                <w:bCs/>
                <w:color w:val="000000"/>
                <w:sz w:val="22"/>
                <w:szCs w:val="22"/>
              </w:rPr>
              <w:t>Sanitation</w:t>
            </w:r>
          </w:p>
        </w:tc>
      </w:tr>
      <w:tr w:rsidR="009C0B88" w:rsidRPr="008A4D8E">
        <w:trPr>
          <w:trHeight w:val="305"/>
          <w:jc w:val="center"/>
        </w:trPr>
        <w:tc>
          <w:tcPr>
            <w:tcW w:w="2306" w:type="dxa"/>
          </w:tcPr>
          <w:p w:rsidR="009C0B88" w:rsidRPr="008A4D8E" w:rsidRDefault="009C0B88" w:rsidP="009C0B88">
            <w:pPr>
              <w:keepNext/>
              <w:keepLines/>
              <w:autoSpaceDE w:val="0"/>
              <w:autoSpaceDN w:val="0"/>
              <w:adjustRightInd w:val="0"/>
              <w:rPr>
                <w:bCs/>
                <w:color w:val="000000"/>
              </w:rPr>
            </w:pPr>
          </w:p>
        </w:tc>
        <w:tc>
          <w:tcPr>
            <w:tcW w:w="1223" w:type="dxa"/>
            <w:vAlign w:val="bottom"/>
          </w:tcPr>
          <w:p w:rsidR="009C0B88" w:rsidRPr="008A4D8E" w:rsidRDefault="009C0B88" w:rsidP="009C0B88">
            <w:pPr>
              <w:autoSpaceDE w:val="0"/>
              <w:autoSpaceDN w:val="0"/>
              <w:adjustRightInd w:val="0"/>
              <w:jc w:val="center"/>
              <w:rPr>
                <w:bCs/>
                <w:color w:val="000000"/>
              </w:rPr>
            </w:pPr>
            <w:r>
              <w:rPr>
                <w:bCs/>
                <w:color w:val="000000"/>
                <w:sz w:val="22"/>
                <w:szCs w:val="22"/>
              </w:rPr>
              <w:t xml:space="preserve">Regional target </w:t>
            </w:r>
          </w:p>
        </w:tc>
        <w:tc>
          <w:tcPr>
            <w:tcW w:w="1223" w:type="dxa"/>
            <w:vAlign w:val="bottom"/>
          </w:tcPr>
          <w:p w:rsidR="009C0B88" w:rsidRPr="008A4D8E" w:rsidRDefault="009C0B88" w:rsidP="009C0B88">
            <w:pPr>
              <w:autoSpaceDE w:val="0"/>
              <w:autoSpaceDN w:val="0"/>
              <w:adjustRightInd w:val="0"/>
              <w:jc w:val="center"/>
              <w:rPr>
                <w:bCs/>
                <w:color w:val="000000"/>
              </w:rPr>
            </w:pPr>
            <w:r>
              <w:rPr>
                <w:bCs/>
                <w:color w:val="000000"/>
                <w:sz w:val="22"/>
                <w:szCs w:val="22"/>
              </w:rPr>
              <w:t xml:space="preserve"> Base case forecast</w:t>
            </w:r>
          </w:p>
        </w:tc>
        <w:tc>
          <w:tcPr>
            <w:tcW w:w="1223" w:type="dxa"/>
            <w:vAlign w:val="bottom"/>
          </w:tcPr>
          <w:p w:rsidR="009C0B88" w:rsidRPr="008A4D8E" w:rsidRDefault="009C0B88" w:rsidP="009C0B88">
            <w:pPr>
              <w:autoSpaceDE w:val="0"/>
              <w:autoSpaceDN w:val="0"/>
              <w:adjustRightInd w:val="0"/>
              <w:jc w:val="center"/>
              <w:rPr>
                <w:bCs/>
                <w:color w:val="000000"/>
              </w:rPr>
            </w:pPr>
            <w:r>
              <w:rPr>
                <w:bCs/>
                <w:color w:val="000000"/>
                <w:sz w:val="22"/>
                <w:szCs w:val="22"/>
              </w:rPr>
              <w:t>% of countries meeting target</w:t>
            </w:r>
          </w:p>
        </w:tc>
        <w:tc>
          <w:tcPr>
            <w:tcW w:w="1223" w:type="dxa"/>
            <w:vAlign w:val="bottom"/>
          </w:tcPr>
          <w:p w:rsidR="009C0B88" w:rsidRPr="008A4D8E" w:rsidRDefault="009C0B88" w:rsidP="009C0B88">
            <w:pPr>
              <w:autoSpaceDE w:val="0"/>
              <w:autoSpaceDN w:val="0"/>
              <w:adjustRightInd w:val="0"/>
              <w:jc w:val="center"/>
              <w:rPr>
                <w:bCs/>
                <w:color w:val="000000"/>
              </w:rPr>
            </w:pPr>
            <w:r>
              <w:rPr>
                <w:bCs/>
                <w:color w:val="000000"/>
                <w:sz w:val="22"/>
                <w:szCs w:val="22"/>
              </w:rPr>
              <w:t xml:space="preserve">Regional target </w:t>
            </w:r>
          </w:p>
        </w:tc>
        <w:tc>
          <w:tcPr>
            <w:tcW w:w="1223" w:type="dxa"/>
            <w:vAlign w:val="bottom"/>
          </w:tcPr>
          <w:p w:rsidR="009C0B88" w:rsidRPr="008A4D8E" w:rsidRDefault="009C0B88" w:rsidP="009C0B88">
            <w:pPr>
              <w:autoSpaceDE w:val="0"/>
              <w:autoSpaceDN w:val="0"/>
              <w:adjustRightInd w:val="0"/>
              <w:jc w:val="center"/>
              <w:rPr>
                <w:bCs/>
                <w:color w:val="000000"/>
              </w:rPr>
            </w:pPr>
            <w:r>
              <w:rPr>
                <w:bCs/>
                <w:color w:val="000000"/>
                <w:sz w:val="22"/>
                <w:szCs w:val="22"/>
              </w:rPr>
              <w:t xml:space="preserve"> Base case forecast</w:t>
            </w:r>
          </w:p>
        </w:tc>
        <w:tc>
          <w:tcPr>
            <w:tcW w:w="1223" w:type="dxa"/>
            <w:vAlign w:val="bottom"/>
          </w:tcPr>
          <w:p w:rsidR="009C0B88" w:rsidRPr="008A4D8E" w:rsidRDefault="009C0B88" w:rsidP="009C0B88">
            <w:pPr>
              <w:autoSpaceDE w:val="0"/>
              <w:autoSpaceDN w:val="0"/>
              <w:adjustRightInd w:val="0"/>
              <w:jc w:val="center"/>
              <w:rPr>
                <w:bCs/>
                <w:color w:val="000000"/>
              </w:rPr>
            </w:pPr>
            <w:r>
              <w:rPr>
                <w:bCs/>
                <w:color w:val="000000"/>
                <w:sz w:val="22"/>
                <w:szCs w:val="22"/>
              </w:rPr>
              <w:t>% of countries meeting target</w:t>
            </w:r>
          </w:p>
        </w:tc>
      </w:tr>
      <w:tr w:rsidR="009C0B88" w:rsidRPr="00CA4EF3">
        <w:trPr>
          <w:trHeight w:val="305"/>
          <w:jc w:val="center"/>
        </w:trPr>
        <w:tc>
          <w:tcPr>
            <w:tcW w:w="2306" w:type="dxa"/>
            <w:vAlign w:val="center"/>
          </w:tcPr>
          <w:p w:rsidR="009C0B88" w:rsidRPr="00CA4EF3" w:rsidRDefault="009C0B88" w:rsidP="009C0B88">
            <w:pPr>
              <w:keepNext/>
              <w:keepLines/>
              <w:rPr>
                <w:color w:val="000000"/>
              </w:rPr>
            </w:pPr>
            <w:r w:rsidRPr="00CA4EF3">
              <w:rPr>
                <w:color w:val="000000"/>
                <w:sz w:val="22"/>
                <w:szCs w:val="22"/>
              </w:rPr>
              <w:t>Low-income</w:t>
            </w:r>
          </w:p>
        </w:tc>
        <w:tc>
          <w:tcPr>
            <w:tcW w:w="1223" w:type="dxa"/>
            <w:vAlign w:val="center"/>
          </w:tcPr>
          <w:p w:rsidR="009C0B88" w:rsidRDefault="009C0B88" w:rsidP="009C0B88">
            <w:pPr>
              <w:jc w:val="center"/>
              <w:rPr>
                <w:rFonts w:ascii="Arial" w:hAnsi="Arial" w:cs="Arial"/>
                <w:sz w:val="20"/>
              </w:rPr>
            </w:pPr>
            <w:r>
              <w:rPr>
                <w:rFonts w:ascii="Arial" w:hAnsi="Arial" w:cs="Arial"/>
                <w:sz w:val="20"/>
              </w:rPr>
              <w:t>77%</w:t>
            </w:r>
          </w:p>
        </w:tc>
        <w:tc>
          <w:tcPr>
            <w:tcW w:w="1223" w:type="dxa"/>
            <w:vAlign w:val="center"/>
          </w:tcPr>
          <w:p w:rsidR="009C0B88" w:rsidRDefault="009C0B88" w:rsidP="009C0B88">
            <w:pPr>
              <w:jc w:val="center"/>
              <w:rPr>
                <w:rFonts w:ascii="Arial" w:hAnsi="Arial" w:cs="Arial"/>
                <w:sz w:val="20"/>
              </w:rPr>
            </w:pPr>
            <w:r>
              <w:rPr>
                <w:rFonts w:ascii="Arial" w:hAnsi="Arial" w:cs="Arial"/>
                <w:sz w:val="20"/>
              </w:rPr>
              <w:t>65%</w:t>
            </w:r>
          </w:p>
        </w:tc>
        <w:tc>
          <w:tcPr>
            <w:tcW w:w="1223" w:type="dxa"/>
            <w:shd w:val="clear" w:color="auto" w:fill="auto"/>
            <w:vAlign w:val="center"/>
          </w:tcPr>
          <w:p w:rsidR="009C0B88" w:rsidRDefault="009C0B88" w:rsidP="009C0B88">
            <w:pPr>
              <w:jc w:val="center"/>
              <w:rPr>
                <w:rFonts w:ascii="Arial" w:hAnsi="Arial" w:cs="Arial"/>
                <w:sz w:val="20"/>
              </w:rPr>
            </w:pPr>
            <w:r>
              <w:rPr>
                <w:rFonts w:ascii="Arial" w:hAnsi="Arial" w:cs="Arial"/>
                <w:sz w:val="20"/>
              </w:rPr>
              <w:t>24%</w:t>
            </w:r>
          </w:p>
        </w:tc>
        <w:tc>
          <w:tcPr>
            <w:tcW w:w="1223" w:type="dxa"/>
            <w:vAlign w:val="center"/>
          </w:tcPr>
          <w:p w:rsidR="009C0B88" w:rsidRDefault="009C0B88" w:rsidP="009C0B88">
            <w:pPr>
              <w:jc w:val="center"/>
              <w:rPr>
                <w:rFonts w:ascii="Arial" w:hAnsi="Arial" w:cs="Arial"/>
                <w:sz w:val="20"/>
              </w:rPr>
            </w:pPr>
            <w:r>
              <w:rPr>
                <w:rFonts w:ascii="Arial" w:hAnsi="Arial" w:cs="Arial"/>
                <w:sz w:val="20"/>
              </w:rPr>
              <w:t>61%</w:t>
            </w:r>
          </w:p>
        </w:tc>
        <w:tc>
          <w:tcPr>
            <w:tcW w:w="1223" w:type="dxa"/>
            <w:vAlign w:val="center"/>
          </w:tcPr>
          <w:p w:rsidR="009C0B88" w:rsidRDefault="009C0B88" w:rsidP="009C0B88">
            <w:pPr>
              <w:jc w:val="center"/>
              <w:rPr>
                <w:rFonts w:ascii="Arial" w:hAnsi="Arial" w:cs="Arial"/>
                <w:sz w:val="20"/>
              </w:rPr>
            </w:pPr>
            <w:r>
              <w:rPr>
                <w:rFonts w:ascii="Arial" w:hAnsi="Arial" w:cs="Arial"/>
                <w:sz w:val="20"/>
              </w:rPr>
              <w:t>40%</w:t>
            </w:r>
          </w:p>
        </w:tc>
        <w:tc>
          <w:tcPr>
            <w:tcW w:w="1223" w:type="dxa"/>
            <w:shd w:val="clear" w:color="auto" w:fill="auto"/>
            <w:vAlign w:val="center"/>
          </w:tcPr>
          <w:p w:rsidR="009C0B88" w:rsidRDefault="009C0B88" w:rsidP="009C0B88">
            <w:pPr>
              <w:jc w:val="center"/>
              <w:rPr>
                <w:rFonts w:ascii="Arial" w:hAnsi="Arial" w:cs="Arial"/>
                <w:sz w:val="20"/>
              </w:rPr>
            </w:pPr>
            <w:r>
              <w:rPr>
                <w:rFonts w:ascii="Arial" w:hAnsi="Arial" w:cs="Arial"/>
                <w:sz w:val="20"/>
              </w:rPr>
              <w:t>9%</w:t>
            </w:r>
          </w:p>
        </w:tc>
      </w:tr>
      <w:tr w:rsidR="009C0B88" w:rsidRPr="00CA4EF3">
        <w:trPr>
          <w:trHeight w:val="305"/>
          <w:jc w:val="center"/>
        </w:trPr>
        <w:tc>
          <w:tcPr>
            <w:tcW w:w="2306" w:type="dxa"/>
            <w:vAlign w:val="center"/>
          </w:tcPr>
          <w:p w:rsidR="009C0B88" w:rsidRPr="00CA4EF3" w:rsidRDefault="009C0B88" w:rsidP="009C0B88">
            <w:pPr>
              <w:keepNext/>
              <w:keepLines/>
              <w:rPr>
                <w:color w:val="000000"/>
              </w:rPr>
            </w:pPr>
            <w:r w:rsidRPr="00CA4EF3">
              <w:rPr>
                <w:color w:val="000000"/>
                <w:sz w:val="22"/>
                <w:szCs w:val="22"/>
              </w:rPr>
              <w:t>Lower-middle-income</w:t>
            </w:r>
          </w:p>
        </w:tc>
        <w:tc>
          <w:tcPr>
            <w:tcW w:w="1223" w:type="dxa"/>
            <w:vAlign w:val="center"/>
          </w:tcPr>
          <w:p w:rsidR="009C0B88" w:rsidRDefault="009C0B88" w:rsidP="009C0B88">
            <w:pPr>
              <w:jc w:val="center"/>
              <w:rPr>
                <w:rFonts w:ascii="Arial" w:hAnsi="Arial" w:cs="Arial"/>
                <w:sz w:val="20"/>
              </w:rPr>
            </w:pPr>
            <w:r>
              <w:rPr>
                <w:rFonts w:ascii="Arial" w:hAnsi="Arial" w:cs="Arial"/>
                <w:sz w:val="20"/>
              </w:rPr>
              <w:t>86%</w:t>
            </w:r>
          </w:p>
        </w:tc>
        <w:tc>
          <w:tcPr>
            <w:tcW w:w="1223" w:type="dxa"/>
            <w:vAlign w:val="center"/>
          </w:tcPr>
          <w:p w:rsidR="009C0B88" w:rsidRDefault="009C0B88" w:rsidP="009C0B88">
            <w:pPr>
              <w:jc w:val="center"/>
              <w:rPr>
                <w:rFonts w:ascii="Arial" w:hAnsi="Arial" w:cs="Arial"/>
                <w:sz w:val="20"/>
              </w:rPr>
            </w:pPr>
            <w:r>
              <w:rPr>
                <w:rFonts w:ascii="Arial" w:hAnsi="Arial" w:cs="Arial"/>
                <w:sz w:val="20"/>
              </w:rPr>
              <w:t>88%</w:t>
            </w:r>
          </w:p>
        </w:tc>
        <w:tc>
          <w:tcPr>
            <w:tcW w:w="1223" w:type="dxa"/>
            <w:shd w:val="clear" w:color="auto" w:fill="auto"/>
            <w:vAlign w:val="center"/>
          </w:tcPr>
          <w:p w:rsidR="009C0B88" w:rsidRDefault="009C0B88" w:rsidP="009C0B88">
            <w:pPr>
              <w:jc w:val="center"/>
              <w:rPr>
                <w:rFonts w:ascii="Arial" w:hAnsi="Arial" w:cs="Arial"/>
                <w:sz w:val="20"/>
              </w:rPr>
            </w:pPr>
            <w:r>
              <w:rPr>
                <w:rFonts w:ascii="Arial" w:hAnsi="Arial" w:cs="Arial"/>
                <w:sz w:val="20"/>
              </w:rPr>
              <w:t>48%</w:t>
            </w:r>
          </w:p>
        </w:tc>
        <w:tc>
          <w:tcPr>
            <w:tcW w:w="1223" w:type="dxa"/>
            <w:vAlign w:val="center"/>
          </w:tcPr>
          <w:p w:rsidR="009C0B88" w:rsidRDefault="009C0B88" w:rsidP="009C0B88">
            <w:pPr>
              <w:jc w:val="center"/>
              <w:rPr>
                <w:rFonts w:ascii="Arial" w:hAnsi="Arial" w:cs="Arial"/>
                <w:sz w:val="20"/>
              </w:rPr>
            </w:pPr>
            <w:r>
              <w:rPr>
                <w:rFonts w:ascii="Arial" w:hAnsi="Arial" w:cs="Arial"/>
                <w:sz w:val="20"/>
              </w:rPr>
              <w:t>66%</w:t>
            </w:r>
          </w:p>
        </w:tc>
        <w:tc>
          <w:tcPr>
            <w:tcW w:w="1223" w:type="dxa"/>
            <w:vAlign w:val="center"/>
          </w:tcPr>
          <w:p w:rsidR="009C0B88" w:rsidRDefault="009C0B88" w:rsidP="009C0B88">
            <w:pPr>
              <w:jc w:val="center"/>
              <w:rPr>
                <w:rFonts w:ascii="Arial" w:hAnsi="Arial" w:cs="Arial"/>
                <w:sz w:val="20"/>
              </w:rPr>
            </w:pPr>
            <w:r>
              <w:rPr>
                <w:rFonts w:ascii="Arial" w:hAnsi="Arial" w:cs="Arial"/>
                <w:sz w:val="20"/>
              </w:rPr>
              <w:t>52%</w:t>
            </w:r>
          </w:p>
        </w:tc>
        <w:tc>
          <w:tcPr>
            <w:tcW w:w="1223" w:type="dxa"/>
            <w:shd w:val="clear" w:color="auto" w:fill="auto"/>
            <w:vAlign w:val="center"/>
          </w:tcPr>
          <w:p w:rsidR="009C0B88" w:rsidRDefault="009C0B88" w:rsidP="009C0B88">
            <w:pPr>
              <w:jc w:val="center"/>
              <w:rPr>
                <w:rFonts w:ascii="Arial" w:hAnsi="Arial" w:cs="Arial"/>
                <w:sz w:val="20"/>
              </w:rPr>
            </w:pPr>
            <w:r>
              <w:rPr>
                <w:rFonts w:ascii="Arial" w:hAnsi="Arial" w:cs="Arial"/>
                <w:sz w:val="20"/>
              </w:rPr>
              <w:t>24%</w:t>
            </w:r>
          </w:p>
        </w:tc>
      </w:tr>
      <w:tr w:rsidR="009C0B88" w:rsidRPr="00CA4EF3">
        <w:trPr>
          <w:trHeight w:val="305"/>
          <w:jc w:val="center"/>
        </w:trPr>
        <w:tc>
          <w:tcPr>
            <w:tcW w:w="2306" w:type="dxa"/>
            <w:vAlign w:val="center"/>
          </w:tcPr>
          <w:p w:rsidR="009C0B88" w:rsidRPr="00CA4EF3" w:rsidRDefault="009C0B88" w:rsidP="009C0B88">
            <w:pPr>
              <w:keepNext/>
              <w:keepLines/>
              <w:rPr>
                <w:color w:val="000000"/>
              </w:rPr>
            </w:pPr>
            <w:r w:rsidRPr="00CA4EF3">
              <w:rPr>
                <w:color w:val="000000"/>
                <w:sz w:val="22"/>
                <w:szCs w:val="22"/>
              </w:rPr>
              <w:t>Upper-middle-income</w:t>
            </w:r>
          </w:p>
        </w:tc>
        <w:tc>
          <w:tcPr>
            <w:tcW w:w="1223" w:type="dxa"/>
            <w:vAlign w:val="center"/>
          </w:tcPr>
          <w:p w:rsidR="009C0B88" w:rsidRDefault="009C0B88" w:rsidP="009C0B88">
            <w:pPr>
              <w:jc w:val="center"/>
              <w:rPr>
                <w:rFonts w:ascii="Arial" w:hAnsi="Arial" w:cs="Arial"/>
                <w:sz w:val="20"/>
              </w:rPr>
            </w:pPr>
            <w:r>
              <w:rPr>
                <w:rFonts w:ascii="Arial" w:hAnsi="Arial" w:cs="Arial"/>
                <w:sz w:val="20"/>
              </w:rPr>
              <w:t>88%</w:t>
            </w:r>
          </w:p>
        </w:tc>
        <w:tc>
          <w:tcPr>
            <w:tcW w:w="1223" w:type="dxa"/>
            <w:vAlign w:val="center"/>
          </w:tcPr>
          <w:p w:rsidR="009C0B88" w:rsidRDefault="009C0B88" w:rsidP="009C0B88">
            <w:pPr>
              <w:jc w:val="center"/>
              <w:rPr>
                <w:rFonts w:ascii="Arial" w:hAnsi="Arial" w:cs="Arial"/>
                <w:sz w:val="20"/>
              </w:rPr>
            </w:pPr>
            <w:r>
              <w:rPr>
                <w:rFonts w:ascii="Arial" w:hAnsi="Arial" w:cs="Arial"/>
                <w:sz w:val="20"/>
              </w:rPr>
              <w:t>94%</w:t>
            </w:r>
          </w:p>
        </w:tc>
        <w:tc>
          <w:tcPr>
            <w:tcW w:w="1223" w:type="dxa"/>
            <w:shd w:val="clear" w:color="auto" w:fill="auto"/>
            <w:vAlign w:val="center"/>
          </w:tcPr>
          <w:p w:rsidR="009C0B88" w:rsidRDefault="009C0B88" w:rsidP="009C0B88">
            <w:pPr>
              <w:jc w:val="center"/>
              <w:rPr>
                <w:rFonts w:ascii="Arial" w:hAnsi="Arial" w:cs="Arial"/>
                <w:sz w:val="20"/>
              </w:rPr>
            </w:pPr>
            <w:r>
              <w:rPr>
                <w:rFonts w:ascii="Arial" w:hAnsi="Arial" w:cs="Arial"/>
                <w:sz w:val="20"/>
              </w:rPr>
              <w:t>55%</w:t>
            </w:r>
          </w:p>
        </w:tc>
        <w:tc>
          <w:tcPr>
            <w:tcW w:w="1223" w:type="dxa"/>
            <w:vAlign w:val="center"/>
          </w:tcPr>
          <w:p w:rsidR="009C0B88" w:rsidRDefault="009C0B88" w:rsidP="009C0B88">
            <w:pPr>
              <w:jc w:val="center"/>
              <w:rPr>
                <w:rFonts w:ascii="Arial" w:hAnsi="Arial" w:cs="Arial"/>
                <w:sz w:val="20"/>
              </w:rPr>
            </w:pPr>
            <w:r>
              <w:rPr>
                <w:rFonts w:ascii="Arial" w:hAnsi="Arial" w:cs="Arial"/>
                <w:sz w:val="20"/>
              </w:rPr>
              <w:t>78%</w:t>
            </w:r>
          </w:p>
        </w:tc>
        <w:tc>
          <w:tcPr>
            <w:tcW w:w="1223" w:type="dxa"/>
            <w:vAlign w:val="center"/>
          </w:tcPr>
          <w:p w:rsidR="009C0B88" w:rsidRDefault="009C0B88" w:rsidP="009C0B88">
            <w:pPr>
              <w:jc w:val="center"/>
              <w:rPr>
                <w:rFonts w:ascii="Arial" w:hAnsi="Arial" w:cs="Arial"/>
                <w:sz w:val="20"/>
              </w:rPr>
            </w:pPr>
            <w:r>
              <w:rPr>
                <w:rFonts w:ascii="Arial" w:hAnsi="Arial" w:cs="Arial"/>
                <w:sz w:val="20"/>
              </w:rPr>
              <w:t>73%</w:t>
            </w:r>
          </w:p>
        </w:tc>
        <w:tc>
          <w:tcPr>
            <w:tcW w:w="1223" w:type="dxa"/>
            <w:shd w:val="clear" w:color="auto" w:fill="auto"/>
            <w:vAlign w:val="center"/>
          </w:tcPr>
          <w:p w:rsidR="009C0B88" w:rsidRDefault="009C0B88" w:rsidP="009C0B88">
            <w:pPr>
              <w:jc w:val="center"/>
              <w:rPr>
                <w:rFonts w:ascii="Arial" w:hAnsi="Arial" w:cs="Arial"/>
                <w:sz w:val="20"/>
              </w:rPr>
            </w:pPr>
            <w:r>
              <w:rPr>
                <w:rFonts w:ascii="Arial" w:hAnsi="Arial" w:cs="Arial"/>
                <w:sz w:val="20"/>
              </w:rPr>
              <w:t>31%</w:t>
            </w:r>
          </w:p>
        </w:tc>
      </w:tr>
      <w:tr w:rsidR="009C0B88" w:rsidRPr="00CA4EF3">
        <w:trPr>
          <w:trHeight w:val="305"/>
          <w:jc w:val="center"/>
        </w:trPr>
        <w:tc>
          <w:tcPr>
            <w:tcW w:w="2306" w:type="dxa"/>
            <w:vAlign w:val="center"/>
          </w:tcPr>
          <w:p w:rsidR="009C0B88" w:rsidRPr="00CA4EF3" w:rsidRDefault="009C0B88" w:rsidP="009C0B88">
            <w:pPr>
              <w:keepNext/>
              <w:keepLines/>
              <w:rPr>
                <w:color w:val="000000"/>
              </w:rPr>
            </w:pPr>
            <w:r w:rsidRPr="00CA4EF3">
              <w:rPr>
                <w:color w:val="000000"/>
                <w:sz w:val="22"/>
                <w:szCs w:val="22"/>
              </w:rPr>
              <w:t>High-income</w:t>
            </w:r>
          </w:p>
        </w:tc>
        <w:tc>
          <w:tcPr>
            <w:tcW w:w="1223" w:type="dxa"/>
            <w:vAlign w:val="center"/>
          </w:tcPr>
          <w:p w:rsidR="009C0B88" w:rsidRDefault="009C0B88" w:rsidP="009C0B88">
            <w:pPr>
              <w:jc w:val="center"/>
              <w:rPr>
                <w:rFonts w:ascii="Arial" w:hAnsi="Arial" w:cs="Arial"/>
                <w:sz w:val="20"/>
              </w:rPr>
            </w:pPr>
            <w:r>
              <w:rPr>
                <w:rFonts w:ascii="Arial" w:hAnsi="Arial" w:cs="Arial"/>
                <w:sz w:val="20"/>
              </w:rPr>
              <w:t>NA</w:t>
            </w:r>
          </w:p>
        </w:tc>
        <w:tc>
          <w:tcPr>
            <w:tcW w:w="1223" w:type="dxa"/>
            <w:vAlign w:val="center"/>
          </w:tcPr>
          <w:p w:rsidR="009C0B88" w:rsidRDefault="009C0B88" w:rsidP="009C0B88">
            <w:pPr>
              <w:jc w:val="center"/>
              <w:rPr>
                <w:rFonts w:ascii="Arial" w:hAnsi="Arial" w:cs="Arial"/>
                <w:sz w:val="20"/>
              </w:rPr>
            </w:pPr>
            <w:r>
              <w:rPr>
                <w:rFonts w:ascii="Arial" w:hAnsi="Arial" w:cs="Arial"/>
                <w:sz w:val="20"/>
              </w:rPr>
              <w:t>99%</w:t>
            </w:r>
          </w:p>
        </w:tc>
        <w:tc>
          <w:tcPr>
            <w:tcW w:w="1223" w:type="dxa"/>
            <w:shd w:val="clear" w:color="auto" w:fill="auto"/>
            <w:vAlign w:val="center"/>
          </w:tcPr>
          <w:p w:rsidR="009C0B88" w:rsidRDefault="009C0B88" w:rsidP="009C0B88">
            <w:pPr>
              <w:jc w:val="center"/>
              <w:rPr>
                <w:rFonts w:ascii="Arial" w:hAnsi="Arial" w:cs="Arial"/>
                <w:sz w:val="20"/>
              </w:rPr>
            </w:pPr>
            <w:r>
              <w:rPr>
                <w:rFonts w:ascii="Arial" w:hAnsi="Arial" w:cs="Arial"/>
                <w:sz w:val="20"/>
              </w:rPr>
              <w:t>NA</w:t>
            </w:r>
          </w:p>
        </w:tc>
        <w:tc>
          <w:tcPr>
            <w:tcW w:w="1223" w:type="dxa"/>
            <w:vAlign w:val="center"/>
          </w:tcPr>
          <w:p w:rsidR="009C0B88" w:rsidRDefault="009C0B88" w:rsidP="009C0B88">
            <w:pPr>
              <w:jc w:val="center"/>
              <w:rPr>
                <w:rFonts w:ascii="Arial" w:hAnsi="Arial" w:cs="Arial"/>
                <w:sz w:val="20"/>
              </w:rPr>
            </w:pPr>
            <w:r>
              <w:rPr>
                <w:rFonts w:ascii="Arial" w:hAnsi="Arial" w:cs="Arial"/>
                <w:sz w:val="20"/>
              </w:rPr>
              <w:t>NA</w:t>
            </w:r>
          </w:p>
        </w:tc>
        <w:tc>
          <w:tcPr>
            <w:tcW w:w="1223" w:type="dxa"/>
            <w:vAlign w:val="center"/>
          </w:tcPr>
          <w:p w:rsidR="009C0B88" w:rsidRDefault="009C0B88" w:rsidP="009C0B88">
            <w:pPr>
              <w:jc w:val="center"/>
              <w:rPr>
                <w:rFonts w:ascii="Arial" w:hAnsi="Arial" w:cs="Arial"/>
                <w:sz w:val="20"/>
              </w:rPr>
            </w:pPr>
            <w:r>
              <w:rPr>
                <w:rFonts w:ascii="Arial" w:hAnsi="Arial" w:cs="Arial"/>
                <w:sz w:val="20"/>
              </w:rPr>
              <w:t>99%</w:t>
            </w:r>
          </w:p>
        </w:tc>
        <w:tc>
          <w:tcPr>
            <w:tcW w:w="1223" w:type="dxa"/>
            <w:shd w:val="clear" w:color="auto" w:fill="auto"/>
            <w:vAlign w:val="center"/>
          </w:tcPr>
          <w:p w:rsidR="009C0B88" w:rsidRDefault="009C0B88" w:rsidP="009C0B88">
            <w:pPr>
              <w:jc w:val="center"/>
              <w:rPr>
                <w:rFonts w:ascii="Arial" w:hAnsi="Arial" w:cs="Arial"/>
                <w:sz w:val="20"/>
              </w:rPr>
            </w:pPr>
            <w:r>
              <w:rPr>
                <w:rFonts w:ascii="Arial" w:hAnsi="Arial" w:cs="Arial"/>
                <w:sz w:val="20"/>
              </w:rPr>
              <w:t>NA</w:t>
            </w:r>
          </w:p>
        </w:tc>
      </w:tr>
      <w:tr w:rsidR="009C0B88" w:rsidRPr="008A4D8E">
        <w:trPr>
          <w:trHeight w:val="305"/>
          <w:jc w:val="center"/>
        </w:trPr>
        <w:tc>
          <w:tcPr>
            <w:tcW w:w="9644" w:type="dxa"/>
            <w:gridSpan w:val="7"/>
            <w:shd w:val="clear" w:color="auto" w:fill="D9D9D9" w:themeFill="background1" w:themeFillShade="D9"/>
            <w:vAlign w:val="center"/>
          </w:tcPr>
          <w:p w:rsidR="009C0B88" w:rsidRPr="008A4D8E" w:rsidRDefault="009C0B88" w:rsidP="009C0B88">
            <w:pPr>
              <w:keepNext/>
              <w:keepLines/>
              <w:jc w:val="center"/>
              <w:rPr>
                <w:rFonts w:ascii="Arial" w:hAnsi="Arial" w:cs="Arial"/>
                <w:sz w:val="20"/>
              </w:rPr>
            </w:pPr>
          </w:p>
        </w:tc>
      </w:tr>
      <w:tr w:rsidR="009C0B88" w:rsidRPr="008A4D8E">
        <w:trPr>
          <w:trHeight w:val="305"/>
          <w:jc w:val="center"/>
        </w:trPr>
        <w:tc>
          <w:tcPr>
            <w:tcW w:w="2306" w:type="dxa"/>
            <w:vAlign w:val="center"/>
          </w:tcPr>
          <w:p w:rsidR="009C0B88" w:rsidRPr="008A4D8E" w:rsidRDefault="009C0B88" w:rsidP="009C0B88">
            <w:pPr>
              <w:keepNext/>
              <w:keepLines/>
              <w:autoSpaceDE w:val="0"/>
              <w:autoSpaceDN w:val="0"/>
              <w:adjustRightInd w:val="0"/>
              <w:rPr>
                <w:color w:val="000000"/>
              </w:rPr>
            </w:pPr>
            <w:r>
              <w:rPr>
                <w:color w:val="000000"/>
                <w:sz w:val="22"/>
                <w:szCs w:val="22"/>
              </w:rPr>
              <w:t>East Asia and the Pacific</w:t>
            </w:r>
          </w:p>
        </w:tc>
        <w:tc>
          <w:tcPr>
            <w:tcW w:w="1223" w:type="dxa"/>
            <w:vAlign w:val="center"/>
          </w:tcPr>
          <w:p w:rsidR="009C0B88" w:rsidRDefault="009C0B88" w:rsidP="009C0B88">
            <w:pPr>
              <w:jc w:val="center"/>
              <w:rPr>
                <w:rFonts w:ascii="Arial" w:hAnsi="Arial" w:cs="Arial"/>
                <w:sz w:val="20"/>
              </w:rPr>
            </w:pPr>
            <w:r>
              <w:rPr>
                <w:rFonts w:ascii="Arial" w:hAnsi="Arial" w:cs="Arial"/>
                <w:sz w:val="20"/>
              </w:rPr>
              <w:t>82%</w:t>
            </w:r>
          </w:p>
        </w:tc>
        <w:tc>
          <w:tcPr>
            <w:tcW w:w="1223" w:type="dxa"/>
            <w:vAlign w:val="center"/>
          </w:tcPr>
          <w:p w:rsidR="009C0B88" w:rsidRDefault="009C0B88" w:rsidP="009C0B88">
            <w:pPr>
              <w:jc w:val="center"/>
              <w:rPr>
                <w:rFonts w:ascii="Arial" w:hAnsi="Arial" w:cs="Arial"/>
                <w:sz w:val="20"/>
              </w:rPr>
            </w:pPr>
            <w:r>
              <w:rPr>
                <w:rFonts w:ascii="Arial" w:hAnsi="Arial" w:cs="Arial"/>
                <w:sz w:val="20"/>
              </w:rPr>
              <w:t>85%</w:t>
            </w:r>
          </w:p>
        </w:tc>
        <w:tc>
          <w:tcPr>
            <w:tcW w:w="1223" w:type="dxa"/>
            <w:shd w:val="clear" w:color="auto" w:fill="auto"/>
            <w:vAlign w:val="center"/>
          </w:tcPr>
          <w:p w:rsidR="009C0B88" w:rsidRDefault="009C0B88" w:rsidP="009C0B88">
            <w:pPr>
              <w:jc w:val="center"/>
              <w:rPr>
                <w:rFonts w:ascii="Arial" w:hAnsi="Arial" w:cs="Arial"/>
                <w:sz w:val="20"/>
              </w:rPr>
            </w:pPr>
            <w:r>
              <w:rPr>
                <w:rFonts w:ascii="Arial" w:hAnsi="Arial" w:cs="Arial"/>
                <w:sz w:val="20"/>
              </w:rPr>
              <w:t>50%</w:t>
            </w:r>
          </w:p>
        </w:tc>
        <w:tc>
          <w:tcPr>
            <w:tcW w:w="1223" w:type="dxa"/>
            <w:vAlign w:val="center"/>
          </w:tcPr>
          <w:p w:rsidR="009C0B88" w:rsidRDefault="009C0B88" w:rsidP="009C0B88">
            <w:pPr>
              <w:jc w:val="center"/>
              <w:rPr>
                <w:rFonts w:ascii="Arial" w:hAnsi="Arial" w:cs="Arial"/>
                <w:sz w:val="20"/>
              </w:rPr>
            </w:pPr>
            <w:r>
              <w:rPr>
                <w:rFonts w:ascii="Arial" w:hAnsi="Arial" w:cs="Arial"/>
                <w:sz w:val="20"/>
              </w:rPr>
              <w:t>72%</w:t>
            </w:r>
          </w:p>
        </w:tc>
        <w:tc>
          <w:tcPr>
            <w:tcW w:w="1223" w:type="dxa"/>
            <w:vAlign w:val="center"/>
          </w:tcPr>
          <w:p w:rsidR="009C0B88" w:rsidRDefault="009C0B88" w:rsidP="009C0B88">
            <w:pPr>
              <w:jc w:val="center"/>
              <w:rPr>
                <w:rFonts w:ascii="Arial" w:hAnsi="Arial" w:cs="Arial"/>
                <w:sz w:val="20"/>
              </w:rPr>
            </w:pPr>
            <w:r>
              <w:rPr>
                <w:rFonts w:ascii="Arial" w:hAnsi="Arial" w:cs="Arial"/>
                <w:sz w:val="20"/>
              </w:rPr>
              <w:t>68%</w:t>
            </w:r>
          </w:p>
        </w:tc>
        <w:tc>
          <w:tcPr>
            <w:tcW w:w="1223" w:type="dxa"/>
            <w:shd w:val="clear" w:color="auto" w:fill="auto"/>
            <w:vAlign w:val="center"/>
          </w:tcPr>
          <w:p w:rsidR="009C0B88" w:rsidRDefault="009C0B88" w:rsidP="009C0B88">
            <w:pPr>
              <w:jc w:val="center"/>
              <w:rPr>
                <w:rFonts w:ascii="Arial" w:hAnsi="Arial" w:cs="Arial"/>
                <w:sz w:val="20"/>
              </w:rPr>
            </w:pPr>
            <w:r>
              <w:rPr>
                <w:rFonts w:ascii="Arial" w:hAnsi="Arial" w:cs="Arial"/>
                <w:sz w:val="20"/>
              </w:rPr>
              <w:t>44%</w:t>
            </w:r>
          </w:p>
        </w:tc>
      </w:tr>
      <w:tr w:rsidR="009C0B88" w:rsidRPr="008A4D8E">
        <w:trPr>
          <w:trHeight w:val="305"/>
          <w:jc w:val="center"/>
        </w:trPr>
        <w:tc>
          <w:tcPr>
            <w:tcW w:w="2306" w:type="dxa"/>
            <w:vAlign w:val="center"/>
          </w:tcPr>
          <w:p w:rsidR="009C0B88" w:rsidRPr="008A4D8E" w:rsidRDefault="009C0B88" w:rsidP="009C0B88">
            <w:pPr>
              <w:keepNext/>
              <w:keepLines/>
              <w:autoSpaceDE w:val="0"/>
              <w:autoSpaceDN w:val="0"/>
              <w:adjustRightInd w:val="0"/>
              <w:rPr>
                <w:color w:val="000000"/>
              </w:rPr>
            </w:pPr>
            <w:r>
              <w:rPr>
                <w:color w:val="000000"/>
                <w:sz w:val="22"/>
                <w:szCs w:val="22"/>
              </w:rPr>
              <w:t>Europe and Central Asia</w:t>
            </w:r>
          </w:p>
        </w:tc>
        <w:tc>
          <w:tcPr>
            <w:tcW w:w="1223" w:type="dxa"/>
            <w:vAlign w:val="center"/>
          </w:tcPr>
          <w:p w:rsidR="009C0B88" w:rsidRDefault="009C0B88" w:rsidP="009C0B88">
            <w:pPr>
              <w:jc w:val="center"/>
              <w:rPr>
                <w:rFonts w:ascii="Arial" w:hAnsi="Arial" w:cs="Arial"/>
                <w:sz w:val="20"/>
              </w:rPr>
            </w:pPr>
            <w:r>
              <w:rPr>
                <w:rFonts w:ascii="Arial" w:hAnsi="Arial" w:cs="Arial"/>
                <w:sz w:val="20"/>
              </w:rPr>
              <w:t>93%</w:t>
            </w:r>
          </w:p>
        </w:tc>
        <w:tc>
          <w:tcPr>
            <w:tcW w:w="1223" w:type="dxa"/>
            <w:vAlign w:val="center"/>
          </w:tcPr>
          <w:p w:rsidR="009C0B88" w:rsidRDefault="009C0B88" w:rsidP="009C0B88">
            <w:pPr>
              <w:jc w:val="center"/>
              <w:rPr>
                <w:rFonts w:ascii="Arial" w:hAnsi="Arial" w:cs="Arial"/>
                <w:sz w:val="20"/>
              </w:rPr>
            </w:pPr>
            <w:r>
              <w:rPr>
                <w:rFonts w:ascii="Arial" w:hAnsi="Arial" w:cs="Arial"/>
                <w:sz w:val="20"/>
              </w:rPr>
              <w:t>94%</w:t>
            </w:r>
          </w:p>
        </w:tc>
        <w:tc>
          <w:tcPr>
            <w:tcW w:w="1223" w:type="dxa"/>
            <w:shd w:val="clear" w:color="auto" w:fill="auto"/>
            <w:vAlign w:val="center"/>
          </w:tcPr>
          <w:p w:rsidR="009C0B88" w:rsidRDefault="009C0B88" w:rsidP="009C0B88">
            <w:pPr>
              <w:jc w:val="center"/>
              <w:rPr>
                <w:rFonts w:ascii="Arial" w:hAnsi="Arial" w:cs="Arial"/>
                <w:sz w:val="20"/>
              </w:rPr>
            </w:pPr>
            <w:r>
              <w:rPr>
                <w:rFonts w:ascii="Arial" w:hAnsi="Arial" w:cs="Arial"/>
                <w:sz w:val="20"/>
              </w:rPr>
              <w:t>47%</w:t>
            </w:r>
          </w:p>
        </w:tc>
        <w:tc>
          <w:tcPr>
            <w:tcW w:w="1223" w:type="dxa"/>
            <w:vAlign w:val="center"/>
          </w:tcPr>
          <w:p w:rsidR="009C0B88" w:rsidRDefault="009C0B88" w:rsidP="009C0B88">
            <w:pPr>
              <w:jc w:val="center"/>
              <w:rPr>
                <w:rFonts w:ascii="Arial" w:hAnsi="Arial" w:cs="Arial"/>
                <w:sz w:val="20"/>
              </w:rPr>
            </w:pPr>
            <w:r>
              <w:rPr>
                <w:rFonts w:ascii="Arial" w:hAnsi="Arial" w:cs="Arial"/>
                <w:sz w:val="20"/>
              </w:rPr>
              <w:t>93%</w:t>
            </w:r>
          </w:p>
        </w:tc>
        <w:tc>
          <w:tcPr>
            <w:tcW w:w="1223" w:type="dxa"/>
            <w:vAlign w:val="center"/>
          </w:tcPr>
          <w:p w:rsidR="009C0B88" w:rsidRDefault="009C0B88" w:rsidP="009C0B88">
            <w:pPr>
              <w:jc w:val="center"/>
              <w:rPr>
                <w:rFonts w:ascii="Arial" w:hAnsi="Arial" w:cs="Arial"/>
                <w:sz w:val="20"/>
              </w:rPr>
            </w:pPr>
            <w:r>
              <w:rPr>
                <w:rFonts w:ascii="Arial" w:hAnsi="Arial" w:cs="Arial"/>
                <w:sz w:val="20"/>
              </w:rPr>
              <w:t>90%</w:t>
            </w:r>
          </w:p>
        </w:tc>
        <w:tc>
          <w:tcPr>
            <w:tcW w:w="1223" w:type="dxa"/>
            <w:shd w:val="clear" w:color="auto" w:fill="auto"/>
            <w:vAlign w:val="center"/>
          </w:tcPr>
          <w:p w:rsidR="009C0B88" w:rsidRDefault="009C0B88" w:rsidP="009C0B88">
            <w:pPr>
              <w:jc w:val="center"/>
              <w:rPr>
                <w:rFonts w:ascii="Arial" w:hAnsi="Arial" w:cs="Arial"/>
                <w:sz w:val="20"/>
              </w:rPr>
            </w:pPr>
            <w:r>
              <w:rPr>
                <w:rFonts w:ascii="Arial" w:hAnsi="Arial" w:cs="Arial"/>
                <w:sz w:val="20"/>
              </w:rPr>
              <w:t>24%</w:t>
            </w:r>
          </w:p>
        </w:tc>
      </w:tr>
      <w:tr w:rsidR="009C0B88" w:rsidRPr="008A4D8E">
        <w:trPr>
          <w:trHeight w:val="305"/>
          <w:jc w:val="center"/>
        </w:trPr>
        <w:tc>
          <w:tcPr>
            <w:tcW w:w="2306" w:type="dxa"/>
            <w:vAlign w:val="center"/>
          </w:tcPr>
          <w:p w:rsidR="009C0B88" w:rsidRPr="008A4D8E" w:rsidRDefault="009C0B88" w:rsidP="009C0B88">
            <w:pPr>
              <w:keepNext/>
              <w:keepLines/>
              <w:autoSpaceDE w:val="0"/>
              <w:autoSpaceDN w:val="0"/>
              <w:adjustRightInd w:val="0"/>
              <w:rPr>
                <w:color w:val="000000"/>
              </w:rPr>
            </w:pPr>
            <w:r>
              <w:rPr>
                <w:color w:val="000000"/>
                <w:sz w:val="22"/>
                <w:szCs w:val="22"/>
              </w:rPr>
              <w:t xml:space="preserve">Latin America and Caribbean </w:t>
            </w:r>
          </w:p>
        </w:tc>
        <w:tc>
          <w:tcPr>
            <w:tcW w:w="1223" w:type="dxa"/>
            <w:vAlign w:val="center"/>
          </w:tcPr>
          <w:p w:rsidR="009C0B88" w:rsidRDefault="009C0B88" w:rsidP="009C0B88">
            <w:pPr>
              <w:jc w:val="center"/>
              <w:rPr>
                <w:rFonts w:ascii="Arial" w:hAnsi="Arial" w:cs="Arial"/>
                <w:sz w:val="20"/>
              </w:rPr>
            </w:pPr>
            <w:r>
              <w:rPr>
                <w:rFonts w:ascii="Arial" w:hAnsi="Arial" w:cs="Arial"/>
                <w:sz w:val="20"/>
              </w:rPr>
              <w:t>91%</w:t>
            </w:r>
          </w:p>
        </w:tc>
        <w:tc>
          <w:tcPr>
            <w:tcW w:w="1223" w:type="dxa"/>
            <w:vAlign w:val="center"/>
          </w:tcPr>
          <w:p w:rsidR="009C0B88" w:rsidRDefault="009C0B88" w:rsidP="009C0B88">
            <w:pPr>
              <w:jc w:val="center"/>
              <w:rPr>
                <w:rFonts w:ascii="Arial" w:hAnsi="Arial" w:cs="Arial"/>
                <w:sz w:val="20"/>
              </w:rPr>
            </w:pPr>
            <w:r>
              <w:rPr>
                <w:rFonts w:ascii="Arial" w:hAnsi="Arial" w:cs="Arial"/>
                <w:sz w:val="20"/>
              </w:rPr>
              <w:t>92%</w:t>
            </w:r>
          </w:p>
        </w:tc>
        <w:tc>
          <w:tcPr>
            <w:tcW w:w="1223" w:type="dxa"/>
            <w:shd w:val="clear" w:color="auto" w:fill="auto"/>
            <w:vAlign w:val="center"/>
          </w:tcPr>
          <w:p w:rsidR="009C0B88" w:rsidRDefault="009C0B88" w:rsidP="009C0B88">
            <w:pPr>
              <w:jc w:val="center"/>
              <w:rPr>
                <w:rFonts w:ascii="Arial" w:hAnsi="Arial" w:cs="Arial"/>
                <w:sz w:val="20"/>
              </w:rPr>
            </w:pPr>
            <w:r>
              <w:rPr>
                <w:rFonts w:ascii="Arial" w:hAnsi="Arial" w:cs="Arial"/>
                <w:sz w:val="20"/>
              </w:rPr>
              <w:t>62%</w:t>
            </w:r>
          </w:p>
        </w:tc>
        <w:tc>
          <w:tcPr>
            <w:tcW w:w="1223" w:type="dxa"/>
            <w:vAlign w:val="center"/>
          </w:tcPr>
          <w:p w:rsidR="009C0B88" w:rsidRDefault="009C0B88" w:rsidP="009C0B88">
            <w:pPr>
              <w:jc w:val="center"/>
              <w:rPr>
                <w:rFonts w:ascii="Arial" w:hAnsi="Arial" w:cs="Arial"/>
                <w:sz w:val="20"/>
              </w:rPr>
            </w:pPr>
            <w:r>
              <w:rPr>
                <w:rFonts w:ascii="Arial" w:hAnsi="Arial" w:cs="Arial"/>
                <w:sz w:val="20"/>
              </w:rPr>
              <w:t>84%</w:t>
            </w:r>
          </w:p>
        </w:tc>
        <w:tc>
          <w:tcPr>
            <w:tcW w:w="1223" w:type="dxa"/>
            <w:vAlign w:val="center"/>
          </w:tcPr>
          <w:p w:rsidR="009C0B88" w:rsidRDefault="009C0B88" w:rsidP="009C0B88">
            <w:pPr>
              <w:jc w:val="center"/>
              <w:rPr>
                <w:rFonts w:ascii="Arial" w:hAnsi="Arial" w:cs="Arial"/>
                <w:sz w:val="20"/>
              </w:rPr>
            </w:pPr>
            <w:r>
              <w:rPr>
                <w:rFonts w:ascii="Arial" w:hAnsi="Arial" w:cs="Arial"/>
                <w:sz w:val="20"/>
              </w:rPr>
              <w:t>79%</w:t>
            </w:r>
          </w:p>
        </w:tc>
        <w:tc>
          <w:tcPr>
            <w:tcW w:w="1223" w:type="dxa"/>
            <w:shd w:val="clear" w:color="auto" w:fill="auto"/>
            <w:vAlign w:val="center"/>
          </w:tcPr>
          <w:p w:rsidR="009C0B88" w:rsidRDefault="009C0B88" w:rsidP="009C0B88">
            <w:pPr>
              <w:jc w:val="center"/>
              <w:rPr>
                <w:rFonts w:ascii="Arial" w:hAnsi="Arial" w:cs="Arial"/>
                <w:sz w:val="20"/>
              </w:rPr>
            </w:pPr>
            <w:r>
              <w:rPr>
                <w:rFonts w:ascii="Arial" w:hAnsi="Arial" w:cs="Arial"/>
                <w:sz w:val="20"/>
              </w:rPr>
              <w:t>31%</w:t>
            </w:r>
          </w:p>
        </w:tc>
      </w:tr>
      <w:tr w:rsidR="009C0B88" w:rsidRPr="008A4D8E">
        <w:trPr>
          <w:trHeight w:val="305"/>
          <w:jc w:val="center"/>
        </w:trPr>
        <w:tc>
          <w:tcPr>
            <w:tcW w:w="2306" w:type="dxa"/>
            <w:vAlign w:val="center"/>
          </w:tcPr>
          <w:p w:rsidR="009C0B88" w:rsidRPr="008A4D8E" w:rsidRDefault="009C0B88" w:rsidP="009C0B88">
            <w:pPr>
              <w:keepNext/>
              <w:keepLines/>
              <w:autoSpaceDE w:val="0"/>
              <w:autoSpaceDN w:val="0"/>
              <w:adjustRightInd w:val="0"/>
              <w:rPr>
                <w:color w:val="000000"/>
              </w:rPr>
            </w:pPr>
            <w:r>
              <w:rPr>
                <w:color w:val="000000"/>
                <w:sz w:val="22"/>
                <w:szCs w:val="22"/>
              </w:rPr>
              <w:t>Middle East and North Africa</w:t>
            </w:r>
          </w:p>
        </w:tc>
        <w:tc>
          <w:tcPr>
            <w:tcW w:w="1223" w:type="dxa"/>
            <w:vAlign w:val="center"/>
          </w:tcPr>
          <w:p w:rsidR="009C0B88" w:rsidRDefault="009C0B88" w:rsidP="009C0B88">
            <w:pPr>
              <w:jc w:val="center"/>
              <w:rPr>
                <w:rFonts w:ascii="Arial" w:hAnsi="Arial" w:cs="Arial"/>
                <w:sz w:val="20"/>
              </w:rPr>
            </w:pPr>
            <w:r>
              <w:rPr>
                <w:rFonts w:ascii="Arial" w:hAnsi="Arial" w:cs="Arial"/>
                <w:sz w:val="20"/>
              </w:rPr>
              <w:t>91%</w:t>
            </w:r>
          </w:p>
        </w:tc>
        <w:tc>
          <w:tcPr>
            <w:tcW w:w="1223" w:type="dxa"/>
            <w:vAlign w:val="center"/>
          </w:tcPr>
          <w:p w:rsidR="009C0B88" w:rsidRDefault="009C0B88" w:rsidP="009C0B88">
            <w:pPr>
              <w:jc w:val="center"/>
              <w:rPr>
                <w:rFonts w:ascii="Arial" w:hAnsi="Arial" w:cs="Arial"/>
                <w:sz w:val="20"/>
              </w:rPr>
            </w:pPr>
            <w:r>
              <w:rPr>
                <w:rFonts w:ascii="Arial" w:hAnsi="Arial" w:cs="Arial"/>
                <w:sz w:val="20"/>
              </w:rPr>
              <w:t>87%</w:t>
            </w:r>
          </w:p>
        </w:tc>
        <w:tc>
          <w:tcPr>
            <w:tcW w:w="1223" w:type="dxa"/>
            <w:shd w:val="clear" w:color="auto" w:fill="auto"/>
            <w:vAlign w:val="center"/>
          </w:tcPr>
          <w:p w:rsidR="009C0B88" w:rsidRDefault="009C0B88" w:rsidP="009C0B88">
            <w:pPr>
              <w:jc w:val="center"/>
              <w:rPr>
                <w:rFonts w:ascii="Arial" w:hAnsi="Arial" w:cs="Arial"/>
                <w:sz w:val="20"/>
              </w:rPr>
            </w:pPr>
            <w:r>
              <w:rPr>
                <w:rFonts w:ascii="Arial" w:hAnsi="Arial" w:cs="Arial"/>
                <w:sz w:val="20"/>
              </w:rPr>
              <w:t>33%</w:t>
            </w:r>
          </w:p>
        </w:tc>
        <w:tc>
          <w:tcPr>
            <w:tcW w:w="1223" w:type="dxa"/>
            <w:vAlign w:val="center"/>
          </w:tcPr>
          <w:p w:rsidR="009C0B88" w:rsidRDefault="009C0B88" w:rsidP="009C0B88">
            <w:pPr>
              <w:jc w:val="center"/>
              <w:rPr>
                <w:rFonts w:ascii="Arial" w:hAnsi="Arial" w:cs="Arial"/>
                <w:sz w:val="20"/>
              </w:rPr>
            </w:pPr>
            <w:r>
              <w:rPr>
                <w:rFonts w:ascii="Arial" w:hAnsi="Arial" w:cs="Arial"/>
                <w:sz w:val="20"/>
              </w:rPr>
              <w:t>88%</w:t>
            </w:r>
          </w:p>
        </w:tc>
        <w:tc>
          <w:tcPr>
            <w:tcW w:w="1223" w:type="dxa"/>
            <w:vAlign w:val="center"/>
          </w:tcPr>
          <w:p w:rsidR="009C0B88" w:rsidRDefault="009C0B88" w:rsidP="009C0B88">
            <w:pPr>
              <w:jc w:val="center"/>
              <w:rPr>
                <w:rFonts w:ascii="Arial" w:hAnsi="Arial" w:cs="Arial"/>
                <w:sz w:val="20"/>
              </w:rPr>
            </w:pPr>
            <w:r>
              <w:rPr>
                <w:rFonts w:ascii="Arial" w:hAnsi="Arial" w:cs="Arial"/>
                <w:sz w:val="20"/>
              </w:rPr>
              <w:t>85%</w:t>
            </w:r>
          </w:p>
        </w:tc>
        <w:tc>
          <w:tcPr>
            <w:tcW w:w="1223" w:type="dxa"/>
            <w:shd w:val="clear" w:color="auto" w:fill="auto"/>
            <w:vAlign w:val="center"/>
          </w:tcPr>
          <w:p w:rsidR="009C0B88" w:rsidRDefault="009C0B88" w:rsidP="009C0B88">
            <w:pPr>
              <w:jc w:val="center"/>
              <w:rPr>
                <w:rFonts w:ascii="Arial" w:hAnsi="Arial" w:cs="Arial"/>
                <w:sz w:val="20"/>
              </w:rPr>
            </w:pPr>
            <w:r>
              <w:rPr>
                <w:rFonts w:ascii="Arial" w:hAnsi="Arial" w:cs="Arial"/>
                <w:sz w:val="20"/>
              </w:rPr>
              <w:t>31%</w:t>
            </w:r>
          </w:p>
        </w:tc>
      </w:tr>
      <w:tr w:rsidR="009C0B88" w:rsidRPr="008A4D8E">
        <w:trPr>
          <w:trHeight w:val="305"/>
          <w:jc w:val="center"/>
        </w:trPr>
        <w:tc>
          <w:tcPr>
            <w:tcW w:w="2306" w:type="dxa"/>
            <w:vAlign w:val="center"/>
          </w:tcPr>
          <w:p w:rsidR="009C0B88" w:rsidRPr="008A4D8E" w:rsidRDefault="009C0B88" w:rsidP="009C0B88">
            <w:pPr>
              <w:keepNext/>
              <w:keepLines/>
              <w:autoSpaceDE w:val="0"/>
              <w:autoSpaceDN w:val="0"/>
              <w:adjustRightInd w:val="0"/>
              <w:rPr>
                <w:color w:val="000000"/>
              </w:rPr>
            </w:pPr>
            <w:r>
              <w:rPr>
                <w:color w:val="000000"/>
                <w:sz w:val="22"/>
                <w:szCs w:val="22"/>
              </w:rPr>
              <w:t>South Asia</w:t>
            </w:r>
          </w:p>
        </w:tc>
        <w:tc>
          <w:tcPr>
            <w:tcW w:w="1223" w:type="dxa"/>
            <w:vAlign w:val="center"/>
          </w:tcPr>
          <w:p w:rsidR="009C0B88" w:rsidRDefault="009C0B88" w:rsidP="009C0B88">
            <w:pPr>
              <w:jc w:val="center"/>
              <w:rPr>
                <w:rFonts w:ascii="Arial" w:hAnsi="Arial" w:cs="Arial"/>
                <w:sz w:val="20"/>
              </w:rPr>
            </w:pPr>
            <w:r>
              <w:rPr>
                <w:rFonts w:ascii="Arial" w:hAnsi="Arial" w:cs="Arial"/>
                <w:sz w:val="20"/>
              </w:rPr>
              <w:t>84%</w:t>
            </w:r>
          </w:p>
        </w:tc>
        <w:tc>
          <w:tcPr>
            <w:tcW w:w="1223" w:type="dxa"/>
            <w:vAlign w:val="center"/>
          </w:tcPr>
          <w:p w:rsidR="009C0B88" w:rsidRDefault="009C0B88" w:rsidP="009C0B88">
            <w:pPr>
              <w:jc w:val="center"/>
              <w:rPr>
                <w:rFonts w:ascii="Arial" w:hAnsi="Arial" w:cs="Arial"/>
                <w:sz w:val="20"/>
              </w:rPr>
            </w:pPr>
            <w:r>
              <w:rPr>
                <w:rFonts w:ascii="Arial" w:hAnsi="Arial" w:cs="Arial"/>
                <w:sz w:val="20"/>
              </w:rPr>
              <w:t>87%</w:t>
            </w:r>
          </w:p>
        </w:tc>
        <w:tc>
          <w:tcPr>
            <w:tcW w:w="1223" w:type="dxa"/>
            <w:shd w:val="clear" w:color="auto" w:fill="auto"/>
            <w:vAlign w:val="center"/>
          </w:tcPr>
          <w:p w:rsidR="009C0B88" w:rsidRDefault="009C0B88" w:rsidP="009C0B88">
            <w:pPr>
              <w:jc w:val="center"/>
              <w:rPr>
                <w:rFonts w:ascii="Arial" w:hAnsi="Arial" w:cs="Arial"/>
                <w:sz w:val="20"/>
              </w:rPr>
            </w:pPr>
            <w:r>
              <w:rPr>
                <w:rFonts w:ascii="Arial" w:hAnsi="Arial" w:cs="Arial"/>
                <w:sz w:val="20"/>
              </w:rPr>
              <w:t>63%</w:t>
            </w:r>
          </w:p>
        </w:tc>
        <w:tc>
          <w:tcPr>
            <w:tcW w:w="1223" w:type="dxa"/>
            <w:vAlign w:val="center"/>
          </w:tcPr>
          <w:p w:rsidR="009C0B88" w:rsidRDefault="009C0B88" w:rsidP="009C0B88">
            <w:pPr>
              <w:jc w:val="center"/>
              <w:rPr>
                <w:rFonts w:ascii="Arial" w:hAnsi="Arial" w:cs="Arial"/>
                <w:sz w:val="20"/>
              </w:rPr>
            </w:pPr>
            <w:r>
              <w:rPr>
                <w:rFonts w:ascii="Arial" w:hAnsi="Arial" w:cs="Arial"/>
                <w:sz w:val="20"/>
              </w:rPr>
              <w:t>70%</w:t>
            </w:r>
          </w:p>
          <w:p w:rsidR="009C0B88" w:rsidRDefault="009C0B88" w:rsidP="009C0B88">
            <w:pPr>
              <w:jc w:val="center"/>
              <w:rPr>
                <w:rFonts w:ascii="Arial" w:hAnsi="Arial" w:cs="Arial"/>
                <w:sz w:val="20"/>
              </w:rPr>
            </w:pPr>
          </w:p>
        </w:tc>
        <w:tc>
          <w:tcPr>
            <w:tcW w:w="1223" w:type="dxa"/>
            <w:vAlign w:val="center"/>
          </w:tcPr>
          <w:p w:rsidR="009C0B88" w:rsidRDefault="009C0B88" w:rsidP="009C0B88">
            <w:pPr>
              <w:jc w:val="center"/>
              <w:rPr>
                <w:rFonts w:ascii="Arial" w:hAnsi="Arial" w:cs="Arial"/>
                <w:sz w:val="20"/>
              </w:rPr>
            </w:pPr>
            <w:r>
              <w:rPr>
                <w:rFonts w:ascii="Arial" w:hAnsi="Arial" w:cs="Arial"/>
                <w:sz w:val="20"/>
              </w:rPr>
              <w:t>58%</w:t>
            </w:r>
          </w:p>
        </w:tc>
        <w:tc>
          <w:tcPr>
            <w:tcW w:w="1223" w:type="dxa"/>
            <w:shd w:val="clear" w:color="auto" w:fill="auto"/>
            <w:vAlign w:val="center"/>
          </w:tcPr>
          <w:p w:rsidR="009C0B88" w:rsidRDefault="009C0B88" w:rsidP="009C0B88">
            <w:pPr>
              <w:jc w:val="center"/>
              <w:rPr>
                <w:rFonts w:ascii="Arial" w:hAnsi="Arial" w:cs="Arial"/>
                <w:sz w:val="20"/>
              </w:rPr>
            </w:pPr>
            <w:r>
              <w:rPr>
                <w:rFonts w:ascii="Arial" w:hAnsi="Arial" w:cs="Arial"/>
                <w:sz w:val="20"/>
              </w:rPr>
              <w:t>25%</w:t>
            </w:r>
          </w:p>
        </w:tc>
      </w:tr>
      <w:tr w:rsidR="009C0B88" w:rsidRPr="008A4D8E">
        <w:trPr>
          <w:trHeight w:val="305"/>
          <w:jc w:val="center"/>
        </w:trPr>
        <w:tc>
          <w:tcPr>
            <w:tcW w:w="2306" w:type="dxa"/>
            <w:vAlign w:val="center"/>
          </w:tcPr>
          <w:p w:rsidR="009C0B88" w:rsidRPr="008A4D8E" w:rsidRDefault="009C0B88" w:rsidP="009C0B88">
            <w:pPr>
              <w:keepNext/>
              <w:keepLines/>
              <w:autoSpaceDE w:val="0"/>
              <w:autoSpaceDN w:val="0"/>
              <w:adjustRightInd w:val="0"/>
              <w:rPr>
                <w:color w:val="000000"/>
              </w:rPr>
            </w:pPr>
            <w:r>
              <w:rPr>
                <w:color w:val="000000"/>
                <w:sz w:val="22"/>
                <w:szCs w:val="22"/>
              </w:rPr>
              <w:t>Sub Saharan Africa</w:t>
            </w:r>
          </w:p>
        </w:tc>
        <w:tc>
          <w:tcPr>
            <w:tcW w:w="1223" w:type="dxa"/>
            <w:vAlign w:val="center"/>
          </w:tcPr>
          <w:p w:rsidR="009C0B88" w:rsidRDefault="009C0B88" w:rsidP="009C0B88">
            <w:pPr>
              <w:jc w:val="center"/>
              <w:rPr>
                <w:rFonts w:ascii="Arial" w:hAnsi="Arial" w:cs="Arial"/>
                <w:sz w:val="20"/>
              </w:rPr>
            </w:pPr>
            <w:r>
              <w:rPr>
                <w:rFonts w:ascii="Arial" w:hAnsi="Arial" w:cs="Arial"/>
                <w:sz w:val="20"/>
              </w:rPr>
              <w:t>77%</w:t>
            </w:r>
          </w:p>
        </w:tc>
        <w:tc>
          <w:tcPr>
            <w:tcW w:w="1223" w:type="dxa"/>
            <w:vAlign w:val="center"/>
          </w:tcPr>
          <w:p w:rsidR="009C0B88" w:rsidRDefault="009C0B88" w:rsidP="009C0B88">
            <w:pPr>
              <w:jc w:val="center"/>
              <w:rPr>
                <w:rFonts w:ascii="Arial" w:hAnsi="Arial" w:cs="Arial"/>
                <w:sz w:val="20"/>
              </w:rPr>
            </w:pPr>
            <w:r>
              <w:rPr>
                <w:rFonts w:ascii="Arial" w:hAnsi="Arial" w:cs="Arial"/>
                <w:sz w:val="20"/>
              </w:rPr>
              <w:t>70%</w:t>
            </w:r>
          </w:p>
        </w:tc>
        <w:tc>
          <w:tcPr>
            <w:tcW w:w="1223" w:type="dxa"/>
            <w:shd w:val="clear" w:color="auto" w:fill="auto"/>
            <w:vAlign w:val="center"/>
          </w:tcPr>
          <w:p w:rsidR="009C0B88" w:rsidRDefault="009C0B88" w:rsidP="009C0B88">
            <w:pPr>
              <w:jc w:val="center"/>
              <w:rPr>
                <w:rFonts w:ascii="Arial" w:hAnsi="Arial" w:cs="Arial"/>
                <w:sz w:val="20"/>
              </w:rPr>
            </w:pPr>
            <w:r>
              <w:rPr>
                <w:rFonts w:ascii="Arial" w:hAnsi="Arial" w:cs="Arial"/>
                <w:sz w:val="20"/>
              </w:rPr>
              <w:t>27%</w:t>
            </w:r>
          </w:p>
        </w:tc>
        <w:tc>
          <w:tcPr>
            <w:tcW w:w="1223" w:type="dxa"/>
            <w:vAlign w:val="center"/>
          </w:tcPr>
          <w:p w:rsidR="009C0B88" w:rsidRDefault="009C0B88" w:rsidP="009C0B88">
            <w:pPr>
              <w:jc w:val="center"/>
              <w:rPr>
                <w:rFonts w:ascii="Arial" w:hAnsi="Arial" w:cs="Arial"/>
                <w:sz w:val="20"/>
              </w:rPr>
            </w:pPr>
            <w:r>
              <w:rPr>
                <w:rFonts w:ascii="Arial" w:hAnsi="Arial" w:cs="Arial"/>
                <w:sz w:val="20"/>
              </w:rPr>
              <w:t>63%</w:t>
            </w:r>
          </w:p>
          <w:p w:rsidR="009C0B88" w:rsidRDefault="009C0B88" w:rsidP="009C0B88">
            <w:pPr>
              <w:rPr>
                <w:rFonts w:ascii="Arial" w:hAnsi="Arial" w:cs="Arial"/>
                <w:sz w:val="20"/>
              </w:rPr>
            </w:pPr>
          </w:p>
        </w:tc>
        <w:tc>
          <w:tcPr>
            <w:tcW w:w="1223" w:type="dxa"/>
            <w:vAlign w:val="center"/>
          </w:tcPr>
          <w:p w:rsidR="009C0B88" w:rsidRDefault="009C0B88" w:rsidP="009C0B88">
            <w:pPr>
              <w:jc w:val="center"/>
              <w:rPr>
                <w:rFonts w:ascii="Arial" w:hAnsi="Arial" w:cs="Arial"/>
                <w:sz w:val="20"/>
              </w:rPr>
            </w:pPr>
            <w:r>
              <w:rPr>
                <w:rFonts w:ascii="Arial" w:hAnsi="Arial" w:cs="Arial"/>
                <w:sz w:val="20"/>
              </w:rPr>
              <w:t>35%</w:t>
            </w:r>
          </w:p>
        </w:tc>
        <w:tc>
          <w:tcPr>
            <w:tcW w:w="1223" w:type="dxa"/>
            <w:shd w:val="clear" w:color="auto" w:fill="auto"/>
            <w:vAlign w:val="center"/>
          </w:tcPr>
          <w:p w:rsidR="009C0B88" w:rsidRDefault="009C0B88" w:rsidP="009C0B88">
            <w:pPr>
              <w:jc w:val="center"/>
              <w:rPr>
                <w:rFonts w:ascii="Arial" w:hAnsi="Arial" w:cs="Arial"/>
                <w:sz w:val="20"/>
              </w:rPr>
            </w:pPr>
            <w:r>
              <w:rPr>
                <w:rFonts w:ascii="Arial" w:hAnsi="Arial" w:cs="Arial"/>
                <w:sz w:val="20"/>
              </w:rPr>
              <w:t>4%</w:t>
            </w:r>
          </w:p>
        </w:tc>
      </w:tr>
      <w:tr w:rsidR="009C0B88" w:rsidRPr="008A4D8E">
        <w:trPr>
          <w:trHeight w:val="305"/>
          <w:jc w:val="center"/>
        </w:trPr>
        <w:tc>
          <w:tcPr>
            <w:tcW w:w="2306" w:type="dxa"/>
            <w:vAlign w:val="center"/>
          </w:tcPr>
          <w:p w:rsidR="009C0B88" w:rsidRPr="008A4D8E" w:rsidRDefault="009C0B88" w:rsidP="009C0B88">
            <w:pPr>
              <w:keepNext/>
              <w:keepLines/>
              <w:autoSpaceDE w:val="0"/>
              <w:autoSpaceDN w:val="0"/>
              <w:adjustRightInd w:val="0"/>
              <w:rPr>
                <w:color w:val="000000"/>
              </w:rPr>
            </w:pPr>
            <w:r>
              <w:rPr>
                <w:color w:val="000000"/>
                <w:sz w:val="22"/>
                <w:szCs w:val="22"/>
              </w:rPr>
              <w:t>High-income</w:t>
            </w:r>
          </w:p>
        </w:tc>
        <w:tc>
          <w:tcPr>
            <w:tcW w:w="1223" w:type="dxa"/>
            <w:vAlign w:val="center"/>
          </w:tcPr>
          <w:p w:rsidR="009C0B88" w:rsidRDefault="009C0B88" w:rsidP="009C0B88">
            <w:pPr>
              <w:jc w:val="center"/>
              <w:rPr>
                <w:rFonts w:ascii="Arial" w:hAnsi="Arial" w:cs="Arial"/>
                <w:sz w:val="20"/>
              </w:rPr>
            </w:pPr>
            <w:r>
              <w:rPr>
                <w:rFonts w:ascii="Arial" w:hAnsi="Arial" w:cs="Arial"/>
                <w:sz w:val="20"/>
              </w:rPr>
              <w:t>NA</w:t>
            </w:r>
          </w:p>
        </w:tc>
        <w:tc>
          <w:tcPr>
            <w:tcW w:w="1223" w:type="dxa"/>
            <w:vAlign w:val="center"/>
          </w:tcPr>
          <w:p w:rsidR="009C0B88" w:rsidRDefault="009C0B88" w:rsidP="009C0B88">
            <w:pPr>
              <w:jc w:val="center"/>
              <w:rPr>
                <w:rFonts w:ascii="Arial" w:hAnsi="Arial" w:cs="Arial"/>
                <w:sz w:val="20"/>
              </w:rPr>
            </w:pPr>
            <w:r>
              <w:rPr>
                <w:rFonts w:ascii="Arial" w:hAnsi="Arial" w:cs="Arial"/>
                <w:sz w:val="20"/>
              </w:rPr>
              <w:t>99%</w:t>
            </w:r>
          </w:p>
        </w:tc>
        <w:tc>
          <w:tcPr>
            <w:tcW w:w="1223" w:type="dxa"/>
            <w:shd w:val="clear" w:color="auto" w:fill="auto"/>
            <w:vAlign w:val="center"/>
          </w:tcPr>
          <w:p w:rsidR="009C0B88" w:rsidRDefault="009C0B88" w:rsidP="009C0B88">
            <w:pPr>
              <w:jc w:val="center"/>
              <w:rPr>
                <w:rFonts w:ascii="Arial" w:hAnsi="Arial" w:cs="Arial"/>
                <w:sz w:val="20"/>
              </w:rPr>
            </w:pPr>
            <w:r>
              <w:rPr>
                <w:rFonts w:ascii="Arial" w:hAnsi="Arial" w:cs="Arial"/>
                <w:sz w:val="20"/>
              </w:rPr>
              <w:t>NA</w:t>
            </w:r>
          </w:p>
        </w:tc>
        <w:tc>
          <w:tcPr>
            <w:tcW w:w="1223" w:type="dxa"/>
            <w:vAlign w:val="center"/>
          </w:tcPr>
          <w:p w:rsidR="009C0B88" w:rsidRDefault="009C0B88" w:rsidP="009C0B88">
            <w:pPr>
              <w:jc w:val="center"/>
              <w:rPr>
                <w:rFonts w:ascii="Arial" w:hAnsi="Arial" w:cs="Arial"/>
                <w:sz w:val="20"/>
              </w:rPr>
            </w:pPr>
            <w:r>
              <w:rPr>
                <w:rFonts w:ascii="Arial" w:hAnsi="Arial" w:cs="Arial"/>
                <w:sz w:val="20"/>
              </w:rPr>
              <w:t>NA</w:t>
            </w:r>
          </w:p>
        </w:tc>
        <w:tc>
          <w:tcPr>
            <w:tcW w:w="1223" w:type="dxa"/>
            <w:vAlign w:val="center"/>
          </w:tcPr>
          <w:p w:rsidR="009C0B88" w:rsidRDefault="009C0B88" w:rsidP="009C0B88">
            <w:pPr>
              <w:jc w:val="center"/>
              <w:rPr>
                <w:rFonts w:ascii="Arial" w:hAnsi="Arial" w:cs="Arial"/>
                <w:sz w:val="20"/>
              </w:rPr>
            </w:pPr>
            <w:r>
              <w:rPr>
                <w:rFonts w:ascii="Arial" w:hAnsi="Arial" w:cs="Arial"/>
                <w:sz w:val="20"/>
              </w:rPr>
              <w:t>99%</w:t>
            </w:r>
          </w:p>
        </w:tc>
        <w:tc>
          <w:tcPr>
            <w:tcW w:w="1223" w:type="dxa"/>
            <w:shd w:val="clear" w:color="auto" w:fill="auto"/>
            <w:vAlign w:val="center"/>
          </w:tcPr>
          <w:p w:rsidR="009C0B88" w:rsidRDefault="009C0B88" w:rsidP="009C0B88">
            <w:pPr>
              <w:jc w:val="center"/>
              <w:rPr>
                <w:rFonts w:ascii="Arial" w:hAnsi="Arial" w:cs="Arial"/>
                <w:sz w:val="20"/>
              </w:rPr>
            </w:pPr>
            <w:r>
              <w:rPr>
                <w:rFonts w:ascii="Arial" w:hAnsi="Arial" w:cs="Arial"/>
                <w:sz w:val="20"/>
              </w:rPr>
              <w:t>NA</w:t>
            </w:r>
          </w:p>
        </w:tc>
      </w:tr>
      <w:tr w:rsidR="009C0B88" w:rsidRPr="008A4D8E">
        <w:trPr>
          <w:trHeight w:val="305"/>
          <w:jc w:val="center"/>
        </w:trPr>
        <w:tc>
          <w:tcPr>
            <w:tcW w:w="9644" w:type="dxa"/>
            <w:gridSpan w:val="7"/>
            <w:shd w:val="pct20" w:color="auto" w:fill="auto"/>
            <w:vAlign w:val="center"/>
          </w:tcPr>
          <w:p w:rsidR="009C0B88" w:rsidRDefault="009C0B88" w:rsidP="009C0B88">
            <w:pPr>
              <w:keepNext/>
              <w:keepLines/>
              <w:jc w:val="center"/>
              <w:rPr>
                <w:rFonts w:ascii="Arial" w:hAnsi="Arial" w:cs="Arial"/>
                <w:sz w:val="20"/>
              </w:rPr>
            </w:pPr>
          </w:p>
        </w:tc>
      </w:tr>
      <w:tr w:rsidR="009C0B88" w:rsidRPr="008A4D8E">
        <w:trPr>
          <w:trHeight w:val="305"/>
          <w:jc w:val="center"/>
        </w:trPr>
        <w:tc>
          <w:tcPr>
            <w:tcW w:w="2306" w:type="dxa"/>
            <w:vAlign w:val="center"/>
          </w:tcPr>
          <w:p w:rsidR="009C0B88" w:rsidRPr="008A4D8E" w:rsidRDefault="009C0B88" w:rsidP="009C0B88">
            <w:pPr>
              <w:keepNext/>
              <w:keepLines/>
              <w:autoSpaceDE w:val="0"/>
              <w:autoSpaceDN w:val="0"/>
              <w:adjustRightInd w:val="0"/>
              <w:rPr>
                <w:color w:val="000000"/>
              </w:rPr>
            </w:pPr>
            <w:r w:rsidRPr="008A4D8E">
              <w:rPr>
                <w:color w:val="000000"/>
                <w:sz w:val="22"/>
                <w:szCs w:val="22"/>
              </w:rPr>
              <w:t>World</w:t>
            </w:r>
          </w:p>
        </w:tc>
        <w:tc>
          <w:tcPr>
            <w:tcW w:w="1223" w:type="dxa"/>
            <w:vAlign w:val="center"/>
          </w:tcPr>
          <w:p w:rsidR="009C0B88" w:rsidRPr="008A4D8E" w:rsidRDefault="009C0B88" w:rsidP="009C0B88">
            <w:pPr>
              <w:jc w:val="center"/>
              <w:rPr>
                <w:rFonts w:ascii="Arial" w:hAnsi="Arial" w:cs="Arial"/>
                <w:sz w:val="20"/>
              </w:rPr>
            </w:pPr>
            <w:r>
              <w:rPr>
                <w:rFonts w:ascii="Arial" w:hAnsi="Arial" w:cs="Arial"/>
                <w:sz w:val="20"/>
              </w:rPr>
              <w:t>87%</w:t>
            </w:r>
          </w:p>
        </w:tc>
        <w:tc>
          <w:tcPr>
            <w:tcW w:w="1223" w:type="dxa"/>
            <w:vAlign w:val="center"/>
          </w:tcPr>
          <w:p w:rsidR="009C0B88" w:rsidRPr="008A4D8E" w:rsidRDefault="009C0B88" w:rsidP="009C0B88">
            <w:pPr>
              <w:jc w:val="center"/>
              <w:rPr>
                <w:rFonts w:ascii="Arial" w:hAnsi="Arial" w:cs="Arial"/>
                <w:sz w:val="20"/>
              </w:rPr>
            </w:pPr>
            <w:r>
              <w:rPr>
                <w:rFonts w:ascii="Arial" w:hAnsi="Arial" w:cs="Arial"/>
                <w:sz w:val="20"/>
              </w:rPr>
              <w:t>85%</w:t>
            </w:r>
          </w:p>
        </w:tc>
        <w:tc>
          <w:tcPr>
            <w:tcW w:w="1223" w:type="dxa"/>
            <w:shd w:val="clear" w:color="auto" w:fill="auto"/>
            <w:vAlign w:val="center"/>
          </w:tcPr>
          <w:p w:rsidR="009C0B88" w:rsidRPr="008A4D8E" w:rsidRDefault="009C0B88" w:rsidP="009C0B88">
            <w:pPr>
              <w:jc w:val="center"/>
              <w:rPr>
                <w:rFonts w:ascii="Arial" w:hAnsi="Arial" w:cs="Arial"/>
                <w:sz w:val="20"/>
              </w:rPr>
            </w:pPr>
            <w:r>
              <w:rPr>
                <w:rFonts w:ascii="Arial" w:hAnsi="Arial" w:cs="Arial"/>
                <w:sz w:val="20"/>
              </w:rPr>
              <w:t>44%*</w:t>
            </w:r>
          </w:p>
        </w:tc>
        <w:tc>
          <w:tcPr>
            <w:tcW w:w="1223" w:type="dxa"/>
            <w:vAlign w:val="center"/>
          </w:tcPr>
          <w:p w:rsidR="009C0B88" w:rsidRPr="008A4D8E" w:rsidRDefault="009C0B88" w:rsidP="009C0B88">
            <w:pPr>
              <w:jc w:val="center"/>
              <w:rPr>
                <w:rFonts w:ascii="Arial" w:hAnsi="Arial" w:cs="Arial"/>
                <w:sz w:val="20"/>
              </w:rPr>
            </w:pPr>
            <w:r>
              <w:rPr>
                <w:rFonts w:ascii="Arial" w:hAnsi="Arial" w:cs="Arial"/>
                <w:sz w:val="20"/>
              </w:rPr>
              <w:t>78%</w:t>
            </w:r>
          </w:p>
        </w:tc>
        <w:tc>
          <w:tcPr>
            <w:tcW w:w="1223" w:type="dxa"/>
            <w:vAlign w:val="center"/>
          </w:tcPr>
          <w:p w:rsidR="009C0B88" w:rsidRPr="008A4D8E" w:rsidRDefault="009C0B88" w:rsidP="009C0B88">
            <w:pPr>
              <w:jc w:val="center"/>
              <w:rPr>
                <w:rFonts w:ascii="Arial" w:hAnsi="Arial" w:cs="Arial"/>
                <w:sz w:val="20"/>
              </w:rPr>
            </w:pPr>
            <w:r>
              <w:rPr>
                <w:rFonts w:ascii="Arial" w:hAnsi="Arial" w:cs="Arial"/>
                <w:sz w:val="20"/>
              </w:rPr>
              <w:t>69%</w:t>
            </w:r>
          </w:p>
        </w:tc>
        <w:tc>
          <w:tcPr>
            <w:tcW w:w="1223" w:type="dxa"/>
            <w:shd w:val="clear" w:color="auto" w:fill="auto"/>
            <w:vAlign w:val="center"/>
          </w:tcPr>
          <w:p w:rsidR="009C0B88" w:rsidRPr="008A4D8E" w:rsidRDefault="009C0B88" w:rsidP="009C0B88">
            <w:pPr>
              <w:jc w:val="center"/>
              <w:rPr>
                <w:rFonts w:ascii="Arial" w:hAnsi="Arial" w:cs="Arial"/>
                <w:sz w:val="20"/>
              </w:rPr>
            </w:pPr>
            <w:r>
              <w:rPr>
                <w:rFonts w:ascii="Arial" w:hAnsi="Arial" w:cs="Arial"/>
                <w:sz w:val="20"/>
              </w:rPr>
              <w:t>27%*</w:t>
            </w:r>
          </w:p>
        </w:tc>
      </w:tr>
      <w:tr w:rsidR="009C0B88" w:rsidRPr="00CA4EF3">
        <w:trPr>
          <w:trHeight w:val="305"/>
          <w:jc w:val="center"/>
        </w:trPr>
        <w:tc>
          <w:tcPr>
            <w:tcW w:w="9644" w:type="dxa"/>
            <w:gridSpan w:val="7"/>
            <w:vAlign w:val="center"/>
          </w:tcPr>
          <w:p w:rsidR="009C0B88" w:rsidRDefault="009C0B88" w:rsidP="009C0B88">
            <w:pPr>
              <w:rPr>
                <w:color w:val="000000"/>
              </w:rPr>
            </w:pPr>
            <w:r w:rsidRPr="00CA4EF3">
              <w:rPr>
                <w:color w:val="000000"/>
                <w:sz w:val="22"/>
                <w:szCs w:val="22"/>
              </w:rPr>
              <w:t xml:space="preserve">Source: </w:t>
            </w:r>
            <w:r>
              <w:rPr>
                <w:color w:val="000000"/>
                <w:sz w:val="22"/>
                <w:szCs w:val="22"/>
              </w:rPr>
              <w:t>IFs v6.54</w:t>
            </w:r>
          </w:p>
          <w:p w:rsidR="009C0B88" w:rsidRDefault="009C0B88" w:rsidP="009C0B88">
            <w:pPr>
              <w:rPr>
                <w:color w:val="000000"/>
              </w:rPr>
            </w:pPr>
            <w:r>
              <w:rPr>
                <w:color w:val="000000"/>
                <w:sz w:val="22"/>
                <w:szCs w:val="22"/>
              </w:rPr>
              <w:t>Note: Access to improved water covers both household connection and other improved access; Access to improved sanitation covers only household connection and not shared access.</w:t>
            </w:r>
          </w:p>
          <w:p w:rsidR="009C0B88" w:rsidRPr="00CA4EF3" w:rsidRDefault="009C0B88" w:rsidP="009C0B88">
            <w:pPr>
              <w:rPr>
                <w:color w:val="000000"/>
              </w:rPr>
            </w:pPr>
            <w:r>
              <w:rPr>
                <w:color w:val="000000"/>
                <w:sz w:val="22"/>
                <w:szCs w:val="22"/>
              </w:rPr>
              <w:t>* Excluding high-income economies</w:t>
            </w:r>
          </w:p>
        </w:tc>
      </w:tr>
    </w:tbl>
    <w:p w:rsidR="009C0B88" w:rsidRDefault="009C0B88" w:rsidP="009C0B88"/>
    <w:p w:rsidR="009C0B88" w:rsidRDefault="009C0B88" w:rsidP="009C0B88">
      <w:r>
        <w:t>Moving beyond the now essentially obsolete time horizons of the MDGs, in Chapter 1 we reviewed a number of infrastructure-related targets that have been either formally adopted or proposed by the international community. Building upon this somewhat disparate set of articulated goals, we have created a set of targets that cut across infrastructure categories; Box 5.1 summarizes those.</w:t>
      </w:r>
    </w:p>
    <w:p w:rsidR="009C0B88" w:rsidRDefault="009C0B88" w:rsidP="009C0B88"/>
    <w:p w:rsidR="009C0B88" w:rsidRDefault="009C0B88" w:rsidP="00EC2D95">
      <w:pPr>
        <w:keepNext/>
        <w:keepLines/>
        <w:shd w:val="clear" w:color="auto" w:fill="D9D9D9" w:themeFill="background1" w:themeFillShade="D9"/>
        <w:rPr>
          <w:b/>
        </w:rPr>
      </w:pPr>
      <w:r w:rsidRPr="003C22C8">
        <w:rPr>
          <w:b/>
        </w:rPr>
        <w:t>Box 5.</w:t>
      </w:r>
      <w:r>
        <w:rPr>
          <w:b/>
        </w:rPr>
        <w:t>1</w:t>
      </w:r>
      <w:r w:rsidRPr="003C22C8">
        <w:rPr>
          <w:b/>
        </w:rPr>
        <w:t xml:space="preserve"> </w:t>
      </w:r>
      <w:r>
        <w:rPr>
          <w:b/>
        </w:rPr>
        <w:t>Infrastructure access targets</w:t>
      </w:r>
    </w:p>
    <w:p w:rsidR="009C0B88" w:rsidRDefault="009C0B88" w:rsidP="00EC2D95">
      <w:pPr>
        <w:keepNext/>
        <w:keepLines/>
        <w:shd w:val="clear" w:color="auto" w:fill="D9D9D9" w:themeFill="background1" w:themeFillShade="D9"/>
      </w:pPr>
      <w:r>
        <w:t>Looking for goals and targets related to infrastructure, we reviewed a wide range of sources in Chapter 1. Based on that review, we have identified a set of aspirational targets to explore in this and the next chapter. Although the Millennium Development Goals set a target date of 2015 for water and sanitation access improvement, and although the literatures on other infrastructure forms mention various other dates, we have set the common date for all targets in our analysis to be 2030. The targets are:</w:t>
      </w:r>
    </w:p>
    <w:p w:rsidR="009C0B88" w:rsidRDefault="009C0B88" w:rsidP="00EC2D95">
      <w:pPr>
        <w:keepNext/>
        <w:keepLines/>
        <w:shd w:val="clear" w:color="auto" w:fill="D9D9D9" w:themeFill="background1" w:themeFillShade="D9"/>
      </w:pPr>
    </w:p>
    <w:p w:rsidR="009C0B88" w:rsidRDefault="009C0B88" w:rsidP="00EC2D95">
      <w:pPr>
        <w:keepNext/>
        <w:keepLines/>
        <w:shd w:val="clear" w:color="auto" w:fill="D9D9D9" w:themeFill="background1" w:themeFillShade="D9"/>
      </w:pPr>
      <w:r w:rsidRPr="00DD0C37">
        <w:rPr>
          <w:i/>
        </w:rPr>
        <w:t>Transportation</w:t>
      </w:r>
      <w:r>
        <w:t>: reduce by one-half the portion of rural populations living beyond 2 kilometers of an all-season road (for which we used paved roads as a proxy) or raise the portion with access to at least 90 percent, whichever is achieved first. The reason that we do not target universal (100 percent) access for all-season roads is that the spread of populations across a country's entire land mass gives rise to increasing costs with the pursuit of every additional percentage point of access (see Chapter 4), often making attaining universality of access extraordinarily expensive (see Box 6.x) and therefore very unrealistic.</w:t>
      </w:r>
    </w:p>
    <w:p w:rsidR="009C0B88" w:rsidRDefault="009C0B88" w:rsidP="00EC2D95">
      <w:pPr>
        <w:keepNext/>
        <w:keepLines/>
        <w:shd w:val="clear" w:color="auto" w:fill="D9D9D9" w:themeFill="background1" w:themeFillShade="D9"/>
      </w:pPr>
    </w:p>
    <w:p w:rsidR="00EC0FE3" w:rsidRPr="00EC0FE3" w:rsidRDefault="009C0B88" w:rsidP="00EC0FE3">
      <w:pPr>
        <w:shd w:val="clear" w:color="auto" w:fill="D9D9D9" w:themeFill="background1" w:themeFillShade="D9"/>
        <w:rPr>
          <w:rFonts w:cstheme="minorBidi"/>
          <w:i/>
        </w:rPr>
      </w:pPr>
      <w:r w:rsidRPr="00EC0FE3">
        <w:rPr>
          <w:i/>
        </w:rPr>
        <w:t xml:space="preserve">Energy: </w:t>
      </w:r>
      <w:r w:rsidR="00EC0FE3" w:rsidRPr="00EC0FE3">
        <w:rPr>
          <w:rFonts w:cstheme="minorBidi"/>
          <w:szCs w:val="17"/>
          <w:shd w:val="solid" w:color="D9D9D9" w:themeColor="background1" w:themeShade="D9" w:fill="A6A6A6"/>
        </w:rPr>
        <w:t>provide universal access to electricity and eliminate unventilated indoor use of solid fuels. Unlike all-season roads, which by definition require grid access, electricity (with generators and increasingly with distributed solar installations), water (with wells or transport of water) and sanitation (with cesspools) can be "off-grid", making the pursuit of truly universal access a more reasonable goal.</w:t>
      </w:r>
    </w:p>
    <w:p w:rsidR="009C0B88" w:rsidRPr="00EC0FE3" w:rsidRDefault="009C0B88" w:rsidP="00EC0FE3">
      <w:pPr>
        <w:shd w:val="clear" w:color="auto" w:fill="D9D9D9" w:themeFill="background1" w:themeFillShade="D9"/>
        <w:rPr>
          <w:rFonts w:ascii="Times" w:hAnsi="Times" w:cstheme="minorBidi"/>
          <w:sz w:val="20"/>
        </w:rPr>
      </w:pPr>
    </w:p>
    <w:p w:rsidR="009C0B88" w:rsidRDefault="009C0B88" w:rsidP="00EC0FE3">
      <w:pPr>
        <w:keepNext/>
        <w:keepLines/>
        <w:shd w:val="clear" w:color="auto" w:fill="D9D9D9" w:themeFill="background1" w:themeFillShade="D9"/>
      </w:pPr>
      <w:r w:rsidRPr="00DD0C37">
        <w:rPr>
          <w:i/>
        </w:rPr>
        <w:t>Water and Sanitation</w:t>
      </w:r>
      <w:r>
        <w:t xml:space="preserve">: provide universal access to improved sources of water and sanitation </w:t>
      </w:r>
    </w:p>
    <w:p w:rsidR="009C0B88" w:rsidRDefault="009C0B88" w:rsidP="00EC2D95">
      <w:pPr>
        <w:keepNext/>
        <w:keepLines/>
        <w:shd w:val="clear" w:color="auto" w:fill="D9D9D9" w:themeFill="background1" w:themeFillShade="D9"/>
      </w:pPr>
    </w:p>
    <w:p w:rsidR="009C0B88" w:rsidRDefault="009C0B88" w:rsidP="00EC2D95">
      <w:pPr>
        <w:keepNext/>
        <w:keepLines/>
        <w:shd w:val="clear" w:color="auto" w:fill="D9D9D9" w:themeFill="background1" w:themeFillShade="D9"/>
      </w:pPr>
      <w:r w:rsidRPr="00DD0C37">
        <w:rPr>
          <w:i/>
        </w:rPr>
        <w:t>Information and Communications Technology</w:t>
      </w:r>
      <w:r>
        <w:t xml:space="preserve">: provide universal access to mobile phones and broadband, where following the approach of the International Telecommunications Union we define universal access for this goal as 150 subscriptions per 100 people. </w:t>
      </w:r>
    </w:p>
    <w:p w:rsidR="009C0B88" w:rsidRDefault="009C0B88" w:rsidP="00EC2D95">
      <w:pPr>
        <w:keepNext/>
        <w:keepLines/>
        <w:shd w:val="clear" w:color="auto" w:fill="D9D9D9" w:themeFill="background1" w:themeFillShade="D9"/>
      </w:pPr>
    </w:p>
    <w:p w:rsidR="009C0B88" w:rsidRDefault="009C0B88" w:rsidP="00EC2D95">
      <w:pPr>
        <w:shd w:val="clear" w:color="auto" w:fill="D9D9D9" w:themeFill="background1" w:themeFillShade="D9"/>
      </w:pPr>
      <w:r w:rsidRPr="00C0290B">
        <w:rPr>
          <w:i/>
        </w:rPr>
        <w:t>Measuring success</w:t>
      </w:r>
      <w:r>
        <w:t xml:space="preserve">: although universal targets mean 100 percent access (or 150 subscriptions per 100 for mobile broadband), in this chapter and the next we use a cutoff of 97.5 percent of true universality for the purposes of assessing whether a country or region has </w:t>
      </w:r>
      <w:r w:rsidRPr="00C0290B">
        <w:rPr>
          <w:i/>
        </w:rPr>
        <w:t>effectively</w:t>
      </w:r>
      <w:r>
        <w:t xml:space="preserve"> met a target.</w:t>
      </w:r>
    </w:p>
    <w:p w:rsidR="009C0B88" w:rsidRDefault="009C0B88" w:rsidP="009C0B88"/>
    <w:p w:rsidR="009C0B88" w:rsidRDefault="009C0B88" w:rsidP="009C0B88">
      <w:r>
        <w:t>These longer-term and (mostly) universal targets, which we should emphasize had not been formally adopted at the time of the preparation of this volume, are even more aspirational than those set out in the MDGs. We have already seen (Figure 5.3) that universal access is not in our base case achieved for most forms of infrastructure by 2030, particularly outside of the high-income economies. Thus, although we do forecast an increase in the number of countries reaching the targets over time, it should not surprise us that most countries will not likely achieve these by the target date of 2030 (see Figure 5.11 for global income categories and Figure 5.12 for regions). By that year, fewer than half of all countries will likely achieve universal access—38 percent for electricity, 47 percent for all-season roads, 39 percent for water, 32 percent for sanitation, and 27 percent for mobile telecommunications.</w:t>
      </w:r>
    </w:p>
    <w:p w:rsidR="009C0B88" w:rsidRDefault="009C0B88" w:rsidP="009C0B88"/>
    <w:p w:rsidR="009C0B88" w:rsidRDefault="009C0B88" w:rsidP="009C0B88">
      <w:pPr>
        <w:jc w:val="center"/>
      </w:pPr>
      <w:r w:rsidRPr="00CD105D">
        <w:rPr>
          <w:noProof/>
        </w:rPr>
        <w:drawing>
          <wp:inline distT="0" distB="0" distL="0" distR="0">
            <wp:extent cx="5486400" cy="3731895"/>
            <wp:effectExtent l="25400" t="25400" r="0" b="1905"/>
            <wp:docPr id="81" name="C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9C0B88" w:rsidRDefault="009C0B88" w:rsidP="009C0B88">
      <w:pPr>
        <w:rPr>
          <w:b/>
        </w:rPr>
      </w:pPr>
      <w:r w:rsidRPr="003A455D">
        <w:rPr>
          <w:b/>
        </w:rPr>
        <w:t>Figure 5.</w:t>
      </w:r>
      <w:r>
        <w:rPr>
          <w:b/>
        </w:rPr>
        <w:t>11</w:t>
      </w:r>
      <w:r w:rsidRPr="003A455D">
        <w:rPr>
          <w:b/>
        </w:rPr>
        <w:t xml:space="preserve"> </w:t>
      </w:r>
      <w:r>
        <w:rPr>
          <w:b/>
        </w:rPr>
        <w:t>Number</w:t>
      </w:r>
      <w:r w:rsidRPr="003A455D">
        <w:rPr>
          <w:b/>
        </w:rPr>
        <w:t xml:space="preserve"> of </w:t>
      </w:r>
      <w:r>
        <w:rPr>
          <w:b/>
        </w:rPr>
        <w:t>co</w:t>
      </w:r>
      <w:r w:rsidRPr="003A455D">
        <w:rPr>
          <w:b/>
        </w:rPr>
        <w:t xml:space="preserve">untries </w:t>
      </w:r>
      <w:r>
        <w:rPr>
          <w:b/>
        </w:rPr>
        <w:t>a</w:t>
      </w:r>
      <w:r w:rsidRPr="003A455D">
        <w:rPr>
          <w:b/>
        </w:rPr>
        <w:t xml:space="preserve">chieving </w:t>
      </w:r>
      <w:r>
        <w:rPr>
          <w:b/>
        </w:rPr>
        <w:t>i</w:t>
      </w:r>
      <w:r w:rsidRPr="003A455D">
        <w:rPr>
          <w:b/>
        </w:rPr>
        <w:t xml:space="preserve">nfrastructure </w:t>
      </w:r>
      <w:r>
        <w:rPr>
          <w:b/>
        </w:rPr>
        <w:t>t</w:t>
      </w:r>
      <w:r w:rsidRPr="003A455D">
        <w:rPr>
          <w:b/>
        </w:rPr>
        <w:t>arget</w:t>
      </w:r>
      <w:r>
        <w:rPr>
          <w:b/>
        </w:rPr>
        <w:t xml:space="preserve"> levels by 2010, 2030, and 2060 by Income Group</w:t>
      </w:r>
    </w:p>
    <w:p w:rsidR="009C0B88" w:rsidRDefault="009C0B88" w:rsidP="009C0B88">
      <w:pPr>
        <w:rPr>
          <w:i/>
        </w:rPr>
      </w:pPr>
      <w:r w:rsidRPr="00CD105D">
        <w:rPr>
          <w:i/>
        </w:rPr>
        <w:t>Source: IFs v6</w:t>
      </w:r>
      <w:r>
        <w:rPr>
          <w:i/>
        </w:rPr>
        <w:t>.57</w:t>
      </w:r>
    </w:p>
    <w:p w:rsidR="009C0B88" w:rsidRDefault="009C0B88" w:rsidP="009C0B88">
      <w:pPr>
        <w:rPr>
          <w:i/>
        </w:rPr>
      </w:pPr>
    </w:p>
    <w:p w:rsidR="009C0B88" w:rsidRDefault="009C0B88" w:rsidP="009C0B88">
      <w:r>
        <w:t xml:space="preserve">Even by 2060, only the target for mobile telecommunications is more or less globally achieved. For the other targets, many countries continue to fall short, with a clear pattern of greater achievement with income. China and India, for example, by 2060 reach almost all of the targets (all except sanitation in China, and roads and sanitation in India), while Eritrea, Cameroon and Burundi only manage to achieve the ICT goal (by comparison, China in 2010 had only achieved the electricity goal and India had not met any). </w:t>
      </w:r>
    </w:p>
    <w:p w:rsidR="009C0B88" w:rsidRDefault="009C0B88" w:rsidP="009C0B88"/>
    <w:p w:rsidR="009C0B88" w:rsidRDefault="009C0B88" w:rsidP="009C0B88">
      <w:r>
        <w:t>We will explore these targets in more detail in the next chapter. It is clear from the results presented here that their achievement will require a significant acceleration of infrastructure development as compared to the base case. Would that be reasonable, however? The answer to this question goes beyond a consideration of whether they are feasible from a financial and technical standpoint. We must also look at the tradeoffs that would be required given that making additional funds available for accelerated infrastructure development will necessarily divert resources from other sectors such as health and education. Given spending shortfalls for many countries relative to funding demand even in the base case, we have already seen that this will be very challenging.</w:t>
      </w:r>
    </w:p>
    <w:p w:rsidR="009C0B88" w:rsidRDefault="009C0B88" w:rsidP="009C0B88"/>
    <w:p w:rsidR="009C0B88" w:rsidRDefault="009C0B88" w:rsidP="009C0B88">
      <w:pPr>
        <w:rPr>
          <w:b/>
        </w:rPr>
      </w:pPr>
      <w:r w:rsidRPr="009517F7">
        <w:rPr>
          <w:b/>
          <w:noProof/>
        </w:rPr>
        <w:drawing>
          <wp:inline distT="0" distB="0" distL="0" distR="0">
            <wp:extent cx="5943600" cy="4043045"/>
            <wp:effectExtent l="25400" t="25400" r="0" b="0"/>
            <wp:docPr id="8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9C0B88" w:rsidRPr="003A455D" w:rsidRDefault="009C0B88" w:rsidP="009C0B88">
      <w:pPr>
        <w:rPr>
          <w:b/>
        </w:rPr>
      </w:pPr>
      <w:r w:rsidRPr="003A455D">
        <w:rPr>
          <w:b/>
        </w:rPr>
        <w:t>Figure 5.</w:t>
      </w:r>
      <w:r>
        <w:rPr>
          <w:b/>
        </w:rPr>
        <w:t>12</w:t>
      </w:r>
      <w:r w:rsidRPr="003A455D">
        <w:rPr>
          <w:b/>
        </w:rPr>
        <w:t xml:space="preserve"> </w:t>
      </w:r>
      <w:r>
        <w:rPr>
          <w:b/>
        </w:rPr>
        <w:t>Number</w:t>
      </w:r>
      <w:r w:rsidRPr="003A455D">
        <w:rPr>
          <w:b/>
        </w:rPr>
        <w:t xml:space="preserve"> of </w:t>
      </w:r>
      <w:r>
        <w:rPr>
          <w:b/>
        </w:rPr>
        <w:t>c</w:t>
      </w:r>
      <w:r w:rsidRPr="003A455D">
        <w:rPr>
          <w:b/>
        </w:rPr>
        <w:t xml:space="preserve">ountries </w:t>
      </w:r>
      <w:r>
        <w:rPr>
          <w:b/>
        </w:rPr>
        <w:t>a</w:t>
      </w:r>
      <w:r w:rsidRPr="003A455D">
        <w:rPr>
          <w:b/>
        </w:rPr>
        <w:t xml:space="preserve">chieving </w:t>
      </w:r>
      <w:r>
        <w:rPr>
          <w:b/>
        </w:rPr>
        <w:t>i</w:t>
      </w:r>
      <w:r w:rsidRPr="003A455D">
        <w:rPr>
          <w:b/>
        </w:rPr>
        <w:t xml:space="preserve">nfrastructure </w:t>
      </w:r>
      <w:r>
        <w:rPr>
          <w:b/>
        </w:rPr>
        <w:t>t</w:t>
      </w:r>
      <w:r w:rsidRPr="003A455D">
        <w:rPr>
          <w:b/>
        </w:rPr>
        <w:t>arget</w:t>
      </w:r>
      <w:r>
        <w:rPr>
          <w:b/>
        </w:rPr>
        <w:t xml:space="preserve"> levels by 2010, 2030, and 2060 by region</w:t>
      </w:r>
    </w:p>
    <w:p w:rsidR="009C0B88" w:rsidRDefault="009C0B88" w:rsidP="009C0B88">
      <w:r w:rsidRPr="00CD105D">
        <w:rPr>
          <w:i/>
        </w:rPr>
        <w:t>Source: IFs v6</w:t>
      </w:r>
      <w:r>
        <w:rPr>
          <w:i/>
        </w:rPr>
        <w:t>.5</w:t>
      </w:r>
      <w:r>
        <w:t>7</w:t>
      </w:r>
    </w:p>
    <w:p w:rsidR="009C0B88" w:rsidRPr="003F5BC3" w:rsidDel="00CD105D" w:rsidRDefault="009C0B88" w:rsidP="009C0B88"/>
    <w:p w:rsidR="009C0B88" w:rsidRDefault="009C0B88" w:rsidP="00EC2D95">
      <w:pPr>
        <w:pStyle w:val="Heading2"/>
        <w:numPr>
          <w:ilvl w:val="0"/>
          <w:numId w:val="0"/>
        </w:numPr>
        <w:ind w:left="360" w:hanging="360"/>
      </w:pPr>
      <w:bookmarkStart w:id="154" w:name="_Toc199491241"/>
      <w:bookmarkStart w:id="155" w:name="_Toc200095318"/>
      <w:r>
        <w:t xml:space="preserve">5.2 </w:t>
      </w:r>
      <w:r w:rsidRPr="005D2880">
        <w:t>Co</w:t>
      </w:r>
      <w:r>
        <w:t>mparisons of the base case with other forecasts</w:t>
      </w:r>
      <w:bookmarkEnd w:id="154"/>
      <w:bookmarkEnd w:id="155"/>
    </w:p>
    <w:p w:rsidR="009C0B88" w:rsidRDefault="009C0B88" w:rsidP="009C0B88">
      <w:r>
        <w:t xml:space="preserve">Chapter 4 reviewed previous efforts to forecast infrastructure stocks, access, and spending. The majority of the studies looking specifically at infrastructure have forecasted the need for infrastructure stocks as a function of a small set of </w:t>
      </w:r>
      <w:r w:rsidRPr="00D64658">
        <w:t>economic, structural</w:t>
      </w:r>
      <w:r>
        <w:t>,</w:t>
      </w:r>
      <w:r w:rsidRPr="00D64658">
        <w:t xml:space="preserve"> </w:t>
      </w:r>
      <w:r>
        <w:t>and</w:t>
      </w:r>
      <w:r w:rsidRPr="00D64658">
        <w:t xml:space="preserve"> demographic drivers</w:t>
      </w:r>
      <w:r>
        <w:t xml:space="preserve"> using empirically estimated equations. The future values of the drivers were, in most cases, provided exogenously. The stock estimates were then combined with assumptions about unit costs to produce forecasts of spending needs. A few studies used larger, integrated structural models, but in these cases, infrastructure was not the primary focus and the infrastructure forecasts were just one output of many.</w:t>
      </w:r>
    </w:p>
    <w:p w:rsidR="009C0B88" w:rsidRDefault="009C0B88" w:rsidP="009C0B88"/>
    <w:p w:rsidR="009C0B88" w:rsidRPr="00151571" w:rsidRDefault="009C0B88" w:rsidP="009C0B88">
      <w:r>
        <w:t xml:space="preserve">With the exception of Hughes, Chinowsky, and Strzepek </w:t>
      </w:r>
      <w:r w:rsidR="00F7383F" w:rsidRPr="00F7383F">
        <w:rPr>
          <w:rFonts w:cstheme="minorBidi"/>
          <w:szCs w:val="24"/>
        </w:rPr>
        <w:fldChar w:fldCharType="begin"/>
      </w:r>
      <w:r>
        <w:instrText xml:space="preserve"> ADDIN ZOTERO_ITEM {"citationID":"UT4zGJfV","properties":{"formattedCitation":"(2009)","plainCitation":"(2009)"},"citationItems":[{"id":975,"uris":["http://zotero.org/groups/4482/items/ZNDAXGEG"],"uri":["http://zotero.org/groups/4482/items/ZNDAXGEG"],"suppress-author":true}]} </w:instrText>
      </w:r>
      <w:r w:rsidR="00F7383F" w:rsidRPr="00F7383F">
        <w:rPr>
          <w:rFonts w:cstheme="minorBidi"/>
          <w:szCs w:val="24"/>
        </w:rPr>
        <w:fldChar w:fldCharType="separate"/>
      </w:r>
      <w:r>
        <w:rPr>
          <w:szCs w:val="21"/>
        </w:rPr>
        <w:t>(2009)</w:t>
      </w:r>
      <w:r w:rsidR="00F7383F">
        <w:rPr>
          <w:szCs w:val="21"/>
        </w:rPr>
        <w:fldChar w:fldCharType="end"/>
      </w:r>
      <w:r>
        <w:t xml:space="preserve"> (see the discussion later) and Kohli and Basil </w:t>
      </w:r>
      <w:r w:rsidR="00F7383F" w:rsidRPr="00F7383F">
        <w:rPr>
          <w:rFonts w:cstheme="minorBidi"/>
          <w:szCs w:val="24"/>
        </w:rPr>
        <w:fldChar w:fldCharType="begin"/>
      </w:r>
      <w:r>
        <w:instrText xml:space="preserve"> ADDIN ZOTERO_ITEM {"citationID":"gg9fcpo6","properties":{"formattedCitation":"(2011)","plainCitation":"(2011)"},"citationItems":[{"id":1157,"uris":["http://zotero.org/groups/4482/items/PNQFGAHH"],"uri":["http://zotero.org/groups/4482/items/PNQFGAHH"],"suppress-author":true}]} </w:instrText>
      </w:r>
      <w:r w:rsidR="00F7383F" w:rsidRPr="00F7383F">
        <w:rPr>
          <w:rFonts w:cstheme="minorBidi"/>
          <w:szCs w:val="24"/>
        </w:rPr>
        <w:fldChar w:fldCharType="separate"/>
      </w:r>
      <w:r>
        <w:rPr>
          <w:szCs w:val="21"/>
        </w:rPr>
        <w:t>(2011)</w:t>
      </w:r>
      <w:r w:rsidR="00F7383F">
        <w:rPr>
          <w:szCs w:val="21"/>
        </w:rPr>
        <w:fldChar w:fldCharType="end"/>
      </w:r>
      <w:r>
        <w:t xml:space="preserve">, the infrastructure-specific studies had relatively short time horizons, the longest being 2020 </w:t>
      </w:r>
      <w:r w:rsidR="00F7383F" w:rsidRPr="00F7383F">
        <w:rPr>
          <w:rFonts w:cstheme="minorBidi"/>
          <w:szCs w:val="24"/>
        </w:rPr>
        <w:fldChar w:fldCharType="begin"/>
      </w:r>
      <w:r>
        <w:instrText xml:space="preserve"> ADDIN ZOTERO_ITEM {"citationID":"59siooUL","properties":{"formattedCitation":"(Bhattacharyay 2010)","plainCitation":"(Bhattacharyay 2010)"},"citationItems":[{"id":1156,"uris":["http://zotero.org/groups/4482/items/MQ3EDFBR"],"uri":["http://zotero.org/groups/4482/items/MQ3EDFBR"]}]} </w:instrText>
      </w:r>
      <w:r w:rsidR="00F7383F" w:rsidRPr="00F7383F">
        <w:rPr>
          <w:rFonts w:cstheme="minorBidi"/>
          <w:szCs w:val="24"/>
        </w:rPr>
        <w:fldChar w:fldCharType="separate"/>
      </w:r>
      <w:r>
        <w:rPr>
          <w:szCs w:val="21"/>
        </w:rPr>
        <w:t>(Bhattacharyay 2010)</w:t>
      </w:r>
      <w:r w:rsidR="00F7383F">
        <w:rPr>
          <w:szCs w:val="21"/>
        </w:rPr>
        <w:fldChar w:fldCharType="end"/>
      </w:r>
      <w:r>
        <w:t xml:space="preserve">. Also, a number of these only reported their spending forecasts, because that was their primary focus. Other studies, for example the 2011 </w:t>
      </w:r>
      <w:r w:rsidRPr="00746795">
        <w:rPr>
          <w:i/>
        </w:rPr>
        <w:t>World Energy Outlook</w:t>
      </w:r>
      <w:r>
        <w:t xml:space="preserve"> </w:t>
      </w:r>
      <w:r w:rsidR="00F7383F">
        <w:fldChar w:fldCharType="begin"/>
      </w:r>
      <w:r>
        <w:instrText xml:space="preserve"> ADDIN ZOTERO_ITEM {"citationID":"9lsN4EMA","properties":{"formattedCitation":"(International Energy Agency (IEA) and Organisation for Economic Co-operation and Development (OECD) 2011)","plainCitation":"(International Energy Agency (IEA) and Organisation for Economic Co-operation and Development (OECD) 2011)"},"citationItems":[{"id":1479,"uris":["http://zotero.org/groups/4482/items/JN2QK4JC"],"uri":["http://zotero.org/groups/4482/items/JN2QK4JC"]}]} </w:instrText>
      </w:r>
      <w:r w:rsidR="00F7383F">
        <w:fldChar w:fldCharType="separate"/>
      </w:r>
      <w:r>
        <w:rPr>
          <w:szCs w:val="21"/>
        </w:rPr>
        <w:t>(International Energy Agency (IEA) and Organisation for Economic Co-operation and Development (OECD) 2011)</w:t>
      </w:r>
      <w:r w:rsidR="00F7383F">
        <w:fldChar w:fldCharType="end"/>
      </w:r>
      <w:r>
        <w:t>, provide somewhat longer-term forecasts, to 2035, but only for electricity generating capacity and electricity access.</w:t>
      </w:r>
    </w:p>
    <w:p w:rsidR="009C0B88" w:rsidRDefault="009C0B88" w:rsidP="009C0B88"/>
    <w:p w:rsidR="009C0B88" w:rsidRDefault="009C0B88" w:rsidP="009C0B88">
      <w:r>
        <w:t xml:space="preserve">To provide some context for the forecasts from the IFs base case, we compare those with ones from these other studies. We are interested in differences in both the overall patterns and the magnitudes, with an eye toward understanding the reasons for them. The comparison proceeds in three steps: (1) consideration of the several forecasts that exist for electricity generation capacity and percentage of population with access to electricity (because electricity is the physical infrastructure type that has best long-term forecasting coverage by multiple sources); (2) comparison of IFs infrastructure spending forecasts with those from several projects, most of which tend to be shorter-term and narrower in geographic focus; definitional issues further complicate the comparisons; (3) more extended comparison of the physical and spending forecasts of Hughes, Chinowsky, and Strzepek </w:t>
      </w:r>
      <w:r w:rsidR="00F7383F" w:rsidRPr="00F7383F">
        <w:rPr>
          <w:rFonts w:cstheme="minorBidi"/>
          <w:szCs w:val="24"/>
        </w:rPr>
        <w:fldChar w:fldCharType="begin"/>
      </w:r>
      <w:r>
        <w:instrText xml:space="preserve"> ADDIN ZOTERO_ITEM {"citationID":"nHT52TdW","properties":{"formattedCitation":"(2009)","plainCitation":"(2009)"},"citationItems":[{"id":975,"uris":["http://zotero.org/groups/4482/items/ZNDAXGEG"],"uri":["http://zotero.org/groups/4482/items/ZNDAXGEG"],"suppress-author":true}]} </w:instrText>
      </w:r>
      <w:r w:rsidR="00F7383F" w:rsidRPr="00F7383F">
        <w:rPr>
          <w:rFonts w:cstheme="minorBidi"/>
          <w:szCs w:val="24"/>
        </w:rPr>
        <w:fldChar w:fldCharType="separate"/>
      </w:r>
      <w:r>
        <w:rPr>
          <w:szCs w:val="21"/>
        </w:rPr>
        <w:t>(2009)</w:t>
      </w:r>
      <w:r w:rsidR="00F7383F">
        <w:rPr>
          <w:szCs w:val="21"/>
        </w:rPr>
        <w:fldChar w:fldCharType="end"/>
      </w:r>
      <w:r>
        <w:rPr>
          <w:szCs w:val="21"/>
        </w:rPr>
        <w:t xml:space="preserve"> with IFs, because that project has the most nearly comparable and extensive forecast coverage.</w:t>
      </w:r>
    </w:p>
    <w:p w:rsidR="009C0B88" w:rsidRDefault="009C0B88" w:rsidP="009C0B88"/>
    <w:p w:rsidR="009C0B88" w:rsidRDefault="009C0B88" w:rsidP="00EC2D95">
      <w:pPr>
        <w:pStyle w:val="Heading3"/>
        <w:numPr>
          <w:ilvl w:val="0"/>
          <w:numId w:val="0"/>
        </w:numPr>
        <w:ind w:left="720" w:hanging="720"/>
      </w:pPr>
      <w:bookmarkStart w:id="156" w:name="_Toc199491242"/>
      <w:bookmarkStart w:id="157" w:name="_Toc200095319"/>
      <w:r>
        <w:t>5.2.1</w:t>
      </w:r>
      <w:r>
        <w:tab/>
        <w:t>Electricity generating capacity and access to electricity</w:t>
      </w:r>
      <w:bookmarkEnd w:id="156"/>
      <w:bookmarkEnd w:id="157"/>
    </w:p>
    <w:p w:rsidR="009C0B88" w:rsidRPr="00F54A4C" w:rsidRDefault="009C0B88" w:rsidP="009C0B88">
      <w:r>
        <w:t>T</w:t>
      </w:r>
      <w:r w:rsidRPr="00F54A4C">
        <w:t>he</w:t>
      </w:r>
      <w:r w:rsidRPr="00BA6435">
        <w:t xml:space="preserve"> United States Energy Information Administration </w:t>
      </w:r>
      <w:r w:rsidR="00F7383F" w:rsidRPr="00BA6435">
        <w:fldChar w:fldCharType="begin"/>
      </w:r>
      <w:r>
        <w:instrText xml:space="preserve"> ADDIN ZOTERO_ITEM {"citationID":"BrFRU99p","properties":{"formattedCitation":"(2011)","plainCitation":"(2011)"},"citationItems":[{"id":99,"uris":["http://zotero.org/groups/4482/items/BFKTCN7E"],"uri":["http://zotero.org/groups/4482/items/BFKTCN7E"],"suppress-author":true}]} </w:instrText>
      </w:r>
      <w:r w:rsidR="00F7383F" w:rsidRPr="00BA6435">
        <w:fldChar w:fldCharType="separate"/>
      </w:r>
      <w:r>
        <w:t>(2011)</w:t>
      </w:r>
      <w:r w:rsidR="00F7383F" w:rsidRPr="00BA6435">
        <w:fldChar w:fldCharType="end"/>
      </w:r>
      <w:r>
        <w:t xml:space="preserve"> and </w:t>
      </w:r>
      <w:r w:rsidRPr="00BA6435">
        <w:t xml:space="preserve">the International Energy Agency </w:t>
      </w:r>
      <w:r w:rsidR="00F7383F" w:rsidRPr="00BA6435">
        <w:fldChar w:fldCharType="begin"/>
      </w:r>
      <w:r>
        <w:instrText xml:space="preserve"> ADDIN ZOTERO_ITEM {"citationID":"E2TIkWZC","properties":{"formattedCitation":"(2011)","plainCitation":"(2011)"},"citationItems":[{"id":1479,"uris":["http://zotero.org/groups/4482/items/JN2QK4JC"],"uri":["http://zotero.org/groups/4482/items/JN2QK4JC"],"suppress-author":true}]} </w:instrText>
      </w:r>
      <w:r w:rsidR="00F7383F" w:rsidRPr="00BA6435">
        <w:fldChar w:fldCharType="separate"/>
      </w:r>
      <w:r>
        <w:t>(2011)</w:t>
      </w:r>
      <w:r w:rsidR="00F7383F" w:rsidRPr="00BA6435">
        <w:fldChar w:fldCharType="end"/>
      </w:r>
      <w:r>
        <w:t xml:space="preserve"> produce international energy outlooks each year that include projections of electricity generating capacity.</w:t>
      </w:r>
      <w:r w:rsidRPr="00422D46">
        <w:rPr>
          <w:rStyle w:val="FootnoteReference"/>
        </w:rPr>
        <w:footnoteReference w:id="91"/>
      </w:r>
      <w:r>
        <w:t xml:space="preserve"> </w:t>
      </w:r>
      <w:r w:rsidRPr="00F54A4C">
        <w:t>Figure 5.</w:t>
      </w:r>
      <w:r>
        <w:t>13</w:t>
      </w:r>
      <w:r w:rsidRPr="00F54A4C">
        <w:t xml:space="preserve"> compares our forecasts against the most recent projections </w:t>
      </w:r>
      <w:r>
        <w:t xml:space="preserve">of these two groups, as well as those provided </w:t>
      </w:r>
      <w:r w:rsidRPr="00BA6435">
        <w:t xml:space="preserve">by Hughes, Chinowsky, and Strzepek </w:t>
      </w:r>
      <w:r w:rsidR="00F7383F" w:rsidRPr="00BA6435">
        <w:fldChar w:fldCharType="begin"/>
      </w:r>
      <w:r>
        <w:instrText xml:space="preserve"> ADDIN ZOTERO_ITEM {"citationID":"7umplWlL","properties":{"formattedCitation":"(2009)","plainCitation":"(2009)"},"citationItems":[{"id":975,"uris":["http://zotero.org/groups/4482/items/ZNDAXGEG"],"uri":["http://zotero.org/groups/4482/items/ZNDAXGEG"],"suppress-author":true}]} </w:instrText>
      </w:r>
      <w:r w:rsidR="00F7383F" w:rsidRPr="00BA6435">
        <w:fldChar w:fldCharType="separate"/>
      </w:r>
      <w:r>
        <w:t>(2009)</w:t>
      </w:r>
      <w:r w:rsidR="00F7383F" w:rsidRPr="00BA6435">
        <w:fldChar w:fldCharType="end"/>
      </w:r>
      <w:r w:rsidRPr="00BA6435">
        <w:t>. Each of these studies forecasts steady growth in capacity</w:t>
      </w:r>
      <w:r>
        <w:t xml:space="preserve"> over the next few decades</w:t>
      </w:r>
      <w:r w:rsidRPr="00BA6435">
        <w:t xml:space="preserve">. Our forecasts </w:t>
      </w:r>
      <w:r>
        <w:t xml:space="preserve">are quite </w:t>
      </w:r>
      <w:r w:rsidRPr="00F54A4C">
        <w:t>close to those of the IEA</w:t>
      </w:r>
      <w:r>
        <w:t xml:space="preserve"> for both the OECD and Non-OECD countries, while the </w:t>
      </w:r>
      <w:r w:rsidRPr="00F54A4C">
        <w:t xml:space="preserve">U.S. EIA </w:t>
      </w:r>
      <w:r>
        <w:t xml:space="preserve">projects somewhat slower growth for both sets of countries. If we compare our results to those of </w:t>
      </w:r>
      <w:r w:rsidRPr="00BA6435">
        <w:rPr>
          <w:color w:val="000000"/>
        </w:rPr>
        <w:t>Hughes, Chinowsky, and Strzepek (2009)</w:t>
      </w:r>
      <w:r>
        <w:rPr>
          <w:color w:val="000000"/>
        </w:rPr>
        <w:t>, which are significantly lower, we see that the primary reason for the difference in the forecasts for OECD countries is that they start with initially lower values (see the explanation in Box 5.2); the rates of growth are quite similar at approximately 0.9 percent per year from 2005 to 2050 in their case and 2010 to 2050 in ours. There is less of a difference in the early values of the two studies for the non-OECD countries, but the rate of growth they forecast is also much lower—approximately 2.3 percent per year from 2005 to 2050 vs. 3.3 percent per year in the IFs base case.</w:t>
      </w:r>
    </w:p>
    <w:p w:rsidR="009C0B88" w:rsidRDefault="009C0B88" w:rsidP="00B15811">
      <w:pPr>
        <w:spacing w:after="200" w:line="276" w:lineRule="auto"/>
      </w:pPr>
      <w:r>
        <w:br w:type="page"/>
      </w:r>
      <w:r w:rsidR="00B15811">
        <w:rPr>
          <w:noProof/>
        </w:rPr>
        <w:drawing>
          <wp:inline distT="0" distB="0" distL="0" distR="0">
            <wp:extent cx="5689600" cy="2946400"/>
            <wp:effectExtent l="25400" t="25400" r="0" b="0"/>
            <wp:docPr id="6" name="C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00B15811">
        <w:rPr>
          <w:noProof/>
        </w:rPr>
        <w:drawing>
          <wp:inline distT="0" distB="0" distL="0" distR="0">
            <wp:extent cx="2834640" cy="2158365"/>
            <wp:effectExtent l="25400" t="25400" r="10160" b="635"/>
            <wp:docPr id="19" name="C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sidR="00B15811" w:rsidRPr="00B15811">
        <w:rPr>
          <w:noProof/>
        </w:rPr>
        <w:drawing>
          <wp:inline distT="0" distB="0" distL="0" distR="0">
            <wp:extent cx="2834640" cy="2158365"/>
            <wp:effectExtent l="25400" t="25400" r="10160" b="635"/>
            <wp:docPr id="26" name="C 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9C0B88" w:rsidRPr="004D2E44" w:rsidRDefault="009C0B88" w:rsidP="009C0B88">
      <w:pPr>
        <w:rPr>
          <w:b/>
        </w:rPr>
      </w:pPr>
      <w:r w:rsidRPr="004D2E44">
        <w:rPr>
          <w:b/>
        </w:rPr>
        <w:t xml:space="preserve">Figure 5.13 Comparison of </w:t>
      </w:r>
      <w:r>
        <w:rPr>
          <w:b/>
        </w:rPr>
        <w:t>f</w:t>
      </w:r>
      <w:r w:rsidRPr="004D2E44">
        <w:rPr>
          <w:b/>
        </w:rPr>
        <w:t xml:space="preserve">orecasts of </w:t>
      </w:r>
      <w:r>
        <w:rPr>
          <w:b/>
        </w:rPr>
        <w:t>e</w:t>
      </w:r>
      <w:r w:rsidRPr="004D2E44">
        <w:rPr>
          <w:b/>
        </w:rPr>
        <w:t xml:space="preserve">lectricity </w:t>
      </w:r>
      <w:r>
        <w:rPr>
          <w:b/>
        </w:rPr>
        <w:t>g</w:t>
      </w:r>
      <w:r w:rsidRPr="004D2E44">
        <w:rPr>
          <w:b/>
        </w:rPr>
        <w:t xml:space="preserve">enerating </w:t>
      </w:r>
      <w:r>
        <w:rPr>
          <w:b/>
        </w:rPr>
        <w:t>c</w:t>
      </w:r>
      <w:r w:rsidRPr="004D2E44">
        <w:rPr>
          <w:b/>
        </w:rPr>
        <w:t>apacity</w:t>
      </w:r>
    </w:p>
    <w:p w:rsidR="009C0B88" w:rsidRPr="006B76B7" w:rsidRDefault="009C0B88" w:rsidP="009C0B88">
      <w:pPr>
        <w:rPr>
          <w:i/>
        </w:rPr>
      </w:pPr>
      <w:r w:rsidRPr="004D2E44">
        <w:rPr>
          <w:i/>
        </w:rPr>
        <w:t xml:space="preserve">Sources: </w:t>
      </w:r>
      <w:r w:rsidRPr="004D2E44">
        <w:rPr>
          <w:i/>
          <w:color w:val="000000"/>
        </w:rPr>
        <w:t xml:space="preserve">World Energy Outlook </w:t>
      </w:r>
      <w:r w:rsidRPr="006B76B7">
        <w:rPr>
          <w:i/>
          <w:color w:val="000000"/>
        </w:rPr>
        <w:t xml:space="preserve">2011 </w:t>
      </w:r>
      <w:r w:rsidR="00F7383F" w:rsidRPr="002C26FA">
        <w:rPr>
          <w:i/>
          <w:color w:val="000000"/>
          <w:szCs w:val="24"/>
        </w:rPr>
        <w:fldChar w:fldCharType="begin"/>
      </w:r>
      <w:r w:rsidRPr="002C26FA">
        <w:rPr>
          <w:i/>
          <w:color w:val="000000"/>
          <w:szCs w:val="24"/>
        </w:rPr>
        <w:instrText xml:space="preserve"> ADDIN ZOTERO_ITEM {"citationID":"57Mww7Hu","properties":{"formattedCitation":"(International Energy Agency (IEA) and Organisation for Economic Co-operation and Development (OECD) 2011)","plainCitation":"(International Energy Agency (IEA) and Organisation for Economic Co-operation and Development (OECD) 2011)"},"citationItems":[{"id":1479,"uris":["http://zotero.org/groups/4482/items/JN2QK4JC"],"uri":["http://zotero.org/groups/4482/items/JN2QK4JC"]}]} </w:instrText>
      </w:r>
      <w:r w:rsidR="00F7383F" w:rsidRPr="002C26FA">
        <w:rPr>
          <w:i/>
          <w:color w:val="000000"/>
          <w:szCs w:val="24"/>
        </w:rPr>
        <w:fldChar w:fldCharType="separate"/>
      </w:r>
      <w:r w:rsidRPr="002C26FA">
        <w:rPr>
          <w:i/>
          <w:szCs w:val="24"/>
        </w:rPr>
        <w:t>(International Energy Agency (IEA) and Organisation for Economic Co-operation and Development (OECD) 2011)</w:t>
      </w:r>
      <w:r w:rsidR="00F7383F" w:rsidRPr="002C26FA">
        <w:rPr>
          <w:i/>
          <w:color w:val="000000"/>
          <w:szCs w:val="24"/>
        </w:rPr>
        <w:fldChar w:fldCharType="end"/>
      </w:r>
      <w:r w:rsidRPr="002C26FA">
        <w:rPr>
          <w:i/>
          <w:color w:val="000000"/>
          <w:szCs w:val="24"/>
        </w:rPr>
        <w:t xml:space="preserve">, Hughes, Chinowsky, and Strzepek </w:t>
      </w:r>
      <w:r w:rsidR="00F7383F" w:rsidRPr="002C26FA">
        <w:rPr>
          <w:i/>
          <w:color w:val="000000"/>
          <w:szCs w:val="24"/>
        </w:rPr>
        <w:fldChar w:fldCharType="begin"/>
      </w:r>
      <w:r w:rsidRPr="002C26FA">
        <w:rPr>
          <w:i/>
          <w:color w:val="000000"/>
          <w:szCs w:val="24"/>
        </w:rPr>
        <w:instrText xml:space="preserve"> ADDIN ZOTERO_ITEM {"citationID":"uPLUaG2i","properties":{"formattedCitation":"(2009)","plainCitation":"(2009)"},"citationItems":[{"id":975,"uris":["http://zotero.org/groups/4482/items/ZNDAXGEG"],"uri":["http://zotero.org/groups/4482/items/ZNDAXGEG"],"suppress-author":true}]} </w:instrText>
      </w:r>
      <w:r w:rsidR="00F7383F" w:rsidRPr="002C26FA">
        <w:rPr>
          <w:i/>
          <w:color w:val="000000"/>
          <w:szCs w:val="24"/>
        </w:rPr>
        <w:fldChar w:fldCharType="separate"/>
      </w:r>
      <w:r w:rsidRPr="002C26FA">
        <w:rPr>
          <w:i/>
          <w:szCs w:val="24"/>
        </w:rPr>
        <w:t>(2009)</w:t>
      </w:r>
      <w:r w:rsidR="00F7383F" w:rsidRPr="002C26FA">
        <w:rPr>
          <w:i/>
          <w:color w:val="000000"/>
          <w:szCs w:val="24"/>
        </w:rPr>
        <w:fldChar w:fldCharType="end"/>
      </w:r>
      <w:r w:rsidRPr="002C26FA">
        <w:rPr>
          <w:i/>
          <w:color w:val="000000"/>
          <w:szCs w:val="24"/>
        </w:rPr>
        <w:t xml:space="preserve">, International Energy Outlook 2011 </w:t>
      </w:r>
      <w:r w:rsidR="00F7383F" w:rsidRPr="002C26FA">
        <w:rPr>
          <w:i/>
          <w:color w:val="000000"/>
          <w:szCs w:val="24"/>
        </w:rPr>
        <w:fldChar w:fldCharType="begin"/>
      </w:r>
      <w:r w:rsidRPr="002C26FA">
        <w:rPr>
          <w:i/>
          <w:color w:val="000000"/>
          <w:szCs w:val="24"/>
        </w:rPr>
        <w:instrText xml:space="preserve"> ADDIN ZOTERO_ITEM {"citationID":"LDihtG52","properties":{"formattedCitation":"(U.S. Energy Information Administration (EIA) 2011)","plainCitation":"(U.S. Energy Information Administration (EIA) 2011)"},"citationItems":[{"id":99,"uris":["http://zotero.org/groups/4482/items/BFKTCN7E"],"uri":["http://zotero.org/groups/4482/items/BFKTCN7E"]}]} </w:instrText>
      </w:r>
      <w:r w:rsidR="00F7383F" w:rsidRPr="002C26FA">
        <w:rPr>
          <w:i/>
          <w:color w:val="000000"/>
          <w:szCs w:val="24"/>
        </w:rPr>
        <w:fldChar w:fldCharType="separate"/>
      </w:r>
      <w:r w:rsidRPr="002C26FA">
        <w:rPr>
          <w:i/>
          <w:szCs w:val="24"/>
        </w:rPr>
        <w:t>(U.S. Energy Information Administration (EIA) 2011)</w:t>
      </w:r>
      <w:r w:rsidR="00F7383F" w:rsidRPr="002C26FA">
        <w:rPr>
          <w:i/>
          <w:color w:val="000000"/>
          <w:szCs w:val="24"/>
        </w:rPr>
        <w:fldChar w:fldCharType="end"/>
      </w:r>
      <w:r w:rsidRPr="002C26FA">
        <w:rPr>
          <w:i/>
          <w:color w:val="000000"/>
          <w:szCs w:val="24"/>
        </w:rPr>
        <w:t>, IFs v.6.54.</w:t>
      </w:r>
    </w:p>
    <w:p w:rsidR="009C0B88" w:rsidRPr="00977AA8" w:rsidRDefault="009C0B88" w:rsidP="009C0B88">
      <w:pPr>
        <w:rPr>
          <w:i/>
        </w:rPr>
      </w:pPr>
      <w:r w:rsidRPr="00977AA8">
        <w:rPr>
          <w:i/>
        </w:rPr>
        <w:t xml:space="preserve">Note: IEO 2011 refers to forecasts from the U.S. Energy Information Administration’s </w:t>
      </w:r>
      <w:r w:rsidRPr="002C26FA">
        <w:rPr>
          <w:i/>
          <w:szCs w:val="24"/>
        </w:rPr>
        <w:t>International Energy Outlook 2011</w:t>
      </w:r>
      <w:r w:rsidRPr="006B76B7">
        <w:rPr>
          <w:i/>
        </w:rPr>
        <w:t xml:space="preserve">; WEO 2011 refers to forecasts from </w:t>
      </w:r>
      <w:r w:rsidRPr="002C26FA">
        <w:rPr>
          <w:i/>
          <w:szCs w:val="24"/>
        </w:rPr>
        <w:t>World Energy Outlook 201</w:t>
      </w:r>
      <w:r w:rsidRPr="00977AA8">
        <w:rPr>
          <w:i/>
          <w:u w:val="single"/>
        </w:rPr>
        <w:t>1</w:t>
      </w:r>
      <w:r w:rsidRPr="00977AA8">
        <w:rPr>
          <w:i/>
        </w:rPr>
        <w:t xml:space="preserve"> from the International Energy Agency and the Organisation for Economic Co-operation and Development.</w:t>
      </w:r>
    </w:p>
    <w:p w:rsidR="009C0B88" w:rsidRDefault="009C0B88" w:rsidP="009C0B88"/>
    <w:p w:rsidR="009C0B88" w:rsidRDefault="009C0B88" w:rsidP="009C0B88">
      <w:r>
        <w:t>Almost no studies provide forecasts of electricity access. The IEA</w:t>
      </w:r>
      <w:r w:rsidRPr="00977AA8">
        <w:t xml:space="preserve"> </w:t>
      </w:r>
      <w:r w:rsidR="00F7383F" w:rsidRPr="00977AA8">
        <w:fldChar w:fldCharType="begin"/>
      </w:r>
      <w:r>
        <w:instrText xml:space="preserve"> ADDIN ZOTERO_ITEM {"citationID":"rWIGBqbh","properties":{"formattedCitation":"(2011)","plainCitation":"(2011)"},"citationItems":[{"id":1479,"uris":["http://zotero.org/groups/4482/items/JN2QK4JC"],"uri":["http://zotero.org/groups/4482/items/JN2QK4JC"],"suppress-author":true}]} </w:instrText>
      </w:r>
      <w:r w:rsidR="00F7383F" w:rsidRPr="00977AA8">
        <w:fldChar w:fldCharType="separate"/>
      </w:r>
      <w:r>
        <w:t>(2011)</w:t>
      </w:r>
      <w:r w:rsidR="00F7383F" w:rsidRPr="00977AA8">
        <w:fldChar w:fldCharType="end"/>
      </w:r>
      <w:r>
        <w:t xml:space="preserve"> does so, but only at a regional level and for a single year, 2030. </w:t>
      </w:r>
      <w:r w:rsidRPr="00977AA8">
        <w:t xml:space="preserve">Hughes, Chinowsky, and Strzepek </w:t>
      </w:r>
      <w:r w:rsidR="00F7383F" w:rsidRPr="00977AA8">
        <w:fldChar w:fldCharType="begin"/>
      </w:r>
      <w:r>
        <w:instrText xml:space="preserve"> ADDIN ZOTERO_ITEM {"citationID":"nuPbiThe","properties":{"formattedCitation":"(2009)","plainCitation":"(2009)"},"citationItems":[{"id":975,"uris":["http://zotero.org/groups/4482/items/ZNDAXGEG"],"uri":["http://zotero.org/groups/4482/items/ZNDAXGEG"],"suppress-author":true}]} </w:instrText>
      </w:r>
      <w:r w:rsidR="00F7383F" w:rsidRPr="00977AA8">
        <w:fldChar w:fldCharType="separate"/>
      </w:r>
      <w:r>
        <w:t>(2009)</w:t>
      </w:r>
      <w:r w:rsidR="00F7383F" w:rsidRPr="00977AA8">
        <w:fldChar w:fldCharType="end"/>
      </w:r>
      <w:r>
        <w:t xml:space="preserve"> provide country-level forecasts at </w:t>
      </w:r>
      <w:r w:rsidR="00EC2D95">
        <w:t>five-year</w:t>
      </w:r>
      <w:r>
        <w:t xml:space="preserve"> intervals to 2050</w:t>
      </w:r>
      <w:r w:rsidRPr="00977AA8">
        <w:t xml:space="preserve">. </w:t>
      </w:r>
      <w:r>
        <w:t>Since this is primarily of concern in the developing countries, we focus our comparison on those countries, using the IEA regional groupings.</w:t>
      </w:r>
    </w:p>
    <w:p w:rsidR="009C0B88" w:rsidRDefault="009C0B88" w:rsidP="009C0B88"/>
    <w:p w:rsidR="009C0B88" w:rsidRPr="00977AA8" w:rsidRDefault="009C0B88" w:rsidP="009C0B88">
      <w:r>
        <w:t>At the global level, all three forecasts are very much in line (Table 5.3). The larger values for 2050 in the Hughes et al. study are almost entirely explained by their use of initially higher values. The three studies are also consistent in forecasting that, while access rates in Africa will grow considerably, they will continue to lag behind those in other regions, although Hughes et al is somewhat more optimistic about their progress.</w:t>
      </w:r>
    </w:p>
    <w:p w:rsidR="009C0B88" w:rsidRPr="00977AA8" w:rsidRDefault="009C0B88" w:rsidP="009C0B88"/>
    <w:tbl>
      <w:tblPr>
        <w:tblW w:w="0" w:type="auto"/>
        <w:tblInd w:w="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360"/>
        <w:gridCol w:w="1462"/>
        <w:gridCol w:w="1463"/>
        <w:gridCol w:w="1462"/>
        <w:gridCol w:w="1463"/>
      </w:tblGrid>
      <w:tr w:rsidR="009C0B88" w:rsidRPr="00977AA8">
        <w:trPr>
          <w:trHeight w:val="259"/>
        </w:trPr>
        <w:tc>
          <w:tcPr>
            <w:tcW w:w="9210" w:type="dxa"/>
            <w:gridSpan w:val="5"/>
            <w:vAlign w:val="center"/>
          </w:tcPr>
          <w:p w:rsidR="009C0B88" w:rsidRPr="00977AA8" w:rsidRDefault="009C0B88" w:rsidP="009C0B88">
            <w:pPr>
              <w:autoSpaceDE w:val="0"/>
              <w:autoSpaceDN w:val="0"/>
              <w:adjustRightInd w:val="0"/>
              <w:rPr>
                <w:b/>
                <w:color w:val="000000"/>
              </w:rPr>
            </w:pPr>
            <w:r w:rsidRPr="00977AA8">
              <w:rPr>
                <w:b/>
                <w:color w:val="000000"/>
              </w:rPr>
              <w:t>Table 5.</w:t>
            </w:r>
            <w:r>
              <w:rPr>
                <w:b/>
                <w:color w:val="000000"/>
              </w:rPr>
              <w:t>3</w:t>
            </w:r>
            <w:r w:rsidRPr="00977AA8">
              <w:rPr>
                <w:b/>
                <w:color w:val="000000"/>
              </w:rPr>
              <w:t xml:space="preserve"> Comparisons of </w:t>
            </w:r>
            <w:r>
              <w:rPr>
                <w:b/>
                <w:color w:val="000000"/>
              </w:rPr>
              <w:t>f</w:t>
            </w:r>
            <w:r w:rsidRPr="00977AA8">
              <w:rPr>
                <w:b/>
                <w:color w:val="000000"/>
              </w:rPr>
              <w:t xml:space="preserve">orecasts of </w:t>
            </w:r>
            <w:r>
              <w:rPr>
                <w:b/>
                <w:color w:val="000000"/>
              </w:rPr>
              <w:t>n</w:t>
            </w:r>
            <w:r w:rsidRPr="00977AA8">
              <w:rPr>
                <w:b/>
                <w:color w:val="000000"/>
              </w:rPr>
              <w:t xml:space="preserve">ational </w:t>
            </w:r>
            <w:r>
              <w:rPr>
                <w:b/>
                <w:color w:val="000000"/>
              </w:rPr>
              <w:t>e</w:t>
            </w:r>
            <w:r w:rsidRPr="00977AA8">
              <w:rPr>
                <w:b/>
                <w:color w:val="000000"/>
              </w:rPr>
              <w:t xml:space="preserve">lectricity </w:t>
            </w:r>
            <w:r>
              <w:rPr>
                <w:b/>
                <w:color w:val="000000"/>
              </w:rPr>
              <w:t>a</w:t>
            </w:r>
            <w:r w:rsidRPr="00977AA8">
              <w:rPr>
                <w:b/>
                <w:color w:val="000000"/>
              </w:rPr>
              <w:t>ccess</w:t>
            </w:r>
          </w:p>
        </w:tc>
      </w:tr>
      <w:tr w:rsidR="009C0B88" w:rsidRPr="00977AA8">
        <w:trPr>
          <w:trHeight w:val="259"/>
        </w:trPr>
        <w:tc>
          <w:tcPr>
            <w:tcW w:w="3360" w:type="dxa"/>
            <w:vMerge w:val="restart"/>
          </w:tcPr>
          <w:p w:rsidR="009C0B88" w:rsidRPr="00977AA8" w:rsidRDefault="009C0B88" w:rsidP="009C0B88">
            <w:pPr>
              <w:autoSpaceDE w:val="0"/>
              <w:autoSpaceDN w:val="0"/>
              <w:adjustRightInd w:val="0"/>
              <w:rPr>
                <w:color w:val="000000"/>
              </w:rPr>
            </w:pPr>
          </w:p>
        </w:tc>
        <w:tc>
          <w:tcPr>
            <w:tcW w:w="5850" w:type="dxa"/>
            <w:gridSpan w:val="4"/>
            <w:vAlign w:val="center"/>
          </w:tcPr>
          <w:p w:rsidR="009C0B88" w:rsidRPr="00977AA8" w:rsidRDefault="009C0B88" w:rsidP="009C0B88">
            <w:pPr>
              <w:autoSpaceDE w:val="0"/>
              <w:autoSpaceDN w:val="0"/>
              <w:adjustRightInd w:val="0"/>
              <w:jc w:val="center"/>
              <w:rPr>
                <w:color w:val="000000"/>
              </w:rPr>
            </w:pPr>
            <w:r w:rsidRPr="00977AA8">
              <w:rPr>
                <w:color w:val="000000"/>
              </w:rPr>
              <w:t>Year</w:t>
            </w:r>
          </w:p>
        </w:tc>
      </w:tr>
      <w:tr w:rsidR="009C0B88" w:rsidRPr="00977AA8">
        <w:trPr>
          <w:trHeight w:val="259"/>
        </w:trPr>
        <w:tc>
          <w:tcPr>
            <w:tcW w:w="3360" w:type="dxa"/>
            <w:vMerge/>
          </w:tcPr>
          <w:p w:rsidR="009C0B88" w:rsidRPr="00977AA8" w:rsidRDefault="009C0B88" w:rsidP="009C0B88">
            <w:pPr>
              <w:autoSpaceDE w:val="0"/>
              <w:autoSpaceDN w:val="0"/>
              <w:adjustRightInd w:val="0"/>
              <w:rPr>
                <w:color w:val="000000"/>
              </w:rPr>
            </w:pPr>
          </w:p>
        </w:tc>
        <w:tc>
          <w:tcPr>
            <w:tcW w:w="1462" w:type="dxa"/>
            <w:vAlign w:val="center"/>
          </w:tcPr>
          <w:p w:rsidR="009C0B88" w:rsidRPr="00977AA8" w:rsidRDefault="009C0B88" w:rsidP="009C0B88">
            <w:pPr>
              <w:autoSpaceDE w:val="0"/>
              <w:autoSpaceDN w:val="0"/>
              <w:adjustRightInd w:val="0"/>
              <w:jc w:val="center"/>
              <w:rPr>
                <w:color w:val="000000"/>
              </w:rPr>
            </w:pPr>
            <w:r w:rsidRPr="00977AA8">
              <w:rPr>
                <w:color w:val="000000"/>
              </w:rPr>
              <w:t>2009</w:t>
            </w:r>
          </w:p>
        </w:tc>
        <w:tc>
          <w:tcPr>
            <w:tcW w:w="1463" w:type="dxa"/>
            <w:vAlign w:val="center"/>
          </w:tcPr>
          <w:p w:rsidR="009C0B88" w:rsidRPr="00977AA8" w:rsidRDefault="009C0B88" w:rsidP="009C0B88">
            <w:pPr>
              <w:autoSpaceDE w:val="0"/>
              <w:autoSpaceDN w:val="0"/>
              <w:adjustRightInd w:val="0"/>
              <w:jc w:val="center"/>
              <w:rPr>
                <w:color w:val="000000"/>
              </w:rPr>
            </w:pPr>
            <w:r w:rsidRPr="00977AA8">
              <w:rPr>
                <w:color w:val="000000"/>
              </w:rPr>
              <w:t>2010</w:t>
            </w:r>
          </w:p>
        </w:tc>
        <w:tc>
          <w:tcPr>
            <w:tcW w:w="1462" w:type="dxa"/>
            <w:vAlign w:val="center"/>
          </w:tcPr>
          <w:p w:rsidR="009C0B88" w:rsidRPr="00977AA8" w:rsidRDefault="009C0B88" w:rsidP="009C0B88">
            <w:pPr>
              <w:autoSpaceDE w:val="0"/>
              <w:autoSpaceDN w:val="0"/>
              <w:adjustRightInd w:val="0"/>
              <w:jc w:val="center"/>
              <w:rPr>
                <w:color w:val="000000"/>
              </w:rPr>
            </w:pPr>
            <w:r w:rsidRPr="00977AA8">
              <w:rPr>
                <w:color w:val="000000"/>
              </w:rPr>
              <w:t>2030</w:t>
            </w:r>
          </w:p>
        </w:tc>
        <w:tc>
          <w:tcPr>
            <w:tcW w:w="1463" w:type="dxa"/>
            <w:vAlign w:val="center"/>
          </w:tcPr>
          <w:p w:rsidR="009C0B88" w:rsidRPr="00977AA8" w:rsidRDefault="009C0B88" w:rsidP="009C0B88">
            <w:pPr>
              <w:autoSpaceDE w:val="0"/>
              <w:autoSpaceDN w:val="0"/>
              <w:adjustRightInd w:val="0"/>
              <w:jc w:val="center"/>
              <w:rPr>
                <w:color w:val="000000"/>
              </w:rPr>
            </w:pPr>
            <w:r w:rsidRPr="00977AA8">
              <w:rPr>
                <w:color w:val="000000"/>
              </w:rPr>
              <w:t>2050</w:t>
            </w:r>
          </w:p>
        </w:tc>
      </w:tr>
      <w:tr w:rsidR="009C0B88" w:rsidRPr="00977AA8">
        <w:trPr>
          <w:trHeight w:val="259"/>
        </w:trPr>
        <w:tc>
          <w:tcPr>
            <w:tcW w:w="3360" w:type="dxa"/>
          </w:tcPr>
          <w:p w:rsidR="009C0B88" w:rsidRPr="00977AA8" w:rsidRDefault="009C0B88" w:rsidP="009C0B88">
            <w:pPr>
              <w:autoSpaceDE w:val="0"/>
              <w:autoSpaceDN w:val="0"/>
              <w:adjustRightInd w:val="0"/>
              <w:rPr>
                <w:color w:val="000000"/>
              </w:rPr>
            </w:pPr>
            <w:r w:rsidRPr="00977AA8">
              <w:rPr>
                <w:color w:val="000000"/>
              </w:rPr>
              <w:t>IEA Developing Countries</w:t>
            </w:r>
          </w:p>
        </w:tc>
        <w:tc>
          <w:tcPr>
            <w:tcW w:w="1462" w:type="dxa"/>
            <w:vAlign w:val="center"/>
          </w:tcPr>
          <w:p w:rsidR="009C0B88" w:rsidRPr="00977AA8" w:rsidRDefault="009C0B88" w:rsidP="009C0B88">
            <w:pPr>
              <w:autoSpaceDE w:val="0"/>
              <w:autoSpaceDN w:val="0"/>
              <w:adjustRightInd w:val="0"/>
              <w:jc w:val="center"/>
              <w:rPr>
                <w:color w:val="000000"/>
              </w:rPr>
            </w:pPr>
          </w:p>
        </w:tc>
        <w:tc>
          <w:tcPr>
            <w:tcW w:w="1463" w:type="dxa"/>
            <w:vAlign w:val="center"/>
          </w:tcPr>
          <w:p w:rsidR="009C0B88" w:rsidRPr="00977AA8" w:rsidRDefault="009C0B88" w:rsidP="009C0B88">
            <w:pPr>
              <w:autoSpaceDE w:val="0"/>
              <w:autoSpaceDN w:val="0"/>
              <w:adjustRightInd w:val="0"/>
              <w:jc w:val="center"/>
              <w:rPr>
                <w:color w:val="000000"/>
              </w:rPr>
            </w:pPr>
          </w:p>
        </w:tc>
        <w:tc>
          <w:tcPr>
            <w:tcW w:w="1462" w:type="dxa"/>
            <w:vAlign w:val="center"/>
          </w:tcPr>
          <w:p w:rsidR="009C0B88" w:rsidRPr="00977AA8" w:rsidRDefault="009C0B88" w:rsidP="009C0B88">
            <w:pPr>
              <w:autoSpaceDE w:val="0"/>
              <w:autoSpaceDN w:val="0"/>
              <w:adjustRightInd w:val="0"/>
              <w:jc w:val="center"/>
              <w:rPr>
                <w:color w:val="000000"/>
              </w:rPr>
            </w:pPr>
          </w:p>
        </w:tc>
        <w:tc>
          <w:tcPr>
            <w:tcW w:w="1463" w:type="dxa"/>
            <w:vAlign w:val="center"/>
          </w:tcPr>
          <w:p w:rsidR="009C0B88" w:rsidRPr="00977AA8" w:rsidRDefault="009C0B88" w:rsidP="009C0B88">
            <w:pPr>
              <w:autoSpaceDE w:val="0"/>
              <w:autoSpaceDN w:val="0"/>
              <w:adjustRightInd w:val="0"/>
              <w:jc w:val="center"/>
              <w:rPr>
                <w:color w:val="000000"/>
              </w:rPr>
            </w:pPr>
          </w:p>
        </w:tc>
      </w:tr>
      <w:tr w:rsidR="009C0B88" w:rsidRPr="00977AA8">
        <w:trPr>
          <w:trHeight w:val="259"/>
        </w:trPr>
        <w:tc>
          <w:tcPr>
            <w:tcW w:w="3360" w:type="dxa"/>
          </w:tcPr>
          <w:p w:rsidR="009C0B88" w:rsidRPr="00977AA8" w:rsidRDefault="009C0B88" w:rsidP="009C0B88">
            <w:pPr>
              <w:autoSpaceDE w:val="0"/>
              <w:autoSpaceDN w:val="0"/>
              <w:adjustRightInd w:val="0"/>
              <w:rPr>
                <w:color w:val="000000"/>
              </w:rPr>
            </w:pPr>
            <w:r>
              <w:rPr>
                <w:color w:val="000000"/>
              </w:rPr>
              <w:t xml:space="preserve"> </w:t>
            </w:r>
            <w:r w:rsidRPr="00977AA8">
              <w:rPr>
                <w:color w:val="000000"/>
              </w:rPr>
              <w:t xml:space="preserve"> IEA WEO2011 New Policies</w:t>
            </w:r>
          </w:p>
        </w:tc>
        <w:tc>
          <w:tcPr>
            <w:tcW w:w="1462" w:type="dxa"/>
            <w:vAlign w:val="center"/>
          </w:tcPr>
          <w:p w:rsidR="009C0B88" w:rsidRPr="00977AA8" w:rsidRDefault="009C0B88" w:rsidP="009C0B88">
            <w:pPr>
              <w:autoSpaceDE w:val="0"/>
              <w:autoSpaceDN w:val="0"/>
              <w:adjustRightInd w:val="0"/>
              <w:jc w:val="center"/>
              <w:rPr>
                <w:color w:val="000000"/>
              </w:rPr>
            </w:pPr>
            <w:r w:rsidRPr="00977AA8">
              <w:rPr>
                <w:color w:val="000000"/>
              </w:rPr>
              <w:t>75</w:t>
            </w:r>
          </w:p>
        </w:tc>
        <w:tc>
          <w:tcPr>
            <w:tcW w:w="1463" w:type="dxa"/>
            <w:vAlign w:val="center"/>
          </w:tcPr>
          <w:p w:rsidR="009C0B88" w:rsidRPr="00977AA8" w:rsidRDefault="009C0B88" w:rsidP="009C0B88">
            <w:pPr>
              <w:autoSpaceDE w:val="0"/>
              <w:autoSpaceDN w:val="0"/>
              <w:adjustRightInd w:val="0"/>
              <w:jc w:val="center"/>
              <w:rPr>
                <w:color w:val="000000"/>
              </w:rPr>
            </w:pPr>
          </w:p>
        </w:tc>
        <w:tc>
          <w:tcPr>
            <w:tcW w:w="1462" w:type="dxa"/>
            <w:vAlign w:val="center"/>
          </w:tcPr>
          <w:p w:rsidR="009C0B88" w:rsidRPr="00977AA8" w:rsidRDefault="009C0B88" w:rsidP="009C0B88">
            <w:pPr>
              <w:autoSpaceDE w:val="0"/>
              <w:autoSpaceDN w:val="0"/>
              <w:adjustRightInd w:val="0"/>
              <w:jc w:val="center"/>
              <w:rPr>
                <w:color w:val="000000"/>
              </w:rPr>
            </w:pPr>
            <w:r w:rsidRPr="00977AA8">
              <w:rPr>
                <w:color w:val="000000"/>
              </w:rPr>
              <w:t>84</w:t>
            </w:r>
          </w:p>
        </w:tc>
        <w:tc>
          <w:tcPr>
            <w:tcW w:w="1463" w:type="dxa"/>
            <w:vAlign w:val="center"/>
          </w:tcPr>
          <w:p w:rsidR="009C0B88" w:rsidRPr="00977AA8" w:rsidRDefault="009C0B88" w:rsidP="009C0B88">
            <w:pPr>
              <w:autoSpaceDE w:val="0"/>
              <w:autoSpaceDN w:val="0"/>
              <w:adjustRightInd w:val="0"/>
              <w:jc w:val="center"/>
              <w:rPr>
                <w:color w:val="000000"/>
              </w:rPr>
            </w:pPr>
          </w:p>
        </w:tc>
      </w:tr>
      <w:tr w:rsidR="009C0B88" w:rsidRPr="00977AA8">
        <w:trPr>
          <w:trHeight w:val="259"/>
        </w:trPr>
        <w:tc>
          <w:tcPr>
            <w:tcW w:w="3360" w:type="dxa"/>
          </w:tcPr>
          <w:p w:rsidR="009C0B88" w:rsidRPr="00977AA8" w:rsidRDefault="009C0B88" w:rsidP="009C0B88">
            <w:pPr>
              <w:autoSpaceDE w:val="0"/>
              <w:autoSpaceDN w:val="0"/>
              <w:adjustRightInd w:val="0"/>
              <w:rPr>
                <w:color w:val="000000"/>
              </w:rPr>
            </w:pPr>
            <w:r>
              <w:rPr>
                <w:color w:val="000000"/>
              </w:rPr>
              <w:t xml:space="preserve"> </w:t>
            </w:r>
            <w:r w:rsidRPr="00977AA8">
              <w:rPr>
                <w:color w:val="000000"/>
              </w:rPr>
              <w:t xml:space="preserve"> Gordon Hughes</w:t>
            </w:r>
          </w:p>
        </w:tc>
        <w:tc>
          <w:tcPr>
            <w:tcW w:w="1462" w:type="dxa"/>
            <w:vAlign w:val="center"/>
          </w:tcPr>
          <w:p w:rsidR="009C0B88" w:rsidRPr="00977AA8" w:rsidRDefault="009C0B88" w:rsidP="009C0B88">
            <w:pPr>
              <w:autoSpaceDE w:val="0"/>
              <w:autoSpaceDN w:val="0"/>
              <w:adjustRightInd w:val="0"/>
              <w:jc w:val="center"/>
              <w:rPr>
                <w:color w:val="000000"/>
              </w:rPr>
            </w:pPr>
          </w:p>
        </w:tc>
        <w:tc>
          <w:tcPr>
            <w:tcW w:w="1463" w:type="dxa"/>
            <w:vAlign w:val="center"/>
          </w:tcPr>
          <w:p w:rsidR="009C0B88" w:rsidRPr="00977AA8" w:rsidRDefault="009C0B88" w:rsidP="009C0B88">
            <w:pPr>
              <w:autoSpaceDE w:val="0"/>
              <w:autoSpaceDN w:val="0"/>
              <w:adjustRightInd w:val="0"/>
              <w:jc w:val="center"/>
              <w:rPr>
                <w:color w:val="000000"/>
              </w:rPr>
            </w:pPr>
            <w:r w:rsidRPr="00977AA8">
              <w:rPr>
                <w:color w:val="000000"/>
              </w:rPr>
              <w:t>79</w:t>
            </w:r>
          </w:p>
        </w:tc>
        <w:tc>
          <w:tcPr>
            <w:tcW w:w="1462" w:type="dxa"/>
            <w:vAlign w:val="center"/>
          </w:tcPr>
          <w:p w:rsidR="009C0B88" w:rsidRPr="00977AA8" w:rsidRDefault="009C0B88" w:rsidP="009C0B88">
            <w:pPr>
              <w:autoSpaceDE w:val="0"/>
              <w:autoSpaceDN w:val="0"/>
              <w:adjustRightInd w:val="0"/>
              <w:jc w:val="center"/>
              <w:rPr>
                <w:color w:val="000000"/>
              </w:rPr>
            </w:pPr>
            <w:r w:rsidRPr="00977AA8">
              <w:rPr>
                <w:color w:val="000000"/>
              </w:rPr>
              <w:t>91</w:t>
            </w:r>
          </w:p>
        </w:tc>
        <w:tc>
          <w:tcPr>
            <w:tcW w:w="1463" w:type="dxa"/>
            <w:vAlign w:val="center"/>
          </w:tcPr>
          <w:p w:rsidR="009C0B88" w:rsidRPr="00977AA8" w:rsidRDefault="009C0B88" w:rsidP="009C0B88">
            <w:pPr>
              <w:autoSpaceDE w:val="0"/>
              <w:autoSpaceDN w:val="0"/>
              <w:adjustRightInd w:val="0"/>
              <w:jc w:val="center"/>
              <w:rPr>
                <w:color w:val="000000"/>
              </w:rPr>
            </w:pPr>
            <w:r w:rsidRPr="00977AA8">
              <w:rPr>
                <w:color w:val="000000"/>
              </w:rPr>
              <w:t>97</w:t>
            </w:r>
          </w:p>
        </w:tc>
      </w:tr>
      <w:tr w:rsidR="009C0B88" w:rsidRPr="00977AA8">
        <w:trPr>
          <w:trHeight w:val="259"/>
        </w:trPr>
        <w:tc>
          <w:tcPr>
            <w:tcW w:w="3360" w:type="dxa"/>
          </w:tcPr>
          <w:p w:rsidR="009C0B88" w:rsidRPr="00977AA8" w:rsidRDefault="009C0B88" w:rsidP="009C0B88">
            <w:pPr>
              <w:autoSpaceDE w:val="0"/>
              <w:autoSpaceDN w:val="0"/>
              <w:adjustRightInd w:val="0"/>
              <w:rPr>
                <w:color w:val="000000"/>
              </w:rPr>
            </w:pPr>
            <w:r>
              <w:rPr>
                <w:color w:val="000000"/>
              </w:rPr>
              <w:t xml:space="preserve"> </w:t>
            </w:r>
            <w:r w:rsidRPr="00977AA8">
              <w:rPr>
                <w:color w:val="000000"/>
              </w:rPr>
              <w:t xml:space="preserve"> IFs</w:t>
            </w:r>
            <w:r>
              <w:rPr>
                <w:color w:val="000000"/>
              </w:rPr>
              <w:t xml:space="preserve"> base case</w:t>
            </w:r>
          </w:p>
        </w:tc>
        <w:tc>
          <w:tcPr>
            <w:tcW w:w="1462" w:type="dxa"/>
            <w:vAlign w:val="center"/>
          </w:tcPr>
          <w:p w:rsidR="009C0B88" w:rsidRPr="00977AA8" w:rsidRDefault="009C0B88" w:rsidP="009C0B88">
            <w:pPr>
              <w:autoSpaceDE w:val="0"/>
              <w:autoSpaceDN w:val="0"/>
              <w:adjustRightInd w:val="0"/>
              <w:jc w:val="center"/>
              <w:rPr>
                <w:color w:val="000000"/>
              </w:rPr>
            </w:pPr>
            <w:r w:rsidRPr="00977AA8">
              <w:rPr>
                <w:color w:val="000000"/>
              </w:rPr>
              <w:t>74</w:t>
            </w:r>
          </w:p>
        </w:tc>
        <w:tc>
          <w:tcPr>
            <w:tcW w:w="1463" w:type="dxa"/>
            <w:vAlign w:val="center"/>
          </w:tcPr>
          <w:p w:rsidR="009C0B88" w:rsidRPr="00977AA8" w:rsidRDefault="009C0B88" w:rsidP="009C0B88">
            <w:pPr>
              <w:autoSpaceDE w:val="0"/>
              <w:autoSpaceDN w:val="0"/>
              <w:adjustRightInd w:val="0"/>
              <w:jc w:val="center"/>
              <w:rPr>
                <w:color w:val="000000"/>
              </w:rPr>
            </w:pPr>
            <w:r w:rsidRPr="00977AA8">
              <w:rPr>
                <w:color w:val="000000"/>
              </w:rPr>
              <w:t>75</w:t>
            </w:r>
          </w:p>
        </w:tc>
        <w:tc>
          <w:tcPr>
            <w:tcW w:w="1462" w:type="dxa"/>
            <w:vAlign w:val="center"/>
          </w:tcPr>
          <w:p w:rsidR="009C0B88" w:rsidRPr="00977AA8" w:rsidRDefault="009C0B88" w:rsidP="009C0B88">
            <w:pPr>
              <w:autoSpaceDE w:val="0"/>
              <w:autoSpaceDN w:val="0"/>
              <w:adjustRightInd w:val="0"/>
              <w:jc w:val="center"/>
              <w:rPr>
                <w:color w:val="000000"/>
              </w:rPr>
            </w:pPr>
            <w:r w:rsidRPr="00977AA8">
              <w:rPr>
                <w:color w:val="000000"/>
              </w:rPr>
              <w:t>86</w:t>
            </w:r>
          </w:p>
        </w:tc>
        <w:tc>
          <w:tcPr>
            <w:tcW w:w="1463" w:type="dxa"/>
            <w:vAlign w:val="center"/>
          </w:tcPr>
          <w:p w:rsidR="009C0B88" w:rsidRPr="00977AA8" w:rsidRDefault="009C0B88" w:rsidP="009C0B88">
            <w:pPr>
              <w:autoSpaceDE w:val="0"/>
              <w:autoSpaceDN w:val="0"/>
              <w:adjustRightInd w:val="0"/>
              <w:jc w:val="center"/>
              <w:rPr>
                <w:color w:val="000000"/>
              </w:rPr>
            </w:pPr>
            <w:r w:rsidRPr="00977AA8">
              <w:rPr>
                <w:color w:val="000000"/>
              </w:rPr>
              <w:t>92</w:t>
            </w:r>
          </w:p>
        </w:tc>
      </w:tr>
      <w:tr w:rsidR="009C0B88" w:rsidRPr="00977AA8">
        <w:trPr>
          <w:trHeight w:val="259"/>
        </w:trPr>
        <w:tc>
          <w:tcPr>
            <w:tcW w:w="3360" w:type="dxa"/>
          </w:tcPr>
          <w:p w:rsidR="009C0B88" w:rsidRPr="00977AA8" w:rsidRDefault="009C0B88" w:rsidP="009C0B88">
            <w:pPr>
              <w:autoSpaceDE w:val="0"/>
              <w:autoSpaceDN w:val="0"/>
              <w:adjustRightInd w:val="0"/>
              <w:rPr>
                <w:color w:val="000000"/>
              </w:rPr>
            </w:pPr>
            <w:r w:rsidRPr="00977AA8">
              <w:rPr>
                <w:color w:val="000000"/>
              </w:rPr>
              <w:t>IEA Africa</w:t>
            </w:r>
          </w:p>
        </w:tc>
        <w:tc>
          <w:tcPr>
            <w:tcW w:w="1462" w:type="dxa"/>
            <w:vAlign w:val="center"/>
          </w:tcPr>
          <w:p w:rsidR="009C0B88" w:rsidRPr="00977AA8" w:rsidRDefault="009C0B88" w:rsidP="009C0B88">
            <w:pPr>
              <w:autoSpaceDE w:val="0"/>
              <w:autoSpaceDN w:val="0"/>
              <w:adjustRightInd w:val="0"/>
              <w:jc w:val="center"/>
              <w:rPr>
                <w:color w:val="000000"/>
              </w:rPr>
            </w:pPr>
          </w:p>
        </w:tc>
        <w:tc>
          <w:tcPr>
            <w:tcW w:w="1463" w:type="dxa"/>
            <w:vAlign w:val="center"/>
          </w:tcPr>
          <w:p w:rsidR="009C0B88" w:rsidRPr="00977AA8" w:rsidRDefault="009C0B88" w:rsidP="009C0B88">
            <w:pPr>
              <w:autoSpaceDE w:val="0"/>
              <w:autoSpaceDN w:val="0"/>
              <w:adjustRightInd w:val="0"/>
              <w:jc w:val="center"/>
              <w:rPr>
                <w:color w:val="000000"/>
              </w:rPr>
            </w:pPr>
          </w:p>
        </w:tc>
        <w:tc>
          <w:tcPr>
            <w:tcW w:w="1462" w:type="dxa"/>
            <w:vAlign w:val="center"/>
          </w:tcPr>
          <w:p w:rsidR="009C0B88" w:rsidRPr="00977AA8" w:rsidRDefault="009C0B88" w:rsidP="009C0B88">
            <w:pPr>
              <w:autoSpaceDE w:val="0"/>
              <w:autoSpaceDN w:val="0"/>
              <w:adjustRightInd w:val="0"/>
              <w:jc w:val="center"/>
              <w:rPr>
                <w:color w:val="000000"/>
              </w:rPr>
            </w:pPr>
          </w:p>
        </w:tc>
        <w:tc>
          <w:tcPr>
            <w:tcW w:w="1463" w:type="dxa"/>
            <w:vAlign w:val="center"/>
          </w:tcPr>
          <w:p w:rsidR="009C0B88" w:rsidRPr="00977AA8" w:rsidRDefault="009C0B88" w:rsidP="009C0B88">
            <w:pPr>
              <w:autoSpaceDE w:val="0"/>
              <w:autoSpaceDN w:val="0"/>
              <w:adjustRightInd w:val="0"/>
              <w:jc w:val="center"/>
              <w:rPr>
                <w:color w:val="000000"/>
              </w:rPr>
            </w:pPr>
          </w:p>
        </w:tc>
      </w:tr>
      <w:tr w:rsidR="009C0B88" w:rsidRPr="00977AA8">
        <w:trPr>
          <w:trHeight w:val="259"/>
        </w:trPr>
        <w:tc>
          <w:tcPr>
            <w:tcW w:w="3360" w:type="dxa"/>
          </w:tcPr>
          <w:p w:rsidR="009C0B88" w:rsidRPr="00977AA8" w:rsidRDefault="009C0B88" w:rsidP="009C0B88">
            <w:pPr>
              <w:autoSpaceDE w:val="0"/>
              <w:autoSpaceDN w:val="0"/>
              <w:adjustRightInd w:val="0"/>
              <w:rPr>
                <w:color w:val="000000"/>
              </w:rPr>
            </w:pPr>
            <w:r>
              <w:rPr>
                <w:color w:val="000000"/>
              </w:rPr>
              <w:t xml:space="preserve"> </w:t>
            </w:r>
            <w:r w:rsidRPr="00977AA8">
              <w:rPr>
                <w:color w:val="000000"/>
              </w:rPr>
              <w:t xml:space="preserve"> IEA WEO2011 New Policies</w:t>
            </w:r>
          </w:p>
        </w:tc>
        <w:tc>
          <w:tcPr>
            <w:tcW w:w="1462" w:type="dxa"/>
            <w:vAlign w:val="center"/>
          </w:tcPr>
          <w:p w:rsidR="009C0B88" w:rsidRPr="00977AA8" w:rsidRDefault="009C0B88" w:rsidP="009C0B88">
            <w:pPr>
              <w:autoSpaceDE w:val="0"/>
              <w:autoSpaceDN w:val="0"/>
              <w:adjustRightInd w:val="0"/>
              <w:jc w:val="center"/>
              <w:rPr>
                <w:color w:val="000000"/>
              </w:rPr>
            </w:pPr>
            <w:r w:rsidRPr="00977AA8">
              <w:rPr>
                <w:color w:val="000000"/>
              </w:rPr>
              <w:t>42</w:t>
            </w:r>
          </w:p>
        </w:tc>
        <w:tc>
          <w:tcPr>
            <w:tcW w:w="1463" w:type="dxa"/>
            <w:vAlign w:val="center"/>
          </w:tcPr>
          <w:p w:rsidR="009C0B88" w:rsidRPr="00977AA8" w:rsidRDefault="009C0B88" w:rsidP="009C0B88">
            <w:pPr>
              <w:autoSpaceDE w:val="0"/>
              <w:autoSpaceDN w:val="0"/>
              <w:adjustRightInd w:val="0"/>
              <w:jc w:val="center"/>
              <w:rPr>
                <w:color w:val="000000"/>
              </w:rPr>
            </w:pPr>
          </w:p>
        </w:tc>
        <w:tc>
          <w:tcPr>
            <w:tcW w:w="1462" w:type="dxa"/>
            <w:vAlign w:val="center"/>
          </w:tcPr>
          <w:p w:rsidR="009C0B88" w:rsidRPr="00977AA8" w:rsidRDefault="009C0B88" w:rsidP="009C0B88">
            <w:pPr>
              <w:autoSpaceDE w:val="0"/>
              <w:autoSpaceDN w:val="0"/>
              <w:adjustRightInd w:val="0"/>
              <w:jc w:val="center"/>
              <w:rPr>
                <w:color w:val="000000"/>
              </w:rPr>
            </w:pPr>
            <w:r w:rsidRPr="00977AA8">
              <w:rPr>
                <w:color w:val="000000"/>
              </w:rPr>
              <w:t>58</w:t>
            </w:r>
          </w:p>
        </w:tc>
        <w:tc>
          <w:tcPr>
            <w:tcW w:w="1463" w:type="dxa"/>
            <w:vAlign w:val="center"/>
          </w:tcPr>
          <w:p w:rsidR="009C0B88" w:rsidRPr="00977AA8" w:rsidRDefault="009C0B88" w:rsidP="009C0B88">
            <w:pPr>
              <w:autoSpaceDE w:val="0"/>
              <w:autoSpaceDN w:val="0"/>
              <w:adjustRightInd w:val="0"/>
              <w:jc w:val="center"/>
              <w:rPr>
                <w:color w:val="000000"/>
              </w:rPr>
            </w:pPr>
          </w:p>
        </w:tc>
      </w:tr>
      <w:tr w:rsidR="009C0B88" w:rsidRPr="00977AA8">
        <w:trPr>
          <w:trHeight w:val="259"/>
        </w:trPr>
        <w:tc>
          <w:tcPr>
            <w:tcW w:w="3360" w:type="dxa"/>
          </w:tcPr>
          <w:p w:rsidR="009C0B88" w:rsidRPr="00977AA8" w:rsidRDefault="009C0B88" w:rsidP="009C0B88">
            <w:pPr>
              <w:autoSpaceDE w:val="0"/>
              <w:autoSpaceDN w:val="0"/>
              <w:adjustRightInd w:val="0"/>
              <w:rPr>
                <w:color w:val="000000"/>
              </w:rPr>
            </w:pPr>
            <w:r>
              <w:rPr>
                <w:color w:val="000000"/>
              </w:rPr>
              <w:t xml:space="preserve"> </w:t>
            </w:r>
            <w:r w:rsidRPr="00977AA8">
              <w:rPr>
                <w:color w:val="000000"/>
              </w:rPr>
              <w:t xml:space="preserve"> Gordon Hughes</w:t>
            </w:r>
          </w:p>
        </w:tc>
        <w:tc>
          <w:tcPr>
            <w:tcW w:w="1462" w:type="dxa"/>
            <w:vAlign w:val="center"/>
          </w:tcPr>
          <w:p w:rsidR="009C0B88" w:rsidRPr="00977AA8" w:rsidRDefault="009C0B88" w:rsidP="009C0B88">
            <w:pPr>
              <w:autoSpaceDE w:val="0"/>
              <w:autoSpaceDN w:val="0"/>
              <w:adjustRightInd w:val="0"/>
              <w:jc w:val="center"/>
              <w:rPr>
                <w:color w:val="000000"/>
              </w:rPr>
            </w:pPr>
          </w:p>
        </w:tc>
        <w:tc>
          <w:tcPr>
            <w:tcW w:w="1463" w:type="dxa"/>
            <w:vAlign w:val="center"/>
          </w:tcPr>
          <w:p w:rsidR="009C0B88" w:rsidRPr="00977AA8" w:rsidRDefault="009C0B88" w:rsidP="009C0B88">
            <w:pPr>
              <w:autoSpaceDE w:val="0"/>
              <w:autoSpaceDN w:val="0"/>
              <w:adjustRightInd w:val="0"/>
              <w:jc w:val="center"/>
              <w:rPr>
                <w:color w:val="000000"/>
              </w:rPr>
            </w:pPr>
            <w:r w:rsidRPr="00977AA8">
              <w:rPr>
                <w:color w:val="000000"/>
              </w:rPr>
              <w:t>47</w:t>
            </w:r>
          </w:p>
        </w:tc>
        <w:tc>
          <w:tcPr>
            <w:tcW w:w="1462" w:type="dxa"/>
            <w:vAlign w:val="center"/>
          </w:tcPr>
          <w:p w:rsidR="009C0B88" w:rsidRPr="00977AA8" w:rsidRDefault="009C0B88" w:rsidP="009C0B88">
            <w:pPr>
              <w:autoSpaceDE w:val="0"/>
              <w:autoSpaceDN w:val="0"/>
              <w:adjustRightInd w:val="0"/>
              <w:jc w:val="center"/>
              <w:rPr>
                <w:color w:val="000000"/>
              </w:rPr>
            </w:pPr>
            <w:r w:rsidRPr="00977AA8">
              <w:rPr>
                <w:color w:val="000000"/>
              </w:rPr>
              <w:t>70</w:t>
            </w:r>
          </w:p>
        </w:tc>
        <w:tc>
          <w:tcPr>
            <w:tcW w:w="1463" w:type="dxa"/>
            <w:vAlign w:val="center"/>
          </w:tcPr>
          <w:p w:rsidR="009C0B88" w:rsidRPr="00977AA8" w:rsidRDefault="009C0B88" w:rsidP="009C0B88">
            <w:pPr>
              <w:autoSpaceDE w:val="0"/>
              <w:autoSpaceDN w:val="0"/>
              <w:adjustRightInd w:val="0"/>
              <w:jc w:val="center"/>
              <w:rPr>
                <w:color w:val="000000"/>
              </w:rPr>
            </w:pPr>
            <w:r w:rsidRPr="00977AA8">
              <w:rPr>
                <w:color w:val="000000"/>
              </w:rPr>
              <w:t>91</w:t>
            </w:r>
          </w:p>
        </w:tc>
      </w:tr>
      <w:tr w:rsidR="009C0B88" w:rsidRPr="00977AA8">
        <w:trPr>
          <w:trHeight w:val="259"/>
        </w:trPr>
        <w:tc>
          <w:tcPr>
            <w:tcW w:w="3360" w:type="dxa"/>
          </w:tcPr>
          <w:p w:rsidR="009C0B88" w:rsidRPr="00977AA8" w:rsidRDefault="009C0B88" w:rsidP="009C0B88">
            <w:pPr>
              <w:autoSpaceDE w:val="0"/>
              <w:autoSpaceDN w:val="0"/>
              <w:adjustRightInd w:val="0"/>
              <w:rPr>
                <w:color w:val="000000"/>
              </w:rPr>
            </w:pPr>
            <w:r>
              <w:rPr>
                <w:color w:val="000000"/>
              </w:rPr>
              <w:t xml:space="preserve"> </w:t>
            </w:r>
            <w:r w:rsidRPr="00977AA8">
              <w:rPr>
                <w:color w:val="000000"/>
              </w:rPr>
              <w:t xml:space="preserve"> IFs</w:t>
            </w:r>
            <w:r>
              <w:rPr>
                <w:color w:val="000000"/>
              </w:rPr>
              <w:t xml:space="preserve"> base case</w:t>
            </w:r>
          </w:p>
        </w:tc>
        <w:tc>
          <w:tcPr>
            <w:tcW w:w="1462" w:type="dxa"/>
            <w:vAlign w:val="center"/>
          </w:tcPr>
          <w:p w:rsidR="009C0B88" w:rsidRPr="00977AA8" w:rsidRDefault="009C0B88" w:rsidP="009C0B88">
            <w:pPr>
              <w:autoSpaceDE w:val="0"/>
              <w:autoSpaceDN w:val="0"/>
              <w:adjustRightInd w:val="0"/>
              <w:jc w:val="center"/>
              <w:rPr>
                <w:color w:val="000000"/>
              </w:rPr>
            </w:pPr>
            <w:r w:rsidRPr="00977AA8">
              <w:rPr>
                <w:color w:val="000000"/>
              </w:rPr>
              <w:t>45</w:t>
            </w:r>
          </w:p>
        </w:tc>
        <w:tc>
          <w:tcPr>
            <w:tcW w:w="1463" w:type="dxa"/>
            <w:vAlign w:val="center"/>
          </w:tcPr>
          <w:p w:rsidR="009C0B88" w:rsidRPr="00977AA8" w:rsidRDefault="009C0B88" w:rsidP="009C0B88">
            <w:pPr>
              <w:autoSpaceDE w:val="0"/>
              <w:autoSpaceDN w:val="0"/>
              <w:adjustRightInd w:val="0"/>
              <w:jc w:val="center"/>
              <w:rPr>
                <w:color w:val="000000"/>
              </w:rPr>
            </w:pPr>
            <w:r w:rsidRPr="00977AA8">
              <w:rPr>
                <w:color w:val="000000"/>
              </w:rPr>
              <w:t>42</w:t>
            </w:r>
          </w:p>
        </w:tc>
        <w:tc>
          <w:tcPr>
            <w:tcW w:w="1462" w:type="dxa"/>
            <w:vAlign w:val="center"/>
          </w:tcPr>
          <w:p w:rsidR="009C0B88" w:rsidRPr="00977AA8" w:rsidRDefault="009C0B88" w:rsidP="009C0B88">
            <w:pPr>
              <w:autoSpaceDE w:val="0"/>
              <w:autoSpaceDN w:val="0"/>
              <w:adjustRightInd w:val="0"/>
              <w:jc w:val="center"/>
              <w:rPr>
                <w:color w:val="000000"/>
              </w:rPr>
            </w:pPr>
            <w:r w:rsidRPr="00977AA8">
              <w:rPr>
                <w:color w:val="000000"/>
              </w:rPr>
              <w:t>60</w:t>
            </w:r>
          </w:p>
        </w:tc>
        <w:tc>
          <w:tcPr>
            <w:tcW w:w="1463" w:type="dxa"/>
            <w:vAlign w:val="center"/>
          </w:tcPr>
          <w:p w:rsidR="009C0B88" w:rsidRPr="00977AA8" w:rsidRDefault="009C0B88" w:rsidP="009C0B88">
            <w:pPr>
              <w:autoSpaceDE w:val="0"/>
              <w:autoSpaceDN w:val="0"/>
              <w:adjustRightInd w:val="0"/>
              <w:jc w:val="center"/>
              <w:rPr>
                <w:color w:val="000000"/>
              </w:rPr>
            </w:pPr>
            <w:r w:rsidRPr="00977AA8">
              <w:rPr>
                <w:color w:val="000000"/>
              </w:rPr>
              <w:t>78</w:t>
            </w:r>
          </w:p>
        </w:tc>
      </w:tr>
      <w:tr w:rsidR="009C0B88" w:rsidRPr="00977AA8">
        <w:trPr>
          <w:trHeight w:val="259"/>
        </w:trPr>
        <w:tc>
          <w:tcPr>
            <w:tcW w:w="3360" w:type="dxa"/>
          </w:tcPr>
          <w:p w:rsidR="009C0B88" w:rsidRPr="00977AA8" w:rsidRDefault="009C0B88" w:rsidP="009C0B88">
            <w:pPr>
              <w:autoSpaceDE w:val="0"/>
              <w:autoSpaceDN w:val="0"/>
              <w:adjustRightInd w:val="0"/>
              <w:rPr>
                <w:color w:val="000000"/>
              </w:rPr>
            </w:pPr>
            <w:r w:rsidRPr="00977AA8">
              <w:rPr>
                <w:color w:val="000000"/>
              </w:rPr>
              <w:t>IEA Latin America</w:t>
            </w:r>
          </w:p>
        </w:tc>
        <w:tc>
          <w:tcPr>
            <w:tcW w:w="1462" w:type="dxa"/>
            <w:vAlign w:val="center"/>
          </w:tcPr>
          <w:p w:rsidR="009C0B88" w:rsidRPr="00977AA8" w:rsidRDefault="009C0B88" w:rsidP="009C0B88">
            <w:pPr>
              <w:autoSpaceDE w:val="0"/>
              <w:autoSpaceDN w:val="0"/>
              <w:adjustRightInd w:val="0"/>
              <w:jc w:val="center"/>
              <w:rPr>
                <w:color w:val="000000"/>
              </w:rPr>
            </w:pPr>
          </w:p>
        </w:tc>
        <w:tc>
          <w:tcPr>
            <w:tcW w:w="1463" w:type="dxa"/>
            <w:vAlign w:val="center"/>
          </w:tcPr>
          <w:p w:rsidR="009C0B88" w:rsidRPr="00977AA8" w:rsidRDefault="009C0B88" w:rsidP="009C0B88">
            <w:pPr>
              <w:autoSpaceDE w:val="0"/>
              <w:autoSpaceDN w:val="0"/>
              <w:adjustRightInd w:val="0"/>
              <w:jc w:val="center"/>
              <w:rPr>
                <w:color w:val="000000"/>
              </w:rPr>
            </w:pPr>
          </w:p>
        </w:tc>
        <w:tc>
          <w:tcPr>
            <w:tcW w:w="1462" w:type="dxa"/>
            <w:vAlign w:val="center"/>
          </w:tcPr>
          <w:p w:rsidR="009C0B88" w:rsidRPr="00977AA8" w:rsidRDefault="009C0B88" w:rsidP="009C0B88">
            <w:pPr>
              <w:autoSpaceDE w:val="0"/>
              <w:autoSpaceDN w:val="0"/>
              <w:adjustRightInd w:val="0"/>
              <w:jc w:val="center"/>
              <w:rPr>
                <w:color w:val="000000"/>
              </w:rPr>
            </w:pPr>
          </w:p>
        </w:tc>
        <w:tc>
          <w:tcPr>
            <w:tcW w:w="1463" w:type="dxa"/>
            <w:vAlign w:val="center"/>
          </w:tcPr>
          <w:p w:rsidR="009C0B88" w:rsidRPr="00977AA8" w:rsidRDefault="009C0B88" w:rsidP="009C0B88">
            <w:pPr>
              <w:autoSpaceDE w:val="0"/>
              <w:autoSpaceDN w:val="0"/>
              <w:adjustRightInd w:val="0"/>
              <w:jc w:val="center"/>
              <w:rPr>
                <w:color w:val="000000"/>
              </w:rPr>
            </w:pPr>
          </w:p>
        </w:tc>
      </w:tr>
      <w:tr w:rsidR="009C0B88" w:rsidRPr="00977AA8">
        <w:trPr>
          <w:trHeight w:val="259"/>
        </w:trPr>
        <w:tc>
          <w:tcPr>
            <w:tcW w:w="3360" w:type="dxa"/>
          </w:tcPr>
          <w:p w:rsidR="009C0B88" w:rsidRPr="00977AA8" w:rsidRDefault="009C0B88" w:rsidP="009C0B88">
            <w:pPr>
              <w:autoSpaceDE w:val="0"/>
              <w:autoSpaceDN w:val="0"/>
              <w:adjustRightInd w:val="0"/>
              <w:rPr>
                <w:color w:val="000000"/>
              </w:rPr>
            </w:pPr>
            <w:r>
              <w:rPr>
                <w:color w:val="000000"/>
              </w:rPr>
              <w:t xml:space="preserve"> </w:t>
            </w:r>
            <w:r w:rsidRPr="00977AA8">
              <w:rPr>
                <w:color w:val="000000"/>
              </w:rPr>
              <w:t xml:space="preserve"> IEA WEO2011 New Policies</w:t>
            </w:r>
          </w:p>
        </w:tc>
        <w:tc>
          <w:tcPr>
            <w:tcW w:w="1462" w:type="dxa"/>
            <w:vAlign w:val="center"/>
          </w:tcPr>
          <w:p w:rsidR="009C0B88" w:rsidRPr="00977AA8" w:rsidRDefault="009C0B88" w:rsidP="009C0B88">
            <w:pPr>
              <w:autoSpaceDE w:val="0"/>
              <w:autoSpaceDN w:val="0"/>
              <w:adjustRightInd w:val="0"/>
              <w:jc w:val="center"/>
              <w:rPr>
                <w:color w:val="000000"/>
              </w:rPr>
            </w:pPr>
            <w:r w:rsidRPr="00977AA8">
              <w:rPr>
                <w:color w:val="000000"/>
              </w:rPr>
              <w:t>93</w:t>
            </w:r>
          </w:p>
        </w:tc>
        <w:tc>
          <w:tcPr>
            <w:tcW w:w="1463" w:type="dxa"/>
            <w:vAlign w:val="center"/>
          </w:tcPr>
          <w:p w:rsidR="009C0B88" w:rsidRPr="00977AA8" w:rsidRDefault="009C0B88" w:rsidP="009C0B88">
            <w:pPr>
              <w:autoSpaceDE w:val="0"/>
              <w:autoSpaceDN w:val="0"/>
              <w:adjustRightInd w:val="0"/>
              <w:jc w:val="center"/>
              <w:rPr>
                <w:color w:val="000000"/>
              </w:rPr>
            </w:pPr>
          </w:p>
        </w:tc>
        <w:tc>
          <w:tcPr>
            <w:tcW w:w="1462" w:type="dxa"/>
            <w:vAlign w:val="center"/>
          </w:tcPr>
          <w:p w:rsidR="009C0B88" w:rsidRPr="00977AA8" w:rsidRDefault="009C0B88" w:rsidP="009C0B88">
            <w:pPr>
              <w:autoSpaceDE w:val="0"/>
              <w:autoSpaceDN w:val="0"/>
              <w:adjustRightInd w:val="0"/>
              <w:jc w:val="center"/>
              <w:rPr>
                <w:color w:val="000000"/>
              </w:rPr>
            </w:pPr>
            <w:r w:rsidRPr="00977AA8">
              <w:rPr>
                <w:color w:val="000000"/>
              </w:rPr>
              <w:t>98</w:t>
            </w:r>
          </w:p>
        </w:tc>
        <w:tc>
          <w:tcPr>
            <w:tcW w:w="1463" w:type="dxa"/>
            <w:vAlign w:val="center"/>
          </w:tcPr>
          <w:p w:rsidR="009C0B88" w:rsidRPr="00977AA8" w:rsidRDefault="009C0B88" w:rsidP="009C0B88">
            <w:pPr>
              <w:autoSpaceDE w:val="0"/>
              <w:autoSpaceDN w:val="0"/>
              <w:adjustRightInd w:val="0"/>
              <w:jc w:val="center"/>
              <w:rPr>
                <w:color w:val="000000"/>
              </w:rPr>
            </w:pPr>
          </w:p>
        </w:tc>
      </w:tr>
      <w:tr w:rsidR="009C0B88" w:rsidRPr="00977AA8">
        <w:trPr>
          <w:trHeight w:val="259"/>
        </w:trPr>
        <w:tc>
          <w:tcPr>
            <w:tcW w:w="3360" w:type="dxa"/>
          </w:tcPr>
          <w:p w:rsidR="009C0B88" w:rsidRPr="00977AA8" w:rsidRDefault="009C0B88" w:rsidP="009C0B88">
            <w:pPr>
              <w:autoSpaceDE w:val="0"/>
              <w:autoSpaceDN w:val="0"/>
              <w:adjustRightInd w:val="0"/>
              <w:rPr>
                <w:color w:val="000000"/>
              </w:rPr>
            </w:pPr>
            <w:r>
              <w:rPr>
                <w:color w:val="000000"/>
              </w:rPr>
              <w:t xml:space="preserve"> </w:t>
            </w:r>
            <w:r w:rsidRPr="00977AA8">
              <w:rPr>
                <w:color w:val="000000"/>
              </w:rPr>
              <w:t xml:space="preserve"> Gordon Hughes</w:t>
            </w:r>
          </w:p>
        </w:tc>
        <w:tc>
          <w:tcPr>
            <w:tcW w:w="1462" w:type="dxa"/>
            <w:vAlign w:val="center"/>
          </w:tcPr>
          <w:p w:rsidR="009C0B88" w:rsidRPr="00977AA8" w:rsidRDefault="009C0B88" w:rsidP="009C0B88">
            <w:pPr>
              <w:autoSpaceDE w:val="0"/>
              <w:autoSpaceDN w:val="0"/>
              <w:adjustRightInd w:val="0"/>
              <w:jc w:val="center"/>
              <w:rPr>
                <w:color w:val="000000"/>
              </w:rPr>
            </w:pPr>
          </w:p>
        </w:tc>
        <w:tc>
          <w:tcPr>
            <w:tcW w:w="1463" w:type="dxa"/>
            <w:vAlign w:val="center"/>
          </w:tcPr>
          <w:p w:rsidR="009C0B88" w:rsidRPr="00977AA8" w:rsidRDefault="009C0B88" w:rsidP="009C0B88">
            <w:pPr>
              <w:autoSpaceDE w:val="0"/>
              <w:autoSpaceDN w:val="0"/>
              <w:adjustRightInd w:val="0"/>
              <w:jc w:val="center"/>
              <w:rPr>
                <w:color w:val="000000"/>
              </w:rPr>
            </w:pPr>
            <w:r w:rsidRPr="00977AA8">
              <w:rPr>
                <w:color w:val="000000"/>
              </w:rPr>
              <w:t>93</w:t>
            </w:r>
          </w:p>
        </w:tc>
        <w:tc>
          <w:tcPr>
            <w:tcW w:w="1462" w:type="dxa"/>
            <w:vAlign w:val="center"/>
          </w:tcPr>
          <w:p w:rsidR="009C0B88" w:rsidRPr="00977AA8" w:rsidRDefault="009C0B88" w:rsidP="009C0B88">
            <w:pPr>
              <w:autoSpaceDE w:val="0"/>
              <w:autoSpaceDN w:val="0"/>
              <w:adjustRightInd w:val="0"/>
              <w:jc w:val="center"/>
              <w:rPr>
                <w:color w:val="000000"/>
              </w:rPr>
            </w:pPr>
            <w:r w:rsidRPr="00977AA8">
              <w:rPr>
                <w:color w:val="000000"/>
              </w:rPr>
              <w:t>98</w:t>
            </w:r>
          </w:p>
        </w:tc>
        <w:tc>
          <w:tcPr>
            <w:tcW w:w="1463" w:type="dxa"/>
            <w:vAlign w:val="center"/>
          </w:tcPr>
          <w:p w:rsidR="009C0B88" w:rsidRPr="00977AA8" w:rsidRDefault="009C0B88" w:rsidP="009C0B88">
            <w:pPr>
              <w:autoSpaceDE w:val="0"/>
              <w:autoSpaceDN w:val="0"/>
              <w:adjustRightInd w:val="0"/>
              <w:jc w:val="center"/>
              <w:rPr>
                <w:color w:val="000000"/>
              </w:rPr>
            </w:pPr>
            <w:r w:rsidRPr="00977AA8">
              <w:rPr>
                <w:color w:val="000000"/>
              </w:rPr>
              <w:t>99</w:t>
            </w:r>
          </w:p>
        </w:tc>
      </w:tr>
      <w:tr w:rsidR="009C0B88" w:rsidRPr="00977AA8">
        <w:trPr>
          <w:trHeight w:val="259"/>
        </w:trPr>
        <w:tc>
          <w:tcPr>
            <w:tcW w:w="3360" w:type="dxa"/>
          </w:tcPr>
          <w:p w:rsidR="009C0B88" w:rsidRPr="00977AA8" w:rsidRDefault="009C0B88" w:rsidP="009C0B88">
            <w:pPr>
              <w:autoSpaceDE w:val="0"/>
              <w:autoSpaceDN w:val="0"/>
              <w:adjustRightInd w:val="0"/>
              <w:rPr>
                <w:color w:val="000000"/>
              </w:rPr>
            </w:pPr>
            <w:r>
              <w:rPr>
                <w:color w:val="000000"/>
              </w:rPr>
              <w:t xml:space="preserve"> </w:t>
            </w:r>
            <w:r w:rsidRPr="00977AA8">
              <w:rPr>
                <w:color w:val="000000"/>
              </w:rPr>
              <w:t xml:space="preserve"> IFs</w:t>
            </w:r>
            <w:r>
              <w:rPr>
                <w:color w:val="000000"/>
              </w:rPr>
              <w:t xml:space="preserve"> base case</w:t>
            </w:r>
          </w:p>
        </w:tc>
        <w:tc>
          <w:tcPr>
            <w:tcW w:w="1462" w:type="dxa"/>
            <w:vAlign w:val="center"/>
          </w:tcPr>
          <w:p w:rsidR="009C0B88" w:rsidRPr="00977AA8" w:rsidRDefault="009C0B88" w:rsidP="009C0B88">
            <w:pPr>
              <w:autoSpaceDE w:val="0"/>
              <w:autoSpaceDN w:val="0"/>
              <w:adjustRightInd w:val="0"/>
              <w:jc w:val="center"/>
              <w:rPr>
                <w:color w:val="000000"/>
              </w:rPr>
            </w:pPr>
            <w:r w:rsidRPr="00977AA8">
              <w:rPr>
                <w:color w:val="000000"/>
              </w:rPr>
              <w:t>93</w:t>
            </w:r>
          </w:p>
        </w:tc>
        <w:tc>
          <w:tcPr>
            <w:tcW w:w="1463" w:type="dxa"/>
            <w:vAlign w:val="center"/>
          </w:tcPr>
          <w:p w:rsidR="009C0B88" w:rsidRPr="00977AA8" w:rsidRDefault="009C0B88" w:rsidP="009C0B88">
            <w:pPr>
              <w:autoSpaceDE w:val="0"/>
              <w:autoSpaceDN w:val="0"/>
              <w:adjustRightInd w:val="0"/>
              <w:jc w:val="center"/>
              <w:rPr>
                <w:color w:val="000000"/>
              </w:rPr>
            </w:pPr>
            <w:r w:rsidRPr="00977AA8">
              <w:rPr>
                <w:color w:val="000000"/>
              </w:rPr>
              <w:t>94</w:t>
            </w:r>
          </w:p>
        </w:tc>
        <w:tc>
          <w:tcPr>
            <w:tcW w:w="1462" w:type="dxa"/>
            <w:vAlign w:val="center"/>
          </w:tcPr>
          <w:p w:rsidR="009C0B88" w:rsidRPr="00977AA8" w:rsidRDefault="009C0B88" w:rsidP="009C0B88">
            <w:pPr>
              <w:autoSpaceDE w:val="0"/>
              <w:autoSpaceDN w:val="0"/>
              <w:adjustRightInd w:val="0"/>
              <w:jc w:val="center"/>
              <w:rPr>
                <w:color w:val="000000"/>
              </w:rPr>
            </w:pPr>
            <w:r w:rsidRPr="00977AA8">
              <w:rPr>
                <w:color w:val="000000"/>
              </w:rPr>
              <w:t>97</w:t>
            </w:r>
          </w:p>
        </w:tc>
        <w:tc>
          <w:tcPr>
            <w:tcW w:w="1463" w:type="dxa"/>
            <w:vAlign w:val="center"/>
          </w:tcPr>
          <w:p w:rsidR="009C0B88" w:rsidRPr="00977AA8" w:rsidRDefault="009C0B88" w:rsidP="009C0B88">
            <w:pPr>
              <w:autoSpaceDE w:val="0"/>
              <w:autoSpaceDN w:val="0"/>
              <w:adjustRightInd w:val="0"/>
              <w:jc w:val="center"/>
              <w:rPr>
                <w:color w:val="000000"/>
              </w:rPr>
            </w:pPr>
            <w:r w:rsidRPr="00977AA8">
              <w:rPr>
                <w:color w:val="000000"/>
              </w:rPr>
              <w:t>99</w:t>
            </w:r>
          </w:p>
        </w:tc>
      </w:tr>
      <w:tr w:rsidR="009C0B88" w:rsidRPr="00977AA8">
        <w:trPr>
          <w:trHeight w:val="259"/>
        </w:trPr>
        <w:tc>
          <w:tcPr>
            <w:tcW w:w="3360" w:type="dxa"/>
          </w:tcPr>
          <w:p w:rsidR="009C0B88" w:rsidRPr="00977AA8" w:rsidRDefault="009C0B88" w:rsidP="009C0B88">
            <w:pPr>
              <w:autoSpaceDE w:val="0"/>
              <w:autoSpaceDN w:val="0"/>
              <w:adjustRightInd w:val="0"/>
              <w:rPr>
                <w:color w:val="000000"/>
              </w:rPr>
            </w:pPr>
            <w:r w:rsidRPr="00977AA8">
              <w:rPr>
                <w:color w:val="000000"/>
              </w:rPr>
              <w:t>IEA Middle East</w:t>
            </w:r>
          </w:p>
        </w:tc>
        <w:tc>
          <w:tcPr>
            <w:tcW w:w="1462" w:type="dxa"/>
            <w:vAlign w:val="center"/>
          </w:tcPr>
          <w:p w:rsidR="009C0B88" w:rsidRPr="00977AA8" w:rsidRDefault="009C0B88" w:rsidP="009C0B88">
            <w:pPr>
              <w:autoSpaceDE w:val="0"/>
              <w:autoSpaceDN w:val="0"/>
              <w:adjustRightInd w:val="0"/>
              <w:jc w:val="center"/>
              <w:rPr>
                <w:color w:val="000000"/>
              </w:rPr>
            </w:pPr>
          </w:p>
        </w:tc>
        <w:tc>
          <w:tcPr>
            <w:tcW w:w="1463" w:type="dxa"/>
            <w:vAlign w:val="center"/>
          </w:tcPr>
          <w:p w:rsidR="009C0B88" w:rsidRPr="00977AA8" w:rsidRDefault="009C0B88" w:rsidP="009C0B88">
            <w:pPr>
              <w:autoSpaceDE w:val="0"/>
              <w:autoSpaceDN w:val="0"/>
              <w:adjustRightInd w:val="0"/>
              <w:jc w:val="center"/>
              <w:rPr>
                <w:color w:val="000000"/>
              </w:rPr>
            </w:pPr>
          </w:p>
        </w:tc>
        <w:tc>
          <w:tcPr>
            <w:tcW w:w="1462" w:type="dxa"/>
            <w:vAlign w:val="center"/>
          </w:tcPr>
          <w:p w:rsidR="009C0B88" w:rsidRPr="00977AA8" w:rsidRDefault="009C0B88" w:rsidP="009C0B88">
            <w:pPr>
              <w:autoSpaceDE w:val="0"/>
              <w:autoSpaceDN w:val="0"/>
              <w:adjustRightInd w:val="0"/>
              <w:jc w:val="center"/>
              <w:rPr>
                <w:color w:val="000000"/>
              </w:rPr>
            </w:pPr>
          </w:p>
        </w:tc>
        <w:tc>
          <w:tcPr>
            <w:tcW w:w="1463" w:type="dxa"/>
            <w:vAlign w:val="center"/>
          </w:tcPr>
          <w:p w:rsidR="009C0B88" w:rsidRPr="00977AA8" w:rsidRDefault="009C0B88" w:rsidP="009C0B88">
            <w:pPr>
              <w:autoSpaceDE w:val="0"/>
              <w:autoSpaceDN w:val="0"/>
              <w:adjustRightInd w:val="0"/>
              <w:jc w:val="center"/>
              <w:rPr>
                <w:color w:val="000000"/>
              </w:rPr>
            </w:pPr>
          </w:p>
        </w:tc>
      </w:tr>
      <w:tr w:rsidR="009C0B88" w:rsidRPr="00977AA8">
        <w:trPr>
          <w:trHeight w:val="259"/>
        </w:trPr>
        <w:tc>
          <w:tcPr>
            <w:tcW w:w="3360" w:type="dxa"/>
          </w:tcPr>
          <w:p w:rsidR="009C0B88" w:rsidRPr="00977AA8" w:rsidRDefault="009C0B88" w:rsidP="009C0B88">
            <w:pPr>
              <w:autoSpaceDE w:val="0"/>
              <w:autoSpaceDN w:val="0"/>
              <w:adjustRightInd w:val="0"/>
              <w:rPr>
                <w:color w:val="000000"/>
              </w:rPr>
            </w:pPr>
            <w:r>
              <w:rPr>
                <w:color w:val="000000"/>
              </w:rPr>
              <w:t xml:space="preserve"> </w:t>
            </w:r>
            <w:r w:rsidRPr="00977AA8">
              <w:rPr>
                <w:color w:val="000000"/>
              </w:rPr>
              <w:t xml:space="preserve"> IEA WEO2011 New Policies</w:t>
            </w:r>
          </w:p>
        </w:tc>
        <w:tc>
          <w:tcPr>
            <w:tcW w:w="1462" w:type="dxa"/>
            <w:vAlign w:val="center"/>
          </w:tcPr>
          <w:p w:rsidR="009C0B88" w:rsidRPr="00977AA8" w:rsidRDefault="009C0B88" w:rsidP="009C0B88">
            <w:pPr>
              <w:autoSpaceDE w:val="0"/>
              <w:autoSpaceDN w:val="0"/>
              <w:adjustRightInd w:val="0"/>
              <w:jc w:val="center"/>
              <w:rPr>
                <w:color w:val="000000"/>
              </w:rPr>
            </w:pPr>
            <w:r w:rsidRPr="00977AA8">
              <w:rPr>
                <w:color w:val="000000"/>
              </w:rPr>
              <w:t>89</w:t>
            </w:r>
          </w:p>
        </w:tc>
        <w:tc>
          <w:tcPr>
            <w:tcW w:w="1463" w:type="dxa"/>
            <w:vAlign w:val="center"/>
          </w:tcPr>
          <w:p w:rsidR="009C0B88" w:rsidRPr="00977AA8" w:rsidRDefault="009C0B88" w:rsidP="009C0B88">
            <w:pPr>
              <w:autoSpaceDE w:val="0"/>
              <w:autoSpaceDN w:val="0"/>
              <w:adjustRightInd w:val="0"/>
              <w:jc w:val="center"/>
              <w:rPr>
                <w:color w:val="000000"/>
              </w:rPr>
            </w:pPr>
          </w:p>
        </w:tc>
        <w:tc>
          <w:tcPr>
            <w:tcW w:w="1462" w:type="dxa"/>
            <w:vAlign w:val="center"/>
          </w:tcPr>
          <w:p w:rsidR="009C0B88" w:rsidRPr="00977AA8" w:rsidRDefault="009C0B88" w:rsidP="009C0B88">
            <w:pPr>
              <w:autoSpaceDE w:val="0"/>
              <w:autoSpaceDN w:val="0"/>
              <w:adjustRightInd w:val="0"/>
              <w:jc w:val="center"/>
              <w:rPr>
                <w:color w:val="000000"/>
              </w:rPr>
            </w:pPr>
            <w:r w:rsidRPr="00977AA8">
              <w:rPr>
                <w:color w:val="000000"/>
              </w:rPr>
              <w:t>98</w:t>
            </w:r>
          </w:p>
        </w:tc>
        <w:tc>
          <w:tcPr>
            <w:tcW w:w="1463" w:type="dxa"/>
            <w:vAlign w:val="center"/>
          </w:tcPr>
          <w:p w:rsidR="009C0B88" w:rsidRPr="00977AA8" w:rsidRDefault="009C0B88" w:rsidP="009C0B88">
            <w:pPr>
              <w:autoSpaceDE w:val="0"/>
              <w:autoSpaceDN w:val="0"/>
              <w:adjustRightInd w:val="0"/>
              <w:jc w:val="center"/>
              <w:rPr>
                <w:color w:val="000000"/>
              </w:rPr>
            </w:pPr>
          </w:p>
        </w:tc>
      </w:tr>
      <w:tr w:rsidR="009C0B88" w:rsidRPr="00977AA8">
        <w:trPr>
          <w:trHeight w:val="259"/>
        </w:trPr>
        <w:tc>
          <w:tcPr>
            <w:tcW w:w="3360" w:type="dxa"/>
          </w:tcPr>
          <w:p w:rsidR="009C0B88" w:rsidRPr="00977AA8" w:rsidRDefault="009C0B88" w:rsidP="009C0B88">
            <w:pPr>
              <w:autoSpaceDE w:val="0"/>
              <w:autoSpaceDN w:val="0"/>
              <w:adjustRightInd w:val="0"/>
              <w:rPr>
                <w:color w:val="000000"/>
              </w:rPr>
            </w:pPr>
            <w:r>
              <w:rPr>
                <w:color w:val="000000"/>
              </w:rPr>
              <w:t xml:space="preserve"> </w:t>
            </w:r>
            <w:r w:rsidRPr="00977AA8">
              <w:rPr>
                <w:color w:val="000000"/>
              </w:rPr>
              <w:t xml:space="preserve"> Gordon Hughes</w:t>
            </w:r>
          </w:p>
        </w:tc>
        <w:tc>
          <w:tcPr>
            <w:tcW w:w="1462" w:type="dxa"/>
            <w:vAlign w:val="center"/>
          </w:tcPr>
          <w:p w:rsidR="009C0B88" w:rsidRPr="00977AA8" w:rsidRDefault="009C0B88" w:rsidP="009C0B88">
            <w:pPr>
              <w:autoSpaceDE w:val="0"/>
              <w:autoSpaceDN w:val="0"/>
              <w:adjustRightInd w:val="0"/>
              <w:jc w:val="center"/>
              <w:rPr>
                <w:color w:val="000000"/>
              </w:rPr>
            </w:pPr>
          </w:p>
        </w:tc>
        <w:tc>
          <w:tcPr>
            <w:tcW w:w="1463" w:type="dxa"/>
            <w:vAlign w:val="center"/>
          </w:tcPr>
          <w:p w:rsidR="009C0B88" w:rsidRPr="00977AA8" w:rsidRDefault="009C0B88" w:rsidP="009C0B88">
            <w:pPr>
              <w:autoSpaceDE w:val="0"/>
              <w:autoSpaceDN w:val="0"/>
              <w:adjustRightInd w:val="0"/>
              <w:jc w:val="center"/>
              <w:rPr>
                <w:color w:val="000000"/>
              </w:rPr>
            </w:pPr>
            <w:r w:rsidRPr="00977AA8">
              <w:rPr>
                <w:color w:val="000000"/>
              </w:rPr>
              <w:t>98</w:t>
            </w:r>
          </w:p>
        </w:tc>
        <w:tc>
          <w:tcPr>
            <w:tcW w:w="1462" w:type="dxa"/>
            <w:vAlign w:val="center"/>
          </w:tcPr>
          <w:p w:rsidR="009C0B88" w:rsidRPr="00977AA8" w:rsidRDefault="009C0B88" w:rsidP="009C0B88">
            <w:pPr>
              <w:autoSpaceDE w:val="0"/>
              <w:autoSpaceDN w:val="0"/>
              <w:adjustRightInd w:val="0"/>
              <w:jc w:val="center"/>
              <w:rPr>
                <w:color w:val="000000"/>
              </w:rPr>
            </w:pPr>
            <w:r w:rsidRPr="00977AA8">
              <w:rPr>
                <w:color w:val="000000"/>
              </w:rPr>
              <w:t>100</w:t>
            </w:r>
          </w:p>
        </w:tc>
        <w:tc>
          <w:tcPr>
            <w:tcW w:w="1463" w:type="dxa"/>
            <w:vAlign w:val="center"/>
          </w:tcPr>
          <w:p w:rsidR="009C0B88" w:rsidRPr="00977AA8" w:rsidRDefault="009C0B88" w:rsidP="009C0B88">
            <w:pPr>
              <w:autoSpaceDE w:val="0"/>
              <w:autoSpaceDN w:val="0"/>
              <w:adjustRightInd w:val="0"/>
              <w:jc w:val="center"/>
              <w:rPr>
                <w:color w:val="000000"/>
              </w:rPr>
            </w:pPr>
            <w:r w:rsidRPr="00977AA8">
              <w:rPr>
                <w:color w:val="000000"/>
              </w:rPr>
              <w:t>100</w:t>
            </w:r>
          </w:p>
        </w:tc>
      </w:tr>
      <w:tr w:rsidR="009C0B88" w:rsidRPr="00977AA8">
        <w:trPr>
          <w:trHeight w:val="259"/>
        </w:trPr>
        <w:tc>
          <w:tcPr>
            <w:tcW w:w="3360" w:type="dxa"/>
          </w:tcPr>
          <w:p w:rsidR="009C0B88" w:rsidRPr="00977AA8" w:rsidRDefault="009C0B88" w:rsidP="009C0B88">
            <w:pPr>
              <w:autoSpaceDE w:val="0"/>
              <w:autoSpaceDN w:val="0"/>
              <w:adjustRightInd w:val="0"/>
              <w:rPr>
                <w:color w:val="000000"/>
              </w:rPr>
            </w:pPr>
            <w:r>
              <w:rPr>
                <w:color w:val="000000"/>
              </w:rPr>
              <w:t xml:space="preserve"> </w:t>
            </w:r>
            <w:r w:rsidRPr="00977AA8">
              <w:rPr>
                <w:color w:val="000000"/>
              </w:rPr>
              <w:t xml:space="preserve"> IFs</w:t>
            </w:r>
            <w:r>
              <w:rPr>
                <w:color w:val="000000"/>
              </w:rPr>
              <w:t xml:space="preserve"> base case</w:t>
            </w:r>
          </w:p>
        </w:tc>
        <w:tc>
          <w:tcPr>
            <w:tcW w:w="1462" w:type="dxa"/>
            <w:vAlign w:val="center"/>
          </w:tcPr>
          <w:p w:rsidR="009C0B88" w:rsidRPr="00977AA8" w:rsidRDefault="009C0B88" w:rsidP="009C0B88">
            <w:pPr>
              <w:autoSpaceDE w:val="0"/>
              <w:autoSpaceDN w:val="0"/>
              <w:adjustRightInd w:val="0"/>
              <w:jc w:val="center"/>
              <w:rPr>
                <w:color w:val="000000"/>
              </w:rPr>
            </w:pPr>
            <w:r w:rsidRPr="00977AA8">
              <w:rPr>
                <w:color w:val="000000"/>
              </w:rPr>
              <w:t>92</w:t>
            </w:r>
          </w:p>
        </w:tc>
        <w:tc>
          <w:tcPr>
            <w:tcW w:w="1463" w:type="dxa"/>
            <w:vAlign w:val="center"/>
          </w:tcPr>
          <w:p w:rsidR="009C0B88" w:rsidRPr="00977AA8" w:rsidRDefault="009C0B88" w:rsidP="009C0B88">
            <w:pPr>
              <w:autoSpaceDE w:val="0"/>
              <w:autoSpaceDN w:val="0"/>
              <w:adjustRightInd w:val="0"/>
              <w:jc w:val="center"/>
              <w:rPr>
                <w:color w:val="000000"/>
              </w:rPr>
            </w:pPr>
            <w:r w:rsidRPr="00977AA8">
              <w:rPr>
                <w:color w:val="000000"/>
              </w:rPr>
              <w:t>93</w:t>
            </w:r>
          </w:p>
        </w:tc>
        <w:tc>
          <w:tcPr>
            <w:tcW w:w="1462" w:type="dxa"/>
            <w:vAlign w:val="center"/>
          </w:tcPr>
          <w:p w:rsidR="009C0B88" w:rsidRPr="00977AA8" w:rsidRDefault="009C0B88" w:rsidP="009C0B88">
            <w:pPr>
              <w:autoSpaceDE w:val="0"/>
              <w:autoSpaceDN w:val="0"/>
              <w:adjustRightInd w:val="0"/>
              <w:jc w:val="center"/>
              <w:rPr>
                <w:color w:val="000000"/>
              </w:rPr>
            </w:pPr>
            <w:r w:rsidRPr="00977AA8">
              <w:rPr>
                <w:color w:val="000000"/>
              </w:rPr>
              <w:t>95</w:t>
            </w:r>
          </w:p>
        </w:tc>
        <w:tc>
          <w:tcPr>
            <w:tcW w:w="1463" w:type="dxa"/>
            <w:vAlign w:val="center"/>
          </w:tcPr>
          <w:p w:rsidR="009C0B88" w:rsidRPr="00977AA8" w:rsidRDefault="009C0B88" w:rsidP="009C0B88">
            <w:pPr>
              <w:autoSpaceDE w:val="0"/>
              <w:autoSpaceDN w:val="0"/>
              <w:adjustRightInd w:val="0"/>
              <w:jc w:val="center"/>
              <w:rPr>
                <w:color w:val="000000"/>
              </w:rPr>
            </w:pPr>
            <w:r w:rsidRPr="00977AA8">
              <w:rPr>
                <w:color w:val="000000"/>
              </w:rPr>
              <w:t>97</w:t>
            </w:r>
          </w:p>
        </w:tc>
      </w:tr>
      <w:tr w:rsidR="009C0B88" w:rsidRPr="00977AA8">
        <w:trPr>
          <w:trHeight w:val="259"/>
        </w:trPr>
        <w:tc>
          <w:tcPr>
            <w:tcW w:w="3360" w:type="dxa"/>
          </w:tcPr>
          <w:p w:rsidR="009C0B88" w:rsidRPr="00977AA8" w:rsidRDefault="009C0B88" w:rsidP="009C0B88">
            <w:pPr>
              <w:autoSpaceDE w:val="0"/>
              <w:autoSpaceDN w:val="0"/>
              <w:adjustRightInd w:val="0"/>
              <w:rPr>
                <w:color w:val="000000"/>
              </w:rPr>
            </w:pPr>
            <w:r w:rsidRPr="00977AA8">
              <w:rPr>
                <w:color w:val="000000"/>
              </w:rPr>
              <w:t>IEA Non-OECD Asia</w:t>
            </w:r>
          </w:p>
        </w:tc>
        <w:tc>
          <w:tcPr>
            <w:tcW w:w="1462" w:type="dxa"/>
            <w:vAlign w:val="center"/>
          </w:tcPr>
          <w:p w:rsidR="009C0B88" w:rsidRPr="00977AA8" w:rsidRDefault="009C0B88" w:rsidP="009C0B88">
            <w:pPr>
              <w:autoSpaceDE w:val="0"/>
              <w:autoSpaceDN w:val="0"/>
              <w:adjustRightInd w:val="0"/>
              <w:jc w:val="center"/>
              <w:rPr>
                <w:color w:val="000000"/>
              </w:rPr>
            </w:pPr>
          </w:p>
        </w:tc>
        <w:tc>
          <w:tcPr>
            <w:tcW w:w="1463" w:type="dxa"/>
            <w:vAlign w:val="center"/>
          </w:tcPr>
          <w:p w:rsidR="009C0B88" w:rsidRPr="00977AA8" w:rsidRDefault="009C0B88" w:rsidP="009C0B88">
            <w:pPr>
              <w:autoSpaceDE w:val="0"/>
              <w:autoSpaceDN w:val="0"/>
              <w:adjustRightInd w:val="0"/>
              <w:jc w:val="center"/>
              <w:rPr>
                <w:color w:val="000000"/>
              </w:rPr>
            </w:pPr>
          </w:p>
        </w:tc>
        <w:tc>
          <w:tcPr>
            <w:tcW w:w="1462" w:type="dxa"/>
            <w:vAlign w:val="center"/>
          </w:tcPr>
          <w:p w:rsidR="009C0B88" w:rsidRPr="00977AA8" w:rsidRDefault="009C0B88" w:rsidP="009C0B88">
            <w:pPr>
              <w:autoSpaceDE w:val="0"/>
              <w:autoSpaceDN w:val="0"/>
              <w:adjustRightInd w:val="0"/>
              <w:jc w:val="center"/>
              <w:rPr>
                <w:color w:val="000000"/>
              </w:rPr>
            </w:pPr>
          </w:p>
        </w:tc>
        <w:tc>
          <w:tcPr>
            <w:tcW w:w="1463" w:type="dxa"/>
            <w:vAlign w:val="center"/>
          </w:tcPr>
          <w:p w:rsidR="009C0B88" w:rsidRPr="00977AA8" w:rsidRDefault="009C0B88" w:rsidP="009C0B88">
            <w:pPr>
              <w:autoSpaceDE w:val="0"/>
              <w:autoSpaceDN w:val="0"/>
              <w:adjustRightInd w:val="0"/>
              <w:jc w:val="center"/>
              <w:rPr>
                <w:color w:val="000000"/>
              </w:rPr>
            </w:pPr>
          </w:p>
        </w:tc>
      </w:tr>
      <w:tr w:rsidR="009C0B88" w:rsidRPr="00977AA8">
        <w:trPr>
          <w:trHeight w:val="259"/>
        </w:trPr>
        <w:tc>
          <w:tcPr>
            <w:tcW w:w="3360" w:type="dxa"/>
          </w:tcPr>
          <w:p w:rsidR="009C0B88" w:rsidRPr="00977AA8" w:rsidRDefault="009C0B88" w:rsidP="009C0B88">
            <w:pPr>
              <w:autoSpaceDE w:val="0"/>
              <w:autoSpaceDN w:val="0"/>
              <w:adjustRightInd w:val="0"/>
              <w:rPr>
                <w:color w:val="000000"/>
              </w:rPr>
            </w:pPr>
            <w:r>
              <w:rPr>
                <w:color w:val="000000"/>
              </w:rPr>
              <w:t xml:space="preserve"> </w:t>
            </w:r>
            <w:r w:rsidRPr="00977AA8">
              <w:rPr>
                <w:color w:val="000000"/>
              </w:rPr>
              <w:t xml:space="preserve"> IEA WEO2011 New Policies</w:t>
            </w:r>
          </w:p>
        </w:tc>
        <w:tc>
          <w:tcPr>
            <w:tcW w:w="1462" w:type="dxa"/>
            <w:vAlign w:val="center"/>
          </w:tcPr>
          <w:p w:rsidR="009C0B88" w:rsidRPr="00977AA8" w:rsidRDefault="009C0B88" w:rsidP="009C0B88">
            <w:pPr>
              <w:autoSpaceDE w:val="0"/>
              <w:autoSpaceDN w:val="0"/>
              <w:adjustRightInd w:val="0"/>
              <w:jc w:val="center"/>
              <w:rPr>
                <w:color w:val="000000"/>
              </w:rPr>
            </w:pPr>
            <w:r w:rsidRPr="00977AA8">
              <w:rPr>
                <w:color w:val="000000"/>
              </w:rPr>
              <w:t>81</w:t>
            </w:r>
          </w:p>
        </w:tc>
        <w:tc>
          <w:tcPr>
            <w:tcW w:w="1463" w:type="dxa"/>
            <w:vAlign w:val="center"/>
          </w:tcPr>
          <w:p w:rsidR="009C0B88" w:rsidRPr="00977AA8" w:rsidRDefault="009C0B88" w:rsidP="009C0B88">
            <w:pPr>
              <w:autoSpaceDE w:val="0"/>
              <w:autoSpaceDN w:val="0"/>
              <w:adjustRightInd w:val="0"/>
              <w:jc w:val="center"/>
              <w:rPr>
                <w:color w:val="000000"/>
              </w:rPr>
            </w:pPr>
          </w:p>
        </w:tc>
        <w:tc>
          <w:tcPr>
            <w:tcW w:w="1462" w:type="dxa"/>
            <w:vAlign w:val="center"/>
          </w:tcPr>
          <w:p w:rsidR="009C0B88" w:rsidRPr="00977AA8" w:rsidRDefault="009C0B88" w:rsidP="009C0B88">
            <w:pPr>
              <w:autoSpaceDE w:val="0"/>
              <w:autoSpaceDN w:val="0"/>
              <w:adjustRightInd w:val="0"/>
              <w:jc w:val="center"/>
              <w:rPr>
                <w:color w:val="000000"/>
              </w:rPr>
            </w:pPr>
            <w:r w:rsidRPr="00977AA8">
              <w:rPr>
                <w:color w:val="000000"/>
              </w:rPr>
              <w:t>91</w:t>
            </w:r>
          </w:p>
        </w:tc>
        <w:tc>
          <w:tcPr>
            <w:tcW w:w="1463" w:type="dxa"/>
            <w:vAlign w:val="center"/>
          </w:tcPr>
          <w:p w:rsidR="009C0B88" w:rsidRPr="00977AA8" w:rsidRDefault="009C0B88" w:rsidP="009C0B88">
            <w:pPr>
              <w:autoSpaceDE w:val="0"/>
              <w:autoSpaceDN w:val="0"/>
              <w:adjustRightInd w:val="0"/>
              <w:jc w:val="center"/>
              <w:rPr>
                <w:color w:val="000000"/>
              </w:rPr>
            </w:pPr>
          </w:p>
        </w:tc>
      </w:tr>
      <w:tr w:rsidR="009C0B88" w:rsidRPr="00977AA8">
        <w:trPr>
          <w:trHeight w:val="259"/>
        </w:trPr>
        <w:tc>
          <w:tcPr>
            <w:tcW w:w="3360" w:type="dxa"/>
          </w:tcPr>
          <w:p w:rsidR="009C0B88" w:rsidRPr="00977AA8" w:rsidRDefault="009C0B88" w:rsidP="009C0B88">
            <w:pPr>
              <w:autoSpaceDE w:val="0"/>
              <w:autoSpaceDN w:val="0"/>
              <w:adjustRightInd w:val="0"/>
              <w:rPr>
                <w:color w:val="000000"/>
              </w:rPr>
            </w:pPr>
            <w:r>
              <w:rPr>
                <w:color w:val="000000"/>
              </w:rPr>
              <w:t xml:space="preserve"> </w:t>
            </w:r>
            <w:r w:rsidRPr="00977AA8">
              <w:rPr>
                <w:color w:val="000000"/>
              </w:rPr>
              <w:t xml:space="preserve"> Gordon Hughes</w:t>
            </w:r>
          </w:p>
        </w:tc>
        <w:tc>
          <w:tcPr>
            <w:tcW w:w="1462" w:type="dxa"/>
            <w:vAlign w:val="center"/>
          </w:tcPr>
          <w:p w:rsidR="009C0B88" w:rsidRPr="00977AA8" w:rsidRDefault="009C0B88" w:rsidP="009C0B88">
            <w:pPr>
              <w:autoSpaceDE w:val="0"/>
              <w:autoSpaceDN w:val="0"/>
              <w:adjustRightInd w:val="0"/>
              <w:jc w:val="center"/>
              <w:rPr>
                <w:color w:val="000000"/>
              </w:rPr>
            </w:pPr>
          </w:p>
        </w:tc>
        <w:tc>
          <w:tcPr>
            <w:tcW w:w="1463" w:type="dxa"/>
            <w:vAlign w:val="center"/>
          </w:tcPr>
          <w:p w:rsidR="009C0B88" w:rsidRPr="00977AA8" w:rsidRDefault="009C0B88" w:rsidP="009C0B88">
            <w:pPr>
              <w:autoSpaceDE w:val="0"/>
              <w:autoSpaceDN w:val="0"/>
              <w:adjustRightInd w:val="0"/>
              <w:jc w:val="center"/>
              <w:rPr>
                <w:color w:val="000000"/>
              </w:rPr>
            </w:pPr>
            <w:r w:rsidRPr="00977AA8">
              <w:rPr>
                <w:color w:val="000000"/>
              </w:rPr>
              <w:t>86</w:t>
            </w:r>
          </w:p>
        </w:tc>
        <w:tc>
          <w:tcPr>
            <w:tcW w:w="1462" w:type="dxa"/>
            <w:vAlign w:val="center"/>
          </w:tcPr>
          <w:p w:rsidR="009C0B88" w:rsidRPr="00977AA8" w:rsidRDefault="009C0B88" w:rsidP="009C0B88">
            <w:pPr>
              <w:autoSpaceDE w:val="0"/>
              <w:autoSpaceDN w:val="0"/>
              <w:adjustRightInd w:val="0"/>
              <w:jc w:val="center"/>
              <w:rPr>
                <w:color w:val="000000"/>
              </w:rPr>
            </w:pPr>
            <w:r w:rsidRPr="00977AA8">
              <w:rPr>
                <w:color w:val="000000"/>
              </w:rPr>
              <w:t>97</w:t>
            </w:r>
          </w:p>
        </w:tc>
        <w:tc>
          <w:tcPr>
            <w:tcW w:w="1463" w:type="dxa"/>
            <w:vAlign w:val="center"/>
          </w:tcPr>
          <w:p w:rsidR="009C0B88" w:rsidRPr="00977AA8" w:rsidRDefault="009C0B88" w:rsidP="009C0B88">
            <w:pPr>
              <w:autoSpaceDE w:val="0"/>
              <w:autoSpaceDN w:val="0"/>
              <w:adjustRightInd w:val="0"/>
              <w:jc w:val="center"/>
              <w:rPr>
                <w:color w:val="000000"/>
              </w:rPr>
            </w:pPr>
            <w:r w:rsidRPr="00977AA8">
              <w:rPr>
                <w:color w:val="000000"/>
              </w:rPr>
              <w:t>99</w:t>
            </w:r>
          </w:p>
        </w:tc>
      </w:tr>
      <w:tr w:rsidR="009C0B88" w:rsidRPr="00977AA8">
        <w:trPr>
          <w:trHeight w:val="259"/>
        </w:trPr>
        <w:tc>
          <w:tcPr>
            <w:tcW w:w="3360" w:type="dxa"/>
          </w:tcPr>
          <w:p w:rsidR="009C0B88" w:rsidRPr="00977AA8" w:rsidRDefault="009C0B88" w:rsidP="009C0B88">
            <w:pPr>
              <w:autoSpaceDE w:val="0"/>
              <w:autoSpaceDN w:val="0"/>
              <w:adjustRightInd w:val="0"/>
              <w:rPr>
                <w:color w:val="000000"/>
              </w:rPr>
            </w:pPr>
            <w:r>
              <w:rPr>
                <w:color w:val="000000"/>
              </w:rPr>
              <w:t xml:space="preserve"> </w:t>
            </w:r>
            <w:r w:rsidRPr="00977AA8">
              <w:rPr>
                <w:color w:val="000000"/>
              </w:rPr>
              <w:t xml:space="preserve"> IFs</w:t>
            </w:r>
            <w:r>
              <w:rPr>
                <w:color w:val="000000"/>
              </w:rPr>
              <w:t xml:space="preserve"> base case</w:t>
            </w:r>
          </w:p>
        </w:tc>
        <w:tc>
          <w:tcPr>
            <w:tcW w:w="1462" w:type="dxa"/>
            <w:vAlign w:val="center"/>
          </w:tcPr>
          <w:p w:rsidR="009C0B88" w:rsidRPr="00977AA8" w:rsidRDefault="009C0B88" w:rsidP="009C0B88">
            <w:pPr>
              <w:autoSpaceDE w:val="0"/>
              <w:autoSpaceDN w:val="0"/>
              <w:adjustRightInd w:val="0"/>
              <w:jc w:val="center"/>
              <w:rPr>
                <w:color w:val="000000"/>
              </w:rPr>
            </w:pPr>
            <w:r w:rsidRPr="00977AA8">
              <w:rPr>
                <w:color w:val="000000"/>
              </w:rPr>
              <w:t>78</w:t>
            </w:r>
          </w:p>
        </w:tc>
        <w:tc>
          <w:tcPr>
            <w:tcW w:w="1463" w:type="dxa"/>
            <w:vAlign w:val="center"/>
          </w:tcPr>
          <w:p w:rsidR="009C0B88" w:rsidRPr="00977AA8" w:rsidRDefault="009C0B88" w:rsidP="009C0B88">
            <w:pPr>
              <w:autoSpaceDE w:val="0"/>
              <w:autoSpaceDN w:val="0"/>
              <w:adjustRightInd w:val="0"/>
              <w:jc w:val="center"/>
              <w:rPr>
                <w:color w:val="000000"/>
              </w:rPr>
            </w:pPr>
            <w:r w:rsidRPr="00977AA8">
              <w:rPr>
                <w:color w:val="000000"/>
              </w:rPr>
              <w:t>80</w:t>
            </w:r>
          </w:p>
        </w:tc>
        <w:tc>
          <w:tcPr>
            <w:tcW w:w="1462" w:type="dxa"/>
            <w:vAlign w:val="center"/>
          </w:tcPr>
          <w:p w:rsidR="009C0B88" w:rsidRPr="00977AA8" w:rsidRDefault="009C0B88" w:rsidP="009C0B88">
            <w:pPr>
              <w:autoSpaceDE w:val="0"/>
              <w:autoSpaceDN w:val="0"/>
              <w:adjustRightInd w:val="0"/>
              <w:jc w:val="center"/>
              <w:rPr>
                <w:color w:val="000000"/>
              </w:rPr>
            </w:pPr>
            <w:r w:rsidRPr="00977AA8">
              <w:rPr>
                <w:color w:val="000000"/>
              </w:rPr>
              <w:t>94</w:t>
            </w:r>
          </w:p>
        </w:tc>
        <w:tc>
          <w:tcPr>
            <w:tcW w:w="1463" w:type="dxa"/>
            <w:vAlign w:val="center"/>
          </w:tcPr>
          <w:p w:rsidR="009C0B88" w:rsidRPr="00977AA8" w:rsidRDefault="009C0B88" w:rsidP="009C0B88">
            <w:pPr>
              <w:autoSpaceDE w:val="0"/>
              <w:autoSpaceDN w:val="0"/>
              <w:adjustRightInd w:val="0"/>
              <w:jc w:val="center"/>
              <w:rPr>
                <w:color w:val="000000"/>
              </w:rPr>
            </w:pPr>
            <w:r w:rsidRPr="00977AA8">
              <w:rPr>
                <w:color w:val="000000"/>
              </w:rPr>
              <w:t>98</w:t>
            </w:r>
          </w:p>
        </w:tc>
      </w:tr>
      <w:tr w:rsidR="009C0B88" w:rsidRPr="00977AA8">
        <w:trPr>
          <w:trHeight w:val="259"/>
        </w:trPr>
        <w:tc>
          <w:tcPr>
            <w:tcW w:w="9210" w:type="dxa"/>
            <w:gridSpan w:val="5"/>
            <w:vAlign w:val="center"/>
          </w:tcPr>
          <w:p w:rsidR="009C0B88" w:rsidRPr="00977AA8" w:rsidRDefault="009C0B88" w:rsidP="009C0B88">
            <w:pPr>
              <w:autoSpaceDE w:val="0"/>
              <w:autoSpaceDN w:val="0"/>
              <w:adjustRightInd w:val="0"/>
              <w:rPr>
                <w:color w:val="000000"/>
              </w:rPr>
            </w:pPr>
            <w:r w:rsidRPr="00977AA8">
              <w:rPr>
                <w:color w:val="000000"/>
              </w:rPr>
              <w:t xml:space="preserve">Sources: </w:t>
            </w:r>
            <w:r w:rsidRPr="00977AA8">
              <w:rPr>
                <w:i/>
                <w:color w:val="000000"/>
              </w:rPr>
              <w:t>World Energy Outlook 2011</w:t>
            </w:r>
            <w:r w:rsidRPr="00977AA8">
              <w:rPr>
                <w:color w:val="000000"/>
              </w:rPr>
              <w:t xml:space="preserve"> </w:t>
            </w:r>
            <w:r w:rsidR="00F7383F" w:rsidRPr="00977AA8">
              <w:rPr>
                <w:color w:val="000000"/>
              </w:rPr>
              <w:fldChar w:fldCharType="begin"/>
            </w:r>
            <w:r>
              <w:rPr>
                <w:color w:val="000000"/>
              </w:rPr>
              <w:instrText xml:space="preserve"> ADDIN ZOTERO_ITEM {"citationID":"QEg7Wlrb","properties":{"formattedCitation":"(International Energy Agency (IEA) and Organisation for Economic Co-operation and Development (OECD) 2011)","plainCitation":"(International Energy Agency (IEA) and Organisation for Economic Co-operation and Development (OECD) 2011)"},"citationItems":[{"id":1479,"uris":["http://zotero.org/groups/4482/items/JN2QK4JC"],"uri":["http://zotero.org/groups/4482/items/JN2QK4JC"]}]} </w:instrText>
            </w:r>
            <w:r w:rsidR="00F7383F" w:rsidRPr="00977AA8">
              <w:rPr>
                <w:color w:val="000000"/>
              </w:rPr>
              <w:fldChar w:fldCharType="separate"/>
            </w:r>
            <w:r>
              <w:t>(International Energy Agency (IEA) and Organisation for Economic Co-operation and Development (OECD) 2011)</w:t>
            </w:r>
            <w:r w:rsidR="00F7383F" w:rsidRPr="00977AA8">
              <w:rPr>
                <w:color w:val="000000"/>
              </w:rPr>
              <w:fldChar w:fldCharType="end"/>
            </w:r>
            <w:r w:rsidRPr="00977AA8">
              <w:rPr>
                <w:color w:val="000000"/>
              </w:rPr>
              <w:t xml:space="preserve">, Hughes, Chinowsky, and Strzepek </w:t>
            </w:r>
            <w:r w:rsidR="00F7383F" w:rsidRPr="00977AA8">
              <w:rPr>
                <w:color w:val="000000"/>
              </w:rPr>
              <w:fldChar w:fldCharType="begin"/>
            </w:r>
            <w:r>
              <w:rPr>
                <w:color w:val="000000"/>
              </w:rPr>
              <w:instrText xml:space="preserve"> ADDIN ZOTERO_ITEM {"citationID":"mO8JcKIS","properties":{"formattedCitation":"(2009)","plainCitation":"(2009)"},"citationItems":[{"id":975,"uris":["http://zotero.org/groups/4482/items/ZNDAXGEG"],"uri":["http://zotero.org/groups/4482/items/ZNDAXGEG"],"suppress-author":true}]} </w:instrText>
            </w:r>
            <w:r w:rsidR="00F7383F" w:rsidRPr="00977AA8">
              <w:rPr>
                <w:color w:val="000000"/>
              </w:rPr>
              <w:fldChar w:fldCharType="separate"/>
            </w:r>
            <w:r>
              <w:t>(2009)</w:t>
            </w:r>
            <w:r w:rsidR="00F7383F" w:rsidRPr="00977AA8">
              <w:rPr>
                <w:color w:val="000000"/>
              </w:rPr>
              <w:fldChar w:fldCharType="end"/>
            </w:r>
            <w:r w:rsidRPr="00977AA8">
              <w:rPr>
                <w:color w:val="000000"/>
              </w:rPr>
              <w:t>, IFs v.6.54.</w:t>
            </w:r>
          </w:p>
        </w:tc>
      </w:tr>
    </w:tbl>
    <w:p w:rsidR="009C0B88" w:rsidRDefault="009C0B88" w:rsidP="009C0B88"/>
    <w:p w:rsidR="009C0B88" w:rsidRDefault="009C0B88" w:rsidP="009C0B88"/>
    <w:p w:rsidR="009C0B88" w:rsidRDefault="009C0B88" w:rsidP="00EC2D95">
      <w:pPr>
        <w:pStyle w:val="Heading3"/>
        <w:numPr>
          <w:ilvl w:val="0"/>
          <w:numId w:val="0"/>
        </w:numPr>
        <w:ind w:left="720" w:hanging="720"/>
      </w:pPr>
      <w:bookmarkStart w:id="158" w:name="_Toc199491243"/>
      <w:bookmarkStart w:id="159" w:name="_Toc200095320"/>
      <w:r>
        <w:t>5.2.2</w:t>
      </w:r>
      <w:r>
        <w:tab/>
        <w:t>Infrastructure spending forecasts</w:t>
      </w:r>
      <w:bookmarkEnd w:id="158"/>
      <w:bookmarkEnd w:id="159"/>
    </w:p>
    <w:p w:rsidR="009C0B88" w:rsidRDefault="009C0B88" w:rsidP="009C0B88">
      <w:r>
        <w:t>Comparing forecasts of infrastructure</w:t>
      </w:r>
      <w:r w:rsidRPr="004E1691">
        <w:t xml:space="preserve"> spending </w:t>
      </w:r>
      <w:r>
        <w:t>is generally trickier than comparing forecasts of infrastructure stocks and access. First, forecasts of spending depend upon those forecasts of stocks and access, but also on assumptions about such factors as unit costs and depreciation rates (see Chapter 4). Second, the measures of stocks are more easily compared. A kilometer of paved road in one study is generally the same as a kilometer of road in another study. With spending estimates, however, even when they use the same currency, usually US dollars, they often use different base years. Third, it is not always clear what the estimates include: public spending, private spending, or both; new construction, replacement, or general operation and maintenance. The second of these problems can be partially addressed by comparing spending estimates in relative terms, e.g., as a percentage of GDP. We use that approach in the comparisons that follow. Understanding whether remaining observed differences are due to the first or third problems requires being able to find detailed information about the studies, which is not always provided in publications. That will make the comparisons below helpful, but not fully satisfactory.</w:t>
      </w:r>
    </w:p>
    <w:p w:rsidR="009C0B88" w:rsidRDefault="009C0B88" w:rsidP="009C0B88"/>
    <w:p w:rsidR="009C0B88" w:rsidRPr="007F46B9" w:rsidRDefault="009C0B88" w:rsidP="009C0B88">
      <w:r>
        <w:t>Given these caveats, in the remainder of this section, we present a number of comparisons of our results against those of other studies. We start with studies that focus on the short-term and gradually move on to studies with a longer time horizon.</w:t>
      </w:r>
    </w:p>
    <w:p w:rsidR="009C0B88" w:rsidRPr="004E1691" w:rsidRDefault="009C0B88" w:rsidP="009C0B88"/>
    <w:p w:rsidR="009C0B88" w:rsidRDefault="009C0B88" w:rsidP="009C0B88">
      <w:r>
        <w:t>The African Infrastructure Country Diagnostic (AICD) project provided estimates across multiple infrastructure categories that cover 45 sub-Saharan African countries and are generally for reaching particular targets, not for business-as-usual or reference scenarios.</w:t>
      </w:r>
      <w:r w:rsidRPr="00422D46">
        <w:rPr>
          <w:rStyle w:val="FootnoteReference"/>
        </w:rPr>
        <w:footnoteReference w:id="92"/>
      </w:r>
      <w:r>
        <w:t xml:space="preserve"> Thus, we can expect their estimates to be quite a bit larger than those of our base case (and useful for comparison also with our analysis of target pursuit in Chapter 6). Table 5.4 confirms this for all sectors other than ICT. Part of the difference in ICT is due to our higher estimate of mobile phone penetration by 2015 (103 per 100 vs. 46 per 100); our estimates for fixed broadband are more consistent with theirs. Also of note is the fact that they include railways, ports, and airports in their transportation estimates.</w:t>
      </w:r>
    </w:p>
    <w:p w:rsidR="009C0B88" w:rsidRDefault="009C0B88" w:rsidP="009C0B88"/>
    <w:tbl>
      <w:tblPr>
        <w:tblStyle w:val="TableGrid"/>
        <w:tblW w:w="9558" w:type="dxa"/>
        <w:tblLayout w:type="fixed"/>
        <w:tblLook w:val="04A0"/>
      </w:tblPr>
      <w:tblGrid>
        <w:gridCol w:w="1195"/>
        <w:gridCol w:w="836"/>
        <w:gridCol w:w="836"/>
        <w:gridCol w:w="836"/>
        <w:gridCol w:w="837"/>
        <w:gridCol w:w="836"/>
        <w:gridCol w:w="836"/>
        <w:gridCol w:w="837"/>
        <w:gridCol w:w="836"/>
        <w:gridCol w:w="836"/>
        <w:gridCol w:w="837"/>
      </w:tblGrid>
      <w:tr w:rsidR="009C0B88" w:rsidRPr="00B57A85">
        <w:tc>
          <w:tcPr>
            <w:tcW w:w="9558" w:type="dxa"/>
            <w:gridSpan w:val="11"/>
            <w:vAlign w:val="center"/>
          </w:tcPr>
          <w:p w:rsidR="009C0B88" w:rsidRPr="00285A45" w:rsidRDefault="009C0B88" w:rsidP="009C0B88">
            <w:pPr>
              <w:rPr>
                <w:b/>
              </w:rPr>
            </w:pPr>
            <w:r w:rsidRPr="00285A45">
              <w:rPr>
                <w:b/>
              </w:rPr>
              <w:t>Table 5.</w:t>
            </w:r>
            <w:r>
              <w:rPr>
                <w:b/>
              </w:rPr>
              <w:t>4</w:t>
            </w:r>
            <w:r w:rsidRPr="00285A45">
              <w:rPr>
                <w:b/>
              </w:rPr>
              <w:t xml:space="preserve"> </w:t>
            </w:r>
            <w:r>
              <w:rPr>
                <w:b/>
              </w:rPr>
              <w:t xml:space="preserve">Comparing African infrastructure spending forecasts of the AICD and IFs (2006-2015) </w:t>
            </w:r>
          </w:p>
        </w:tc>
      </w:tr>
      <w:tr w:rsidR="009C0B88" w:rsidRPr="00B57A85">
        <w:tc>
          <w:tcPr>
            <w:tcW w:w="1195" w:type="dxa"/>
          </w:tcPr>
          <w:p w:rsidR="009C0B88" w:rsidRPr="00B57A85" w:rsidRDefault="009C0B88" w:rsidP="009C0B88">
            <w:pPr>
              <w:rPr>
                <w:szCs w:val="24"/>
              </w:rPr>
            </w:pPr>
          </w:p>
        </w:tc>
        <w:tc>
          <w:tcPr>
            <w:tcW w:w="1672" w:type="dxa"/>
            <w:gridSpan w:val="2"/>
            <w:vAlign w:val="bottom"/>
          </w:tcPr>
          <w:p w:rsidR="009C0B88" w:rsidRPr="00B57A85" w:rsidRDefault="009C0B88" w:rsidP="009C0B88">
            <w:pPr>
              <w:jc w:val="center"/>
              <w:rPr>
                <w:szCs w:val="24"/>
              </w:rPr>
            </w:pPr>
            <w:r>
              <w:rPr>
                <w:szCs w:val="24"/>
              </w:rPr>
              <w:t>Total</w:t>
            </w:r>
          </w:p>
        </w:tc>
        <w:tc>
          <w:tcPr>
            <w:tcW w:w="1673" w:type="dxa"/>
            <w:gridSpan w:val="2"/>
            <w:vAlign w:val="bottom"/>
          </w:tcPr>
          <w:p w:rsidR="009C0B88" w:rsidRPr="00B57A85" w:rsidRDefault="009C0B88" w:rsidP="009C0B88">
            <w:pPr>
              <w:jc w:val="center"/>
              <w:rPr>
                <w:szCs w:val="24"/>
              </w:rPr>
            </w:pPr>
            <w:r w:rsidRPr="00B57A85">
              <w:rPr>
                <w:szCs w:val="24"/>
              </w:rPr>
              <w:t>WSS</w:t>
            </w:r>
          </w:p>
        </w:tc>
        <w:tc>
          <w:tcPr>
            <w:tcW w:w="1672" w:type="dxa"/>
            <w:gridSpan w:val="2"/>
            <w:vAlign w:val="bottom"/>
          </w:tcPr>
          <w:p w:rsidR="009C0B88" w:rsidRPr="00B57A85" w:rsidRDefault="009C0B88" w:rsidP="009C0B88">
            <w:pPr>
              <w:jc w:val="center"/>
              <w:rPr>
                <w:szCs w:val="24"/>
              </w:rPr>
            </w:pPr>
            <w:r w:rsidRPr="00B57A85">
              <w:rPr>
                <w:szCs w:val="24"/>
              </w:rPr>
              <w:t>Energy</w:t>
            </w:r>
          </w:p>
        </w:tc>
        <w:tc>
          <w:tcPr>
            <w:tcW w:w="1673" w:type="dxa"/>
            <w:gridSpan w:val="2"/>
            <w:vAlign w:val="bottom"/>
          </w:tcPr>
          <w:p w:rsidR="009C0B88" w:rsidRPr="00B57A85" w:rsidRDefault="009C0B88" w:rsidP="009C0B88">
            <w:pPr>
              <w:jc w:val="center"/>
              <w:rPr>
                <w:szCs w:val="24"/>
              </w:rPr>
            </w:pPr>
            <w:r w:rsidRPr="00B57A85">
              <w:rPr>
                <w:szCs w:val="24"/>
              </w:rPr>
              <w:t>ICT</w:t>
            </w:r>
          </w:p>
        </w:tc>
        <w:tc>
          <w:tcPr>
            <w:tcW w:w="1673" w:type="dxa"/>
            <w:gridSpan w:val="2"/>
            <w:vAlign w:val="bottom"/>
          </w:tcPr>
          <w:p w:rsidR="009C0B88" w:rsidRPr="00B57A85" w:rsidRDefault="009C0B88" w:rsidP="009C0B88">
            <w:pPr>
              <w:jc w:val="center"/>
              <w:rPr>
                <w:szCs w:val="24"/>
              </w:rPr>
            </w:pPr>
            <w:r w:rsidRPr="00B57A85">
              <w:rPr>
                <w:szCs w:val="24"/>
              </w:rPr>
              <w:t>Transport</w:t>
            </w:r>
          </w:p>
        </w:tc>
      </w:tr>
      <w:tr w:rsidR="009C0B88" w:rsidRPr="00B57A85">
        <w:tc>
          <w:tcPr>
            <w:tcW w:w="1195" w:type="dxa"/>
          </w:tcPr>
          <w:p w:rsidR="009C0B88" w:rsidRPr="00B57A85" w:rsidRDefault="009C0B88" w:rsidP="009C0B88">
            <w:pPr>
              <w:rPr>
                <w:szCs w:val="24"/>
              </w:rPr>
            </w:pPr>
          </w:p>
        </w:tc>
        <w:tc>
          <w:tcPr>
            <w:tcW w:w="836" w:type="dxa"/>
            <w:vAlign w:val="bottom"/>
          </w:tcPr>
          <w:p w:rsidR="009C0B88" w:rsidRPr="00B57A85" w:rsidRDefault="009C0B88" w:rsidP="009C0B88">
            <w:pPr>
              <w:jc w:val="center"/>
              <w:rPr>
                <w:szCs w:val="24"/>
              </w:rPr>
            </w:pPr>
            <w:r>
              <w:rPr>
                <w:szCs w:val="24"/>
              </w:rPr>
              <w:t>AICD</w:t>
            </w:r>
          </w:p>
        </w:tc>
        <w:tc>
          <w:tcPr>
            <w:tcW w:w="836" w:type="dxa"/>
            <w:vAlign w:val="bottom"/>
          </w:tcPr>
          <w:p w:rsidR="009C0B88" w:rsidRPr="00B57A85" w:rsidRDefault="009C0B88" w:rsidP="009C0B88">
            <w:pPr>
              <w:jc w:val="center"/>
              <w:rPr>
                <w:szCs w:val="24"/>
              </w:rPr>
            </w:pPr>
            <w:r>
              <w:rPr>
                <w:szCs w:val="24"/>
              </w:rPr>
              <w:t>IFs</w:t>
            </w:r>
          </w:p>
        </w:tc>
        <w:tc>
          <w:tcPr>
            <w:tcW w:w="836" w:type="dxa"/>
            <w:vAlign w:val="bottom"/>
          </w:tcPr>
          <w:p w:rsidR="009C0B88" w:rsidRPr="00B57A85" w:rsidRDefault="009C0B88" w:rsidP="009C0B88">
            <w:pPr>
              <w:jc w:val="center"/>
              <w:rPr>
                <w:szCs w:val="24"/>
              </w:rPr>
            </w:pPr>
            <w:r>
              <w:rPr>
                <w:szCs w:val="24"/>
              </w:rPr>
              <w:t>AICD</w:t>
            </w:r>
          </w:p>
        </w:tc>
        <w:tc>
          <w:tcPr>
            <w:tcW w:w="837" w:type="dxa"/>
            <w:vAlign w:val="bottom"/>
          </w:tcPr>
          <w:p w:rsidR="009C0B88" w:rsidRPr="00B57A85" w:rsidRDefault="009C0B88" w:rsidP="009C0B88">
            <w:pPr>
              <w:jc w:val="center"/>
              <w:rPr>
                <w:szCs w:val="24"/>
              </w:rPr>
            </w:pPr>
            <w:r>
              <w:rPr>
                <w:szCs w:val="24"/>
              </w:rPr>
              <w:t>IFs</w:t>
            </w:r>
          </w:p>
        </w:tc>
        <w:tc>
          <w:tcPr>
            <w:tcW w:w="836" w:type="dxa"/>
            <w:vAlign w:val="bottom"/>
          </w:tcPr>
          <w:p w:rsidR="009C0B88" w:rsidRPr="00B57A85" w:rsidRDefault="009C0B88" w:rsidP="009C0B88">
            <w:pPr>
              <w:jc w:val="center"/>
              <w:rPr>
                <w:szCs w:val="24"/>
              </w:rPr>
            </w:pPr>
            <w:r>
              <w:rPr>
                <w:szCs w:val="24"/>
              </w:rPr>
              <w:t>AICD</w:t>
            </w:r>
          </w:p>
        </w:tc>
        <w:tc>
          <w:tcPr>
            <w:tcW w:w="836" w:type="dxa"/>
            <w:vAlign w:val="bottom"/>
          </w:tcPr>
          <w:p w:rsidR="009C0B88" w:rsidRPr="00B57A85" w:rsidRDefault="009C0B88" w:rsidP="009C0B88">
            <w:pPr>
              <w:jc w:val="center"/>
              <w:rPr>
                <w:szCs w:val="24"/>
              </w:rPr>
            </w:pPr>
            <w:r>
              <w:rPr>
                <w:szCs w:val="24"/>
              </w:rPr>
              <w:t>IFs</w:t>
            </w:r>
          </w:p>
        </w:tc>
        <w:tc>
          <w:tcPr>
            <w:tcW w:w="837" w:type="dxa"/>
            <w:vAlign w:val="bottom"/>
          </w:tcPr>
          <w:p w:rsidR="009C0B88" w:rsidRPr="00B57A85" w:rsidRDefault="009C0B88" w:rsidP="009C0B88">
            <w:pPr>
              <w:jc w:val="center"/>
              <w:rPr>
                <w:szCs w:val="24"/>
              </w:rPr>
            </w:pPr>
            <w:r>
              <w:rPr>
                <w:szCs w:val="24"/>
              </w:rPr>
              <w:t>AICD</w:t>
            </w:r>
          </w:p>
        </w:tc>
        <w:tc>
          <w:tcPr>
            <w:tcW w:w="836" w:type="dxa"/>
            <w:vAlign w:val="bottom"/>
          </w:tcPr>
          <w:p w:rsidR="009C0B88" w:rsidRPr="00B57A85" w:rsidRDefault="009C0B88" w:rsidP="009C0B88">
            <w:pPr>
              <w:jc w:val="center"/>
              <w:rPr>
                <w:szCs w:val="24"/>
              </w:rPr>
            </w:pPr>
            <w:r>
              <w:rPr>
                <w:szCs w:val="24"/>
              </w:rPr>
              <w:t>IFs</w:t>
            </w:r>
          </w:p>
        </w:tc>
        <w:tc>
          <w:tcPr>
            <w:tcW w:w="836" w:type="dxa"/>
            <w:vAlign w:val="bottom"/>
          </w:tcPr>
          <w:p w:rsidR="009C0B88" w:rsidRPr="00B57A85" w:rsidRDefault="009C0B88" w:rsidP="009C0B88">
            <w:pPr>
              <w:jc w:val="center"/>
              <w:rPr>
                <w:szCs w:val="24"/>
              </w:rPr>
            </w:pPr>
            <w:r>
              <w:rPr>
                <w:szCs w:val="24"/>
              </w:rPr>
              <w:t>AICD</w:t>
            </w:r>
          </w:p>
        </w:tc>
        <w:tc>
          <w:tcPr>
            <w:tcW w:w="837" w:type="dxa"/>
            <w:vAlign w:val="bottom"/>
          </w:tcPr>
          <w:p w:rsidR="009C0B88" w:rsidRPr="00B57A85" w:rsidRDefault="009C0B88" w:rsidP="009C0B88">
            <w:pPr>
              <w:jc w:val="center"/>
              <w:rPr>
                <w:szCs w:val="24"/>
              </w:rPr>
            </w:pPr>
            <w:r>
              <w:rPr>
                <w:szCs w:val="24"/>
              </w:rPr>
              <w:t>IFs</w:t>
            </w:r>
          </w:p>
        </w:tc>
      </w:tr>
      <w:tr w:rsidR="009C0B88" w:rsidRPr="00B57A85">
        <w:tc>
          <w:tcPr>
            <w:tcW w:w="1195" w:type="dxa"/>
          </w:tcPr>
          <w:p w:rsidR="009C0B88" w:rsidRPr="008D29ED" w:rsidRDefault="009C0B88" w:rsidP="009C0B88">
            <w:pPr>
              <w:rPr>
                <w:szCs w:val="24"/>
              </w:rPr>
            </w:pPr>
            <w:r w:rsidRPr="008D29ED">
              <w:rPr>
                <w:szCs w:val="24"/>
              </w:rPr>
              <w:t>Middle</w:t>
            </w:r>
            <w:r>
              <w:rPr>
                <w:szCs w:val="24"/>
              </w:rPr>
              <w:t>-i</w:t>
            </w:r>
            <w:r w:rsidRPr="008D29ED">
              <w:rPr>
                <w:szCs w:val="24"/>
              </w:rPr>
              <w:t>ncome</w:t>
            </w:r>
          </w:p>
        </w:tc>
        <w:tc>
          <w:tcPr>
            <w:tcW w:w="836" w:type="dxa"/>
            <w:vAlign w:val="center"/>
          </w:tcPr>
          <w:p w:rsidR="009C0B88" w:rsidRPr="00285A45" w:rsidRDefault="009C0B88" w:rsidP="009C0B88">
            <w:pPr>
              <w:jc w:val="center"/>
              <w:rPr>
                <w:sz w:val="20"/>
              </w:rPr>
            </w:pPr>
            <w:r w:rsidRPr="00285A45">
              <w:rPr>
                <w:sz w:val="20"/>
              </w:rPr>
              <w:t>6.62%</w:t>
            </w:r>
          </w:p>
        </w:tc>
        <w:tc>
          <w:tcPr>
            <w:tcW w:w="836" w:type="dxa"/>
            <w:vAlign w:val="center"/>
          </w:tcPr>
          <w:p w:rsidR="009C0B88" w:rsidRPr="00285A45" w:rsidRDefault="009C0B88" w:rsidP="009C0B88">
            <w:pPr>
              <w:jc w:val="center"/>
              <w:rPr>
                <w:color w:val="000000"/>
                <w:sz w:val="20"/>
              </w:rPr>
            </w:pPr>
            <w:r w:rsidRPr="00285A45">
              <w:rPr>
                <w:color w:val="000000"/>
                <w:sz w:val="20"/>
              </w:rPr>
              <w:t>3.29%</w:t>
            </w:r>
          </w:p>
        </w:tc>
        <w:tc>
          <w:tcPr>
            <w:tcW w:w="836" w:type="dxa"/>
            <w:vAlign w:val="center"/>
          </w:tcPr>
          <w:p w:rsidR="009C0B88" w:rsidRPr="00285A45" w:rsidRDefault="009C0B88" w:rsidP="009C0B88">
            <w:pPr>
              <w:jc w:val="center"/>
              <w:rPr>
                <w:sz w:val="20"/>
              </w:rPr>
            </w:pPr>
            <w:r w:rsidRPr="00285A45">
              <w:rPr>
                <w:sz w:val="20"/>
              </w:rPr>
              <w:t>0.32%</w:t>
            </w:r>
          </w:p>
        </w:tc>
        <w:tc>
          <w:tcPr>
            <w:tcW w:w="837" w:type="dxa"/>
            <w:vAlign w:val="center"/>
          </w:tcPr>
          <w:p w:rsidR="009C0B88" w:rsidRPr="00285A45" w:rsidRDefault="009C0B88" w:rsidP="009C0B88">
            <w:pPr>
              <w:jc w:val="center"/>
              <w:rPr>
                <w:color w:val="000000"/>
                <w:sz w:val="20"/>
              </w:rPr>
            </w:pPr>
            <w:r w:rsidRPr="00285A45">
              <w:rPr>
                <w:color w:val="000000"/>
                <w:sz w:val="20"/>
              </w:rPr>
              <w:t>0.28%</w:t>
            </w:r>
          </w:p>
        </w:tc>
        <w:tc>
          <w:tcPr>
            <w:tcW w:w="836" w:type="dxa"/>
            <w:vAlign w:val="center"/>
          </w:tcPr>
          <w:p w:rsidR="009C0B88" w:rsidRPr="00285A45" w:rsidRDefault="009C0B88" w:rsidP="009C0B88">
            <w:pPr>
              <w:jc w:val="center"/>
              <w:rPr>
                <w:sz w:val="20"/>
              </w:rPr>
            </w:pPr>
            <w:r w:rsidRPr="00285A45">
              <w:rPr>
                <w:sz w:val="20"/>
              </w:rPr>
              <w:t>5.36%</w:t>
            </w:r>
          </w:p>
        </w:tc>
        <w:tc>
          <w:tcPr>
            <w:tcW w:w="836" w:type="dxa"/>
            <w:vAlign w:val="center"/>
          </w:tcPr>
          <w:p w:rsidR="009C0B88" w:rsidRPr="00285A45" w:rsidRDefault="009C0B88" w:rsidP="009C0B88">
            <w:pPr>
              <w:jc w:val="center"/>
              <w:rPr>
                <w:color w:val="000000"/>
                <w:sz w:val="20"/>
              </w:rPr>
            </w:pPr>
            <w:r w:rsidRPr="00285A45">
              <w:rPr>
                <w:color w:val="000000"/>
                <w:sz w:val="20"/>
              </w:rPr>
              <w:t>1.21%</w:t>
            </w:r>
          </w:p>
        </w:tc>
        <w:tc>
          <w:tcPr>
            <w:tcW w:w="837" w:type="dxa"/>
            <w:vAlign w:val="center"/>
          </w:tcPr>
          <w:p w:rsidR="009C0B88" w:rsidRPr="00285A45" w:rsidRDefault="009C0B88" w:rsidP="009C0B88">
            <w:pPr>
              <w:jc w:val="center"/>
              <w:rPr>
                <w:sz w:val="20"/>
              </w:rPr>
            </w:pPr>
            <w:r w:rsidRPr="00285A45">
              <w:rPr>
                <w:sz w:val="20"/>
              </w:rPr>
              <w:t>0.06%</w:t>
            </w:r>
          </w:p>
        </w:tc>
        <w:tc>
          <w:tcPr>
            <w:tcW w:w="836" w:type="dxa"/>
            <w:vAlign w:val="center"/>
          </w:tcPr>
          <w:p w:rsidR="009C0B88" w:rsidRPr="00285A45" w:rsidRDefault="009C0B88" w:rsidP="009C0B88">
            <w:pPr>
              <w:jc w:val="center"/>
              <w:rPr>
                <w:color w:val="000000"/>
                <w:sz w:val="20"/>
              </w:rPr>
            </w:pPr>
            <w:r w:rsidRPr="00285A45">
              <w:rPr>
                <w:color w:val="000000"/>
                <w:sz w:val="20"/>
              </w:rPr>
              <w:t>0.66%</w:t>
            </w:r>
          </w:p>
        </w:tc>
        <w:tc>
          <w:tcPr>
            <w:tcW w:w="836" w:type="dxa"/>
            <w:vAlign w:val="center"/>
          </w:tcPr>
          <w:p w:rsidR="009C0B88" w:rsidRPr="00285A45" w:rsidRDefault="009C0B88" w:rsidP="009C0B88">
            <w:pPr>
              <w:jc w:val="center"/>
              <w:rPr>
                <w:sz w:val="20"/>
              </w:rPr>
            </w:pPr>
            <w:r w:rsidRPr="00285A45">
              <w:rPr>
                <w:sz w:val="20"/>
              </w:rPr>
              <w:t>0.88%</w:t>
            </w:r>
          </w:p>
        </w:tc>
        <w:tc>
          <w:tcPr>
            <w:tcW w:w="837" w:type="dxa"/>
            <w:vAlign w:val="center"/>
          </w:tcPr>
          <w:p w:rsidR="009C0B88" w:rsidRPr="00285A45" w:rsidRDefault="009C0B88" w:rsidP="009C0B88">
            <w:pPr>
              <w:jc w:val="center"/>
              <w:rPr>
                <w:color w:val="000000"/>
                <w:sz w:val="20"/>
              </w:rPr>
            </w:pPr>
            <w:r w:rsidRPr="00285A45">
              <w:rPr>
                <w:color w:val="000000"/>
                <w:sz w:val="20"/>
              </w:rPr>
              <w:t>1.14%</w:t>
            </w:r>
          </w:p>
        </w:tc>
      </w:tr>
      <w:tr w:rsidR="009C0B88" w:rsidRPr="00B57A85">
        <w:tc>
          <w:tcPr>
            <w:tcW w:w="1195" w:type="dxa"/>
          </w:tcPr>
          <w:p w:rsidR="009C0B88" w:rsidRPr="008D29ED" w:rsidRDefault="009C0B88" w:rsidP="009C0B88">
            <w:pPr>
              <w:rPr>
                <w:szCs w:val="24"/>
              </w:rPr>
            </w:pPr>
            <w:r w:rsidRPr="008D29ED">
              <w:rPr>
                <w:szCs w:val="24"/>
              </w:rPr>
              <w:t xml:space="preserve">Oil </w:t>
            </w:r>
            <w:r>
              <w:rPr>
                <w:szCs w:val="24"/>
              </w:rPr>
              <w:t>e</w:t>
            </w:r>
            <w:r w:rsidRPr="008D29ED">
              <w:rPr>
                <w:szCs w:val="24"/>
              </w:rPr>
              <w:t>xporting</w:t>
            </w:r>
          </w:p>
        </w:tc>
        <w:tc>
          <w:tcPr>
            <w:tcW w:w="836" w:type="dxa"/>
            <w:vAlign w:val="center"/>
          </w:tcPr>
          <w:p w:rsidR="009C0B88" w:rsidRPr="00285A45" w:rsidRDefault="009C0B88" w:rsidP="009C0B88">
            <w:pPr>
              <w:jc w:val="center"/>
              <w:rPr>
                <w:sz w:val="20"/>
              </w:rPr>
            </w:pPr>
            <w:r w:rsidRPr="00285A45">
              <w:rPr>
                <w:sz w:val="20"/>
              </w:rPr>
              <w:t>8.97%</w:t>
            </w:r>
          </w:p>
        </w:tc>
        <w:tc>
          <w:tcPr>
            <w:tcW w:w="836" w:type="dxa"/>
            <w:vAlign w:val="center"/>
          </w:tcPr>
          <w:p w:rsidR="009C0B88" w:rsidRPr="00285A45" w:rsidRDefault="009C0B88" w:rsidP="009C0B88">
            <w:pPr>
              <w:jc w:val="center"/>
              <w:rPr>
                <w:color w:val="000000"/>
                <w:sz w:val="20"/>
              </w:rPr>
            </w:pPr>
            <w:r w:rsidRPr="00285A45">
              <w:rPr>
                <w:color w:val="000000"/>
                <w:sz w:val="20"/>
              </w:rPr>
              <w:t>6.86%</w:t>
            </w:r>
          </w:p>
        </w:tc>
        <w:tc>
          <w:tcPr>
            <w:tcW w:w="836" w:type="dxa"/>
            <w:vAlign w:val="center"/>
          </w:tcPr>
          <w:p w:rsidR="009C0B88" w:rsidRPr="00285A45" w:rsidRDefault="009C0B88" w:rsidP="009C0B88">
            <w:pPr>
              <w:jc w:val="center"/>
              <w:rPr>
                <w:sz w:val="20"/>
              </w:rPr>
            </w:pPr>
            <w:r w:rsidRPr="00285A45">
              <w:rPr>
                <w:sz w:val="20"/>
              </w:rPr>
              <w:t>1.51%</w:t>
            </w:r>
          </w:p>
        </w:tc>
        <w:tc>
          <w:tcPr>
            <w:tcW w:w="837" w:type="dxa"/>
            <w:vAlign w:val="center"/>
          </w:tcPr>
          <w:p w:rsidR="009C0B88" w:rsidRPr="00285A45" w:rsidRDefault="009C0B88" w:rsidP="009C0B88">
            <w:pPr>
              <w:jc w:val="center"/>
              <w:rPr>
                <w:color w:val="000000"/>
                <w:sz w:val="20"/>
              </w:rPr>
            </w:pPr>
            <w:r w:rsidRPr="00285A45">
              <w:rPr>
                <w:color w:val="000000"/>
                <w:sz w:val="20"/>
              </w:rPr>
              <w:t>0.62%</w:t>
            </w:r>
          </w:p>
        </w:tc>
        <w:tc>
          <w:tcPr>
            <w:tcW w:w="836" w:type="dxa"/>
            <w:vAlign w:val="center"/>
          </w:tcPr>
          <w:p w:rsidR="009C0B88" w:rsidRPr="00285A45" w:rsidRDefault="009C0B88" w:rsidP="009C0B88">
            <w:pPr>
              <w:jc w:val="center"/>
              <w:rPr>
                <w:sz w:val="20"/>
              </w:rPr>
            </w:pPr>
            <w:r w:rsidRPr="00285A45">
              <w:rPr>
                <w:sz w:val="20"/>
              </w:rPr>
              <w:t>3.76%</w:t>
            </w:r>
          </w:p>
        </w:tc>
        <w:tc>
          <w:tcPr>
            <w:tcW w:w="836" w:type="dxa"/>
            <w:vAlign w:val="center"/>
          </w:tcPr>
          <w:p w:rsidR="009C0B88" w:rsidRPr="00285A45" w:rsidRDefault="009C0B88" w:rsidP="009C0B88">
            <w:pPr>
              <w:jc w:val="center"/>
              <w:rPr>
                <w:color w:val="000000"/>
                <w:sz w:val="20"/>
              </w:rPr>
            </w:pPr>
            <w:r w:rsidRPr="00285A45">
              <w:rPr>
                <w:color w:val="000000"/>
                <w:sz w:val="20"/>
              </w:rPr>
              <w:t>0.34%</w:t>
            </w:r>
          </w:p>
        </w:tc>
        <w:tc>
          <w:tcPr>
            <w:tcW w:w="837" w:type="dxa"/>
            <w:vAlign w:val="center"/>
          </w:tcPr>
          <w:p w:rsidR="009C0B88" w:rsidRPr="00285A45" w:rsidRDefault="009C0B88" w:rsidP="009C0B88">
            <w:pPr>
              <w:jc w:val="center"/>
              <w:rPr>
                <w:sz w:val="20"/>
              </w:rPr>
            </w:pPr>
            <w:r w:rsidRPr="00285A45">
              <w:rPr>
                <w:sz w:val="20"/>
              </w:rPr>
              <w:t>0.28%</w:t>
            </w:r>
          </w:p>
        </w:tc>
        <w:tc>
          <w:tcPr>
            <w:tcW w:w="836" w:type="dxa"/>
            <w:vAlign w:val="center"/>
          </w:tcPr>
          <w:p w:rsidR="009C0B88" w:rsidRPr="00285A45" w:rsidRDefault="009C0B88" w:rsidP="009C0B88">
            <w:pPr>
              <w:jc w:val="center"/>
              <w:rPr>
                <w:color w:val="000000"/>
                <w:sz w:val="20"/>
              </w:rPr>
            </w:pPr>
            <w:r w:rsidRPr="00285A45">
              <w:rPr>
                <w:color w:val="000000"/>
                <w:sz w:val="20"/>
              </w:rPr>
              <w:t>5.20%</w:t>
            </w:r>
          </w:p>
        </w:tc>
        <w:tc>
          <w:tcPr>
            <w:tcW w:w="836" w:type="dxa"/>
            <w:vAlign w:val="center"/>
          </w:tcPr>
          <w:p w:rsidR="009C0B88" w:rsidRPr="00285A45" w:rsidRDefault="009C0B88" w:rsidP="009C0B88">
            <w:pPr>
              <w:jc w:val="center"/>
              <w:rPr>
                <w:sz w:val="20"/>
              </w:rPr>
            </w:pPr>
            <w:r w:rsidRPr="00285A45">
              <w:rPr>
                <w:sz w:val="20"/>
              </w:rPr>
              <w:t>3.41%</w:t>
            </w:r>
          </w:p>
        </w:tc>
        <w:tc>
          <w:tcPr>
            <w:tcW w:w="837" w:type="dxa"/>
            <w:vAlign w:val="center"/>
          </w:tcPr>
          <w:p w:rsidR="009C0B88" w:rsidRPr="00285A45" w:rsidRDefault="009C0B88" w:rsidP="009C0B88">
            <w:pPr>
              <w:jc w:val="center"/>
              <w:rPr>
                <w:color w:val="000000"/>
                <w:sz w:val="20"/>
              </w:rPr>
            </w:pPr>
            <w:r w:rsidRPr="00285A45">
              <w:rPr>
                <w:color w:val="000000"/>
                <w:sz w:val="20"/>
              </w:rPr>
              <w:t>0.70%</w:t>
            </w:r>
          </w:p>
        </w:tc>
      </w:tr>
      <w:tr w:rsidR="009C0B88" w:rsidRPr="00B57A85">
        <w:tc>
          <w:tcPr>
            <w:tcW w:w="1195" w:type="dxa"/>
          </w:tcPr>
          <w:p w:rsidR="009C0B88" w:rsidRPr="008D29ED" w:rsidRDefault="009C0B88" w:rsidP="009C0B88">
            <w:pPr>
              <w:rPr>
                <w:szCs w:val="24"/>
              </w:rPr>
            </w:pPr>
            <w:r w:rsidRPr="008D29ED">
              <w:rPr>
                <w:szCs w:val="24"/>
              </w:rPr>
              <w:t>LIC-nonfragile</w:t>
            </w:r>
          </w:p>
        </w:tc>
        <w:tc>
          <w:tcPr>
            <w:tcW w:w="836" w:type="dxa"/>
            <w:vAlign w:val="center"/>
          </w:tcPr>
          <w:p w:rsidR="009C0B88" w:rsidRPr="00285A45" w:rsidRDefault="009C0B88" w:rsidP="009C0B88">
            <w:pPr>
              <w:jc w:val="center"/>
              <w:rPr>
                <w:sz w:val="20"/>
              </w:rPr>
            </w:pPr>
            <w:r w:rsidRPr="00285A45">
              <w:rPr>
                <w:sz w:val="20"/>
              </w:rPr>
              <w:t>21.40%</w:t>
            </w:r>
          </w:p>
        </w:tc>
        <w:tc>
          <w:tcPr>
            <w:tcW w:w="836" w:type="dxa"/>
            <w:vAlign w:val="center"/>
          </w:tcPr>
          <w:p w:rsidR="009C0B88" w:rsidRPr="00285A45" w:rsidRDefault="009C0B88" w:rsidP="009C0B88">
            <w:pPr>
              <w:jc w:val="center"/>
              <w:rPr>
                <w:color w:val="000000"/>
                <w:sz w:val="20"/>
              </w:rPr>
            </w:pPr>
            <w:r w:rsidRPr="00285A45">
              <w:rPr>
                <w:color w:val="000000"/>
                <w:sz w:val="20"/>
              </w:rPr>
              <w:t>14.14%</w:t>
            </w:r>
          </w:p>
        </w:tc>
        <w:tc>
          <w:tcPr>
            <w:tcW w:w="836" w:type="dxa"/>
            <w:vAlign w:val="center"/>
          </w:tcPr>
          <w:p w:rsidR="009C0B88" w:rsidRPr="00285A45" w:rsidRDefault="009C0B88" w:rsidP="009C0B88">
            <w:pPr>
              <w:jc w:val="center"/>
              <w:rPr>
                <w:sz w:val="20"/>
              </w:rPr>
            </w:pPr>
            <w:r w:rsidRPr="00285A45">
              <w:rPr>
                <w:sz w:val="20"/>
              </w:rPr>
              <w:t>3.61%</w:t>
            </w:r>
          </w:p>
        </w:tc>
        <w:tc>
          <w:tcPr>
            <w:tcW w:w="837" w:type="dxa"/>
            <w:vAlign w:val="center"/>
          </w:tcPr>
          <w:p w:rsidR="009C0B88" w:rsidRPr="00285A45" w:rsidRDefault="009C0B88" w:rsidP="009C0B88">
            <w:pPr>
              <w:jc w:val="center"/>
              <w:rPr>
                <w:color w:val="000000"/>
                <w:sz w:val="20"/>
              </w:rPr>
            </w:pPr>
            <w:r w:rsidRPr="00285A45">
              <w:rPr>
                <w:color w:val="000000"/>
                <w:sz w:val="20"/>
              </w:rPr>
              <w:t>0.82%</w:t>
            </w:r>
          </w:p>
        </w:tc>
        <w:tc>
          <w:tcPr>
            <w:tcW w:w="836" w:type="dxa"/>
            <w:vAlign w:val="center"/>
          </w:tcPr>
          <w:p w:rsidR="009C0B88" w:rsidRPr="00285A45" w:rsidRDefault="009C0B88" w:rsidP="009C0B88">
            <w:pPr>
              <w:jc w:val="center"/>
              <w:rPr>
                <w:sz w:val="20"/>
              </w:rPr>
            </w:pPr>
            <w:r w:rsidRPr="00285A45">
              <w:rPr>
                <w:sz w:val="20"/>
              </w:rPr>
              <w:t>10.36%</w:t>
            </w:r>
          </w:p>
        </w:tc>
        <w:tc>
          <w:tcPr>
            <w:tcW w:w="836" w:type="dxa"/>
            <w:vAlign w:val="center"/>
          </w:tcPr>
          <w:p w:rsidR="009C0B88" w:rsidRPr="00285A45" w:rsidRDefault="009C0B88" w:rsidP="009C0B88">
            <w:pPr>
              <w:jc w:val="center"/>
              <w:rPr>
                <w:color w:val="000000"/>
                <w:sz w:val="20"/>
              </w:rPr>
            </w:pPr>
            <w:r w:rsidRPr="00285A45">
              <w:rPr>
                <w:color w:val="000000"/>
                <w:sz w:val="20"/>
              </w:rPr>
              <w:t>0.55%</w:t>
            </w:r>
          </w:p>
        </w:tc>
        <w:tc>
          <w:tcPr>
            <w:tcW w:w="837" w:type="dxa"/>
            <w:vAlign w:val="center"/>
          </w:tcPr>
          <w:p w:rsidR="009C0B88" w:rsidRPr="00285A45" w:rsidRDefault="009C0B88" w:rsidP="009C0B88">
            <w:pPr>
              <w:jc w:val="center"/>
              <w:rPr>
                <w:sz w:val="20"/>
              </w:rPr>
            </w:pPr>
            <w:r w:rsidRPr="00285A45">
              <w:rPr>
                <w:sz w:val="20"/>
              </w:rPr>
              <w:t>0.76%</w:t>
            </w:r>
          </w:p>
        </w:tc>
        <w:tc>
          <w:tcPr>
            <w:tcW w:w="836" w:type="dxa"/>
            <w:vAlign w:val="center"/>
          </w:tcPr>
          <w:p w:rsidR="009C0B88" w:rsidRPr="00285A45" w:rsidRDefault="009C0B88" w:rsidP="009C0B88">
            <w:pPr>
              <w:jc w:val="center"/>
              <w:rPr>
                <w:color w:val="000000"/>
                <w:sz w:val="20"/>
              </w:rPr>
            </w:pPr>
            <w:r w:rsidRPr="00285A45">
              <w:rPr>
                <w:color w:val="000000"/>
                <w:sz w:val="20"/>
              </w:rPr>
              <w:t>11.77%</w:t>
            </w:r>
          </w:p>
        </w:tc>
        <w:tc>
          <w:tcPr>
            <w:tcW w:w="836" w:type="dxa"/>
            <w:vAlign w:val="center"/>
          </w:tcPr>
          <w:p w:rsidR="009C0B88" w:rsidRPr="00285A45" w:rsidRDefault="009C0B88" w:rsidP="009C0B88">
            <w:pPr>
              <w:jc w:val="center"/>
              <w:rPr>
                <w:sz w:val="20"/>
              </w:rPr>
            </w:pPr>
            <w:r w:rsidRPr="00285A45">
              <w:rPr>
                <w:sz w:val="20"/>
              </w:rPr>
              <w:t>6.67%</w:t>
            </w:r>
          </w:p>
        </w:tc>
        <w:tc>
          <w:tcPr>
            <w:tcW w:w="837" w:type="dxa"/>
            <w:vAlign w:val="center"/>
          </w:tcPr>
          <w:p w:rsidR="009C0B88" w:rsidRPr="00285A45" w:rsidRDefault="009C0B88" w:rsidP="009C0B88">
            <w:pPr>
              <w:jc w:val="center"/>
              <w:rPr>
                <w:color w:val="000000"/>
                <w:sz w:val="20"/>
              </w:rPr>
            </w:pPr>
            <w:r w:rsidRPr="00285A45">
              <w:rPr>
                <w:color w:val="000000"/>
                <w:sz w:val="20"/>
              </w:rPr>
              <w:t>1.01%</w:t>
            </w:r>
          </w:p>
        </w:tc>
      </w:tr>
      <w:tr w:rsidR="009C0B88" w:rsidRPr="00B57A85">
        <w:tc>
          <w:tcPr>
            <w:tcW w:w="1195" w:type="dxa"/>
          </w:tcPr>
          <w:p w:rsidR="009C0B88" w:rsidRPr="008D29ED" w:rsidRDefault="009C0B88" w:rsidP="009C0B88">
            <w:pPr>
              <w:rPr>
                <w:szCs w:val="24"/>
              </w:rPr>
            </w:pPr>
            <w:r w:rsidRPr="008D29ED">
              <w:rPr>
                <w:szCs w:val="24"/>
              </w:rPr>
              <w:t>LIC-fragile</w:t>
            </w:r>
          </w:p>
        </w:tc>
        <w:tc>
          <w:tcPr>
            <w:tcW w:w="836" w:type="dxa"/>
            <w:vAlign w:val="center"/>
          </w:tcPr>
          <w:p w:rsidR="009C0B88" w:rsidRPr="00285A45" w:rsidRDefault="009C0B88" w:rsidP="009C0B88">
            <w:pPr>
              <w:jc w:val="center"/>
              <w:rPr>
                <w:sz w:val="20"/>
              </w:rPr>
            </w:pPr>
            <w:r w:rsidRPr="00285A45">
              <w:rPr>
                <w:sz w:val="20"/>
              </w:rPr>
              <w:t>42.92%</w:t>
            </w:r>
          </w:p>
        </w:tc>
        <w:tc>
          <w:tcPr>
            <w:tcW w:w="836" w:type="dxa"/>
            <w:vAlign w:val="center"/>
          </w:tcPr>
          <w:p w:rsidR="009C0B88" w:rsidRPr="00285A45" w:rsidRDefault="009C0B88" w:rsidP="009C0B88">
            <w:pPr>
              <w:jc w:val="center"/>
              <w:rPr>
                <w:color w:val="000000"/>
                <w:sz w:val="20"/>
              </w:rPr>
            </w:pPr>
            <w:r w:rsidRPr="00285A45">
              <w:rPr>
                <w:color w:val="000000"/>
                <w:sz w:val="20"/>
              </w:rPr>
              <w:t>16.26%</w:t>
            </w:r>
          </w:p>
        </w:tc>
        <w:tc>
          <w:tcPr>
            <w:tcW w:w="836" w:type="dxa"/>
            <w:vAlign w:val="center"/>
          </w:tcPr>
          <w:p w:rsidR="009C0B88" w:rsidRPr="00285A45" w:rsidRDefault="009C0B88" w:rsidP="009C0B88">
            <w:pPr>
              <w:jc w:val="center"/>
              <w:rPr>
                <w:sz w:val="20"/>
              </w:rPr>
            </w:pPr>
            <w:r w:rsidRPr="00285A45">
              <w:rPr>
                <w:sz w:val="20"/>
              </w:rPr>
              <w:t>4.70%</w:t>
            </w:r>
          </w:p>
        </w:tc>
        <w:tc>
          <w:tcPr>
            <w:tcW w:w="837" w:type="dxa"/>
            <w:vAlign w:val="center"/>
          </w:tcPr>
          <w:p w:rsidR="009C0B88" w:rsidRPr="00285A45" w:rsidRDefault="009C0B88" w:rsidP="009C0B88">
            <w:pPr>
              <w:jc w:val="center"/>
              <w:rPr>
                <w:color w:val="000000"/>
                <w:sz w:val="20"/>
              </w:rPr>
            </w:pPr>
            <w:r w:rsidRPr="00285A45">
              <w:rPr>
                <w:color w:val="000000"/>
                <w:sz w:val="20"/>
              </w:rPr>
              <w:t>0.92%</w:t>
            </w:r>
          </w:p>
        </w:tc>
        <w:tc>
          <w:tcPr>
            <w:tcW w:w="836" w:type="dxa"/>
            <w:vAlign w:val="center"/>
          </w:tcPr>
          <w:p w:rsidR="009C0B88" w:rsidRPr="00285A45" w:rsidRDefault="009C0B88" w:rsidP="009C0B88">
            <w:pPr>
              <w:jc w:val="center"/>
              <w:rPr>
                <w:sz w:val="20"/>
              </w:rPr>
            </w:pPr>
            <w:r w:rsidRPr="00285A45">
              <w:rPr>
                <w:sz w:val="20"/>
              </w:rPr>
              <w:t>24.46%</w:t>
            </w:r>
          </w:p>
        </w:tc>
        <w:tc>
          <w:tcPr>
            <w:tcW w:w="836" w:type="dxa"/>
            <w:vAlign w:val="center"/>
          </w:tcPr>
          <w:p w:rsidR="009C0B88" w:rsidRPr="00285A45" w:rsidRDefault="009C0B88" w:rsidP="009C0B88">
            <w:pPr>
              <w:jc w:val="center"/>
              <w:rPr>
                <w:color w:val="000000"/>
                <w:sz w:val="20"/>
              </w:rPr>
            </w:pPr>
            <w:r w:rsidRPr="00285A45">
              <w:rPr>
                <w:color w:val="000000"/>
                <w:sz w:val="20"/>
              </w:rPr>
              <w:t>0.90%</w:t>
            </w:r>
          </w:p>
        </w:tc>
        <w:tc>
          <w:tcPr>
            <w:tcW w:w="837" w:type="dxa"/>
            <w:vAlign w:val="center"/>
          </w:tcPr>
          <w:p w:rsidR="009C0B88" w:rsidRPr="00285A45" w:rsidRDefault="009C0B88" w:rsidP="009C0B88">
            <w:pPr>
              <w:jc w:val="center"/>
              <w:rPr>
                <w:sz w:val="20"/>
              </w:rPr>
            </w:pPr>
            <w:r w:rsidRPr="00285A45">
              <w:rPr>
                <w:sz w:val="20"/>
              </w:rPr>
              <w:t>1.00%</w:t>
            </w:r>
          </w:p>
        </w:tc>
        <w:tc>
          <w:tcPr>
            <w:tcW w:w="836" w:type="dxa"/>
            <w:vAlign w:val="center"/>
          </w:tcPr>
          <w:p w:rsidR="009C0B88" w:rsidRPr="00285A45" w:rsidRDefault="009C0B88" w:rsidP="009C0B88">
            <w:pPr>
              <w:jc w:val="center"/>
              <w:rPr>
                <w:color w:val="000000"/>
                <w:sz w:val="20"/>
              </w:rPr>
            </w:pPr>
            <w:r w:rsidRPr="00285A45">
              <w:rPr>
                <w:color w:val="000000"/>
                <w:sz w:val="20"/>
              </w:rPr>
              <w:t>12.70%</w:t>
            </w:r>
          </w:p>
        </w:tc>
        <w:tc>
          <w:tcPr>
            <w:tcW w:w="836" w:type="dxa"/>
            <w:vAlign w:val="center"/>
          </w:tcPr>
          <w:p w:rsidR="009C0B88" w:rsidRPr="00285A45" w:rsidRDefault="009C0B88" w:rsidP="009C0B88">
            <w:pPr>
              <w:jc w:val="center"/>
              <w:rPr>
                <w:sz w:val="20"/>
              </w:rPr>
            </w:pPr>
            <w:r w:rsidRPr="00285A45">
              <w:rPr>
                <w:sz w:val="20"/>
              </w:rPr>
              <w:t>12.75%</w:t>
            </w:r>
          </w:p>
        </w:tc>
        <w:tc>
          <w:tcPr>
            <w:tcW w:w="837" w:type="dxa"/>
            <w:vAlign w:val="center"/>
          </w:tcPr>
          <w:p w:rsidR="009C0B88" w:rsidRPr="00285A45" w:rsidRDefault="009C0B88" w:rsidP="009C0B88">
            <w:pPr>
              <w:jc w:val="center"/>
              <w:rPr>
                <w:color w:val="000000"/>
                <w:sz w:val="20"/>
              </w:rPr>
            </w:pPr>
            <w:r w:rsidRPr="00285A45">
              <w:rPr>
                <w:color w:val="000000"/>
                <w:sz w:val="20"/>
              </w:rPr>
              <w:t>1.74%</w:t>
            </w:r>
          </w:p>
        </w:tc>
      </w:tr>
      <w:tr w:rsidR="009C0B88" w:rsidRPr="00B57A85">
        <w:tc>
          <w:tcPr>
            <w:tcW w:w="1195" w:type="dxa"/>
          </w:tcPr>
          <w:p w:rsidR="009C0B88" w:rsidRPr="008D29ED" w:rsidRDefault="009C0B88" w:rsidP="009C0B88">
            <w:pPr>
              <w:rPr>
                <w:szCs w:val="24"/>
              </w:rPr>
            </w:pPr>
            <w:r w:rsidRPr="008D29ED">
              <w:rPr>
                <w:szCs w:val="24"/>
              </w:rPr>
              <w:t>Africa</w:t>
            </w:r>
          </w:p>
        </w:tc>
        <w:tc>
          <w:tcPr>
            <w:tcW w:w="836" w:type="dxa"/>
            <w:vAlign w:val="center"/>
          </w:tcPr>
          <w:p w:rsidR="009C0B88" w:rsidRPr="00285A45" w:rsidRDefault="009C0B88" w:rsidP="009C0B88">
            <w:pPr>
              <w:jc w:val="center"/>
              <w:rPr>
                <w:sz w:val="20"/>
              </w:rPr>
            </w:pPr>
            <w:r w:rsidRPr="00285A45">
              <w:rPr>
                <w:sz w:val="20"/>
              </w:rPr>
              <w:t>11.69%</w:t>
            </w:r>
          </w:p>
        </w:tc>
        <w:tc>
          <w:tcPr>
            <w:tcW w:w="836" w:type="dxa"/>
            <w:vAlign w:val="center"/>
          </w:tcPr>
          <w:p w:rsidR="009C0B88" w:rsidRPr="00285A45" w:rsidRDefault="009C0B88" w:rsidP="009C0B88">
            <w:pPr>
              <w:jc w:val="center"/>
              <w:rPr>
                <w:color w:val="000000"/>
                <w:sz w:val="20"/>
              </w:rPr>
            </w:pPr>
            <w:r w:rsidRPr="00285A45">
              <w:rPr>
                <w:color w:val="000000"/>
                <w:sz w:val="20"/>
              </w:rPr>
              <w:t>7.94%</w:t>
            </w:r>
          </w:p>
        </w:tc>
        <w:tc>
          <w:tcPr>
            <w:tcW w:w="836" w:type="dxa"/>
            <w:vAlign w:val="center"/>
          </w:tcPr>
          <w:p w:rsidR="009C0B88" w:rsidRPr="00285A45" w:rsidRDefault="009C0B88" w:rsidP="009C0B88">
            <w:pPr>
              <w:jc w:val="center"/>
              <w:rPr>
                <w:sz w:val="20"/>
              </w:rPr>
            </w:pPr>
            <w:r w:rsidRPr="00285A45">
              <w:rPr>
                <w:sz w:val="20"/>
              </w:rPr>
              <w:t>1.57%</w:t>
            </w:r>
          </w:p>
        </w:tc>
        <w:tc>
          <w:tcPr>
            <w:tcW w:w="837" w:type="dxa"/>
            <w:vAlign w:val="center"/>
          </w:tcPr>
          <w:p w:rsidR="009C0B88" w:rsidRPr="00285A45" w:rsidRDefault="009C0B88" w:rsidP="009C0B88">
            <w:pPr>
              <w:jc w:val="center"/>
              <w:rPr>
                <w:color w:val="000000"/>
                <w:sz w:val="20"/>
              </w:rPr>
            </w:pPr>
            <w:r w:rsidRPr="00285A45">
              <w:rPr>
                <w:color w:val="000000"/>
                <w:sz w:val="20"/>
              </w:rPr>
              <w:t>0.58%</w:t>
            </w:r>
          </w:p>
        </w:tc>
        <w:tc>
          <w:tcPr>
            <w:tcW w:w="836" w:type="dxa"/>
            <w:vAlign w:val="center"/>
          </w:tcPr>
          <w:p w:rsidR="009C0B88" w:rsidRPr="00285A45" w:rsidRDefault="009C0B88" w:rsidP="009C0B88">
            <w:pPr>
              <w:jc w:val="center"/>
              <w:rPr>
                <w:sz w:val="20"/>
              </w:rPr>
            </w:pPr>
            <w:r w:rsidRPr="00285A45">
              <w:rPr>
                <w:sz w:val="20"/>
              </w:rPr>
              <w:t>6.65%</w:t>
            </w:r>
          </w:p>
        </w:tc>
        <w:tc>
          <w:tcPr>
            <w:tcW w:w="836" w:type="dxa"/>
            <w:vAlign w:val="center"/>
          </w:tcPr>
          <w:p w:rsidR="009C0B88" w:rsidRPr="00285A45" w:rsidRDefault="009C0B88" w:rsidP="009C0B88">
            <w:pPr>
              <w:jc w:val="center"/>
              <w:rPr>
                <w:color w:val="000000"/>
                <w:sz w:val="20"/>
              </w:rPr>
            </w:pPr>
            <w:r w:rsidRPr="00285A45">
              <w:rPr>
                <w:color w:val="000000"/>
                <w:sz w:val="20"/>
              </w:rPr>
              <w:t>0.74%</w:t>
            </w:r>
          </w:p>
        </w:tc>
        <w:tc>
          <w:tcPr>
            <w:tcW w:w="837" w:type="dxa"/>
            <w:vAlign w:val="center"/>
          </w:tcPr>
          <w:p w:rsidR="009C0B88" w:rsidRPr="00285A45" w:rsidRDefault="009C0B88" w:rsidP="009C0B88">
            <w:pPr>
              <w:jc w:val="center"/>
              <w:rPr>
                <w:sz w:val="20"/>
              </w:rPr>
            </w:pPr>
            <w:r w:rsidRPr="00285A45">
              <w:rPr>
                <w:sz w:val="20"/>
              </w:rPr>
              <w:t>0.30%</w:t>
            </w:r>
          </w:p>
        </w:tc>
        <w:tc>
          <w:tcPr>
            <w:tcW w:w="836" w:type="dxa"/>
            <w:vAlign w:val="center"/>
          </w:tcPr>
          <w:p w:rsidR="009C0B88" w:rsidRPr="00285A45" w:rsidRDefault="009C0B88" w:rsidP="009C0B88">
            <w:pPr>
              <w:jc w:val="center"/>
              <w:rPr>
                <w:color w:val="000000"/>
                <w:sz w:val="20"/>
              </w:rPr>
            </w:pPr>
            <w:r w:rsidRPr="00285A45">
              <w:rPr>
                <w:color w:val="000000"/>
                <w:sz w:val="20"/>
              </w:rPr>
              <w:t>5.61%</w:t>
            </w:r>
          </w:p>
        </w:tc>
        <w:tc>
          <w:tcPr>
            <w:tcW w:w="836" w:type="dxa"/>
            <w:vAlign w:val="center"/>
          </w:tcPr>
          <w:p w:rsidR="009C0B88" w:rsidRPr="00285A45" w:rsidRDefault="009C0B88" w:rsidP="009C0B88">
            <w:pPr>
              <w:jc w:val="center"/>
              <w:rPr>
                <w:sz w:val="20"/>
              </w:rPr>
            </w:pPr>
            <w:r w:rsidRPr="00285A45">
              <w:rPr>
                <w:sz w:val="20"/>
              </w:rPr>
              <w:t>3.17%</w:t>
            </w:r>
          </w:p>
        </w:tc>
        <w:tc>
          <w:tcPr>
            <w:tcW w:w="837" w:type="dxa"/>
            <w:vAlign w:val="center"/>
          </w:tcPr>
          <w:p w:rsidR="009C0B88" w:rsidRPr="00285A45" w:rsidRDefault="009C0B88" w:rsidP="009C0B88">
            <w:pPr>
              <w:jc w:val="center"/>
              <w:rPr>
                <w:color w:val="000000"/>
                <w:sz w:val="20"/>
              </w:rPr>
            </w:pPr>
            <w:r w:rsidRPr="00285A45">
              <w:rPr>
                <w:color w:val="000000"/>
                <w:sz w:val="20"/>
              </w:rPr>
              <w:t>1.00%</w:t>
            </w:r>
          </w:p>
        </w:tc>
      </w:tr>
      <w:tr w:rsidR="009C0B88" w:rsidRPr="00B57A85">
        <w:tc>
          <w:tcPr>
            <w:tcW w:w="9558" w:type="dxa"/>
            <w:gridSpan w:val="11"/>
            <w:vAlign w:val="center"/>
          </w:tcPr>
          <w:p w:rsidR="009C0B88" w:rsidRDefault="009C0B88" w:rsidP="009C0B88">
            <w:pPr>
              <w:rPr>
                <w:color w:val="000000"/>
                <w:sz w:val="20"/>
              </w:rPr>
            </w:pPr>
            <w:r>
              <w:rPr>
                <w:color w:val="000000"/>
                <w:sz w:val="20"/>
              </w:rPr>
              <w:t xml:space="preserve">Sources: AICD project via </w:t>
            </w:r>
            <w:r w:rsidRPr="00285A45">
              <w:rPr>
                <w:color w:val="000000"/>
                <w:sz w:val="20"/>
              </w:rPr>
              <w:t>Briceño-Garmendia, Smits, and Foster</w:t>
            </w:r>
            <w:r>
              <w:rPr>
                <w:color w:val="000000"/>
                <w:sz w:val="20"/>
              </w:rPr>
              <w:t xml:space="preserve"> </w:t>
            </w:r>
            <w:r w:rsidR="00F7383F">
              <w:rPr>
                <w:color w:val="000000"/>
                <w:sz w:val="20"/>
              </w:rPr>
              <w:fldChar w:fldCharType="begin"/>
            </w:r>
            <w:r>
              <w:rPr>
                <w:color w:val="000000"/>
                <w:sz w:val="20"/>
              </w:rPr>
              <w:instrText xml:space="preserve"> ADDIN ZOTERO_ITEM {"citationID":"iRTV1BEf","properties":{"formattedCitation":"(2008, 1)","plainCitation":"(2008, 1)"},"citationItems":[{"id":1196,"uris":["http://zotero.org/groups/4482/items/UP8ZFQK9"],"uri":["http://zotero.org/groups/4482/items/UP8ZFQK9"],"locator":"1","label":"page","suppress-author":true}]} </w:instrText>
            </w:r>
            <w:r w:rsidR="00F7383F">
              <w:rPr>
                <w:color w:val="000000"/>
                <w:sz w:val="20"/>
              </w:rPr>
              <w:fldChar w:fldCharType="separate"/>
            </w:r>
            <w:r>
              <w:rPr>
                <w:sz w:val="20"/>
              </w:rPr>
              <w:t>(2008, 1)</w:t>
            </w:r>
            <w:r w:rsidR="00F7383F">
              <w:rPr>
                <w:color w:val="000000"/>
                <w:sz w:val="20"/>
              </w:rPr>
              <w:fldChar w:fldCharType="end"/>
            </w:r>
            <w:r>
              <w:rPr>
                <w:color w:val="000000"/>
                <w:sz w:val="20"/>
              </w:rPr>
              <w:t xml:space="preserve"> and IFs v6.51</w:t>
            </w:r>
          </w:p>
          <w:p w:rsidR="009C0B88" w:rsidRPr="00285A45" w:rsidRDefault="009C0B88" w:rsidP="009C0B88">
            <w:pPr>
              <w:rPr>
                <w:color w:val="000000"/>
                <w:sz w:val="20"/>
              </w:rPr>
            </w:pPr>
            <w:r>
              <w:rPr>
                <w:color w:val="000000"/>
                <w:sz w:val="20"/>
              </w:rPr>
              <w:t>Note: Infrastructure spending is shown as a percent of GDP; values from AICD are annual averages for the 2006-2015; values from IFs are for 2015; LIC is low-income country and fragile states are ......</w:t>
            </w:r>
          </w:p>
        </w:tc>
      </w:tr>
    </w:tbl>
    <w:p w:rsidR="009C0B88" w:rsidRDefault="009C0B88" w:rsidP="009C0B88"/>
    <w:p w:rsidR="009C0B88" w:rsidRDefault="009C0B88" w:rsidP="009C0B88">
      <w:r w:rsidRPr="00D54574">
        <w:t>Bhattacharyay</w:t>
      </w:r>
      <w:r>
        <w:rPr>
          <w:i/>
        </w:rPr>
        <w:t xml:space="preserve"> </w:t>
      </w:r>
      <w:r w:rsidR="00F7383F">
        <w:rPr>
          <w:i/>
        </w:rPr>
        <w:fldChar w:fldCharType="begin"/>
      </w:r>
      <w:r>
        <w:rPr>
          <w:i/>
        </w:rPr>
        <w:instrText xml:space="preserve"> ADDIN ZOTERO_ITEM {"citationID":"BcS7b4HK","properties":{"formattedCitation":"(2010)","plainCitation":"(2010)"},"citationItems":[{"id":1156,"uris":["http://zotero.org/groups/4482/items/MQ3EDFBR"],"uri":["http://zotero.org/groups/4482/items/MQ3EDFBR"],"suppress-author":true}]} </w:instrText>
      </w:r>
      <w:r w:rsidR="00F7383F">
        <w:rPr>
          <w:i/>
        </w:rPr>
        <w:fldChar w:fldCharType="separate"/>
      </w:r>
      <w:r>
        <w:t>(2010)</w:t>
      </w:r>
      <w:r w:rsidR="00F7383F">
        <w:rPr>
          <w:i/>
        </w:rPr>
        <w:fldChar w:fldCharType="end"/>
      </w:r>
      <w:r>
        <w:rPr>
          <w:i/>
        </w:rPr>
        <w:t xml:space="preserve"> </w:t>
      </w:r>
      <w:r>
        <w:t>estimated costs for the period 2010-2020 in four infrastructure sectors for four sub-regions of Asia and Asia as a whole. We duplicated his sub-regions in IFs (the only variation is that we do not have Kiribati in The Pacific). Table 5.5 presents the comparison of his results and those of IFs.</w:t>
      </w:r>
    </w:p>
    <w:p w:rsidR="009C0B88" w:rsidRDefault="009C0B88" w:rsidP="009C0B88"/>
    <w:tbl>
      <w:tblPr>
        <w:tblStyle w:val="TableGrid"/>
        <w:tblW w:w="0" w:type="auto"/>
        <w:tblLook w:val="04A0"/>
      </w:tblPr>
      <w:tblGrid>
        <w:gridCol w:w="1216"/>
        <w:gridCol w:w="836"/>
        <w:gridCol w:w="836"/>
        <w:gridCol w:w="836"/>
        <w:gridCol w:w="836"/>
        <w:gridCol w:w="836"/>
        <w:gridCol w:w="836"/>
        <w:gridCol w:w="836"/>
        <w:gridCol w:w="836"/>
        <w:gridCol w:w="836"/>
        <w:gridCol w:w="836"/>
      </w:tblGrid>
      <w:tr w:rsidR="009C0B88" w:rsidRPr="00F43581">
        <w:tc>
          <w:tcPr>
            <w:tcW w:w="9576" w:type="dxa"/>
            <w:gridSpan w:val="11"/>
            <w:vAlign w:val="center"/>
          </w:tcPr>
          <w:p w:rsidR="009C0B88" w:rsidRPr="00F43581" w:rsidRDefault="009C0B88" w:rsidP="009C0B88">
            <w:pPr>
              <w:keepNext/>
              <w:keepLines/>
              <w:rPr>
                <w:b/>
              </w:rPr>
            </w:pPr>
            <w:r w:rsidRPr="00F43581">
              <w:rPr>
                <w:b/>
              </w:rPr>
              <w:t>Table 5.</w:t>
            </w:r>
            <w:r>
              <w:rPr>
                <w:b/>
              </w:rPr>
              <w:t>5</w:t>
            </w:r>
            <w:r w:rsidRPr="00F43581">
              <w:rPr>
                <w:b/>
              </w:rPr>
              <w:t xml:space="preserve"> Compari</w:t>
            </w:r>
            <w:r>
              <w:rPr>
                <w:b/>
              </w:rPr>
              <w:t>ng</w:t>
            </w:r>
            <w:r w:rsidRPr="00F43581">
              <w:rPr>
                <w:b/>
              </w:rPr>
              <w:t xml:space="preserve"> </w:t>
            </w:r>
            <w:r>
              <w:rPr>
                <w:b/>
              </w:rPr>
              <w:t>Asian i</w:t>
            </w:r>
            <w:r w:rsidRPr="00F43581">
              <w:rPr>
                <w:b/>
              </w:rPr>
              <w:t xml:space="preserve">nfrastructure </w:t>
            </w:r>
            <w:r>
              <w:rPr>
                <w:b/>
              </w:rPr>
              <w:t>s</w:t>
            </w:r>
            <w:r w:rsidRPr="00F43581">
              <w:rPr>
                <w:b/>
              </w:rPr>
              <w:t xml:space="preserve">pending </w:t>
            </w:r>
            <w:r>
              <w:rPr>
                <w:b/>
              </w:rPr>
              <w:t xml:space="preserve">forecasts of Bhattacharyav and IFs </w:t>
            </w:r>
            <w:r w:rsidRPr="00F43581">
              <w:rPr>
                <w:b/>
              </w:rPr>
              <w:t>(2010-2020)</w:t>
            </w:r>
          </w:p>
        </w:tc>
      </w:tr>
      <w:tr w:rsidR="009C0B88" w:rsidRPr="00915F52">
        <w:tc>
          <w:tcPr>
            <w:tcW w:w="1381" w:type="dxa"/>
          </w:tcPr>
          <w:p w:rsidR="009C0B88" w:rsidRPr="00915F52" w:rsidRDefault="009C0B88" w:rsidP="009C0B88">
            <w:pPr>
              <w:keepNext/>
              <w:keepLines/>
              <w:rPr>
                <w:szCs w:val="24"/>
              </w:rPr>
            </w:pPr>
          </w:p>
        </w:tc>
        <w:tc>
          <w:tcPr>
            <w:tcW w:w="1651" w:type="dxa"/>
            <w:gridSpan w:val="2"/>
            <w:vAlign w:val="center"/>
          </w:tcPr>
          <w:p w:rsidR="009C0B88" w:rsidRPr="00915F52" w:rsidRDefault="009C0B88" w:rsidP="009C0B88">
            <w:pPr>
              <w:jc w:val="center"/>
              <w:rPr>
                <w:szCs w:val="24"/>
              </w:rPr>
            </w:pPr>
            <w:r>
              <w:rPr>
                <w:szCs w:val="24"/>
              </w:rPr>
              <w:t>Total</w:t>
            </w:r>
          </w:p>
        </w:tc>
        <w:tc>
          <w:tcPr>
            <w:tcW w:w="1645" w:type="dxa"/>
            <w:gridSpan w:val="2"/>
            <w:vAlign w:val="center"/>
          </w:tcPr>
          <w:p w:rsidR="009C0B88" w:rsidRPr="00915F52" w:rsidRDefault="009C0B88" w:rsidP="009C0B88">
            <w:pPr>
              <w:jc w:val="center"/>
              <w:rPr>
                <w:szCs w:val="24"/>
              </w:rPr>
            </w:pPr>
            <w:r>
              <w:rPr>
                <w:szCs w:val="24"/>
              </w:rPr>
              <w:t>Electricity</w:t>
            </w:r>
          </w:p>
        </w:tc>
        <w:tc>
          <w:tcPr>
            <w:tcW w:w="1643" w:type="dxa"/>
            <w:gridSpan w:val="2"/>
            <w:vAlign w:val="center"/>
          </w:tcPr>
          <w:p w:rsidR="009C0B88" w:rsidRPr="00915F52" w:rsidRDefault="009C0B88" w:rsidP="009C0B88">
            <w:pPr>
              <w:jc w:val="center"/>
              <w:rPr>
                <w:szCs w:val="24"/>
              </w:rPr>
            </w:pPr>
            <w:r>
              <w:rPr>
                <w:szCs w:val="24"/>
              </w:rPr>
              <w:t>Transport</w:t>
            </w:r>
          </w:p>
        </w:tc>
        <w:tc>
          <w:tcPr>
            <w:tcW w:w="1640" w:type="dxa"/>
            <w:gridSpan w:val="2"/>
            <w:vAlign w:val="center"/>
          </w:tcPr>
          <w:p w:rsidR="009C0B88" w:rsidRPr="00915F52" w:rsidRDefault="009C0B88" w:rsidP="009C0B88">
            <w:pPr>
              <w:jc w:val="center"/>
              <w:rPr>
                <w:szCs w:val="24"/>
              </w:rPr>
            </w:pPr>
            <w:r>
              <w:rPr>
                <w:szCs w:val="24"/>
              </w:rPr>
              <w:t>Telecom</w:t>
            </w:r>
          </w:p>
        </w:tc>
        <w:tc>
          <w:tcPr>
            <w:tcW w:w="1616" w:type="dxa"/>
            <w:gridSpan w:val="2"/>
            <w:vAlign w:val="center"/>
          </w:tcPr>
          <w:p w:rsidR="009C0B88" w:rsidRPr="00915F52" w:rsidRDefault="009C0B88" w:rsidP="009C0B88">
            <w:pPr>
              <w:jc w:val="center"/>
              <w:rPr>
                <w:szCs w:val="24"/>
              </w:rPr>
            </w:pPr>
            <w:r>
              <w:rPr>
                <w:szCs w:val="24"/>
              </w:rPr>
              <w:t>WSS</w:t>
            </w:r>
          </w:p>
        </w:tc>
      </w:tr>
      <w:tr w:rsidR="009C0B88" w:rsidRPr="00915F52">
        <w:tc>
          <w:tcPr>
            <w:tcW w:w="1381" w:type="dxa"/>
          </w:tcPr>
          <w:p w:rsidR="009C0B88" w:rsidRPr="00915F52" w:rsidRDefault="009C0B88" w:rsidP="009C0B88">
            <w:pPr>
              <w:keepNext/>
              <w:keepLines/>
              <w:rPr>
                <w:szCs w:val="24"/>
              </w:rPr>
            </w:pPr>
          </w:p>
        </w:tc>
        <w:tc>
          <w:tcPr>
            <w:tcW w:w="831" w:type="dxa"/>
            <w:vAlign w:val="center"/>
          </w:tcPr>
          <w:p w:rsidR="009C0B88" w:rsidRPr="00915F52" w:rsidRDefault="009C0B88" w:rsidP="009C0B88">
            <w:pPr>
              <w:jc w:val="center"/>
              <w:rPr>
                <w:szCs w:val="24"/>
              </w:rPr>
            </w:pPr>
            <w:r>
              <w:rPr>
                <w:szCs w:val="24"/>
              </w:rPr>
              <w:t>Bhat</w:t>
            </w:r>
          </w:p>
        </w:tc>
        <w:tc>
          <w:tcPr>
            <w:tcW w:w="820" w:type="dxa"/>
            <w:vAlign w:val="center"/>
          </w:tcPr>
          <w:p w:rsidR="009C0B88" w:rsidRPr="00915F52" w:rsidRDefault="009C0B88" w:rsidP="009C0B88">
            <w:pPr>
              <w:jc w:val="center"/>
              <w:rPr>
                <w:szCs w:val="24"/>
              </w:rPr>
            </w:pPr>
            <w:r>
              <w:rPr>
                <w:szCs w:val="24"/>
              </w:rPr>
              <w:t>IFs</w:t>
            </w:r>
          </w:p>
        </w:tc>
        <w:tc>
          <w:tcPr>
            <w:tcW w:w="831" w:type="dxa"/>
            <w:vAlign w:val="center"/>
          </w:tcPr>
          <w:p w:rsidR="009C0B88" w:rsidRPr="00915F52" w:rsidRDefault="009C0B88" w:rsidP="009C0B88">
            <w:pPr>
              <w:jc w:val="center"/>
              <w:rPr>
                <w:szCs w:val="24"/>
              </w:rPr>
            </w:pPr>
            <w:r>
              <w:rPr>
                <w:szCs w:val="24"/>
              </w:rPr>
              <w:t>Bhat</w:t>
            </w:r>
          </w:p>
        </w:tc>
        <w:tc>
          <w:tcPr>
            <w:tcW w:w="814" w:type="dxa"/>
            <w:vAlign w:val="center"/>
          </w:tcPr>
          <w:p w:rsidR="009C0B88" w:rsidRPr="00915F52" w:rsidRDefault="009C0B88" w:rsidP="009C0B88">
            <w:pPr>
              <w:jc w:val="center"/>
              <w:rPr>
                <w:szCs w:val="24"/>
              </w:rPr>
            </w:pPr>
            <w:r>
              <w:rPr>
                <w:szCs w:val="24"/>
              </w:rPr>
              <w:t>IFs</w:t>
            </w:r>
          </w:p>
        </w:tc>
        <w:tc>
          <w:tcPr>
            <w:tcW w:w="831" w:type="dxa"/>
            <w:vAlign w:val="center"/>
          </w:tcPr>
          <w:p w:rsidR="009C0B88" w:rsidRPr="00915F52" w:rsidRDefault="009C0B88" w:rsidP="009C0B88">
            <w:pPr>
              <w:jc w:val="center"/>
              <w:rPr>
                <w:szCs w:val="24"/>
              </w:rPr>
            </w:pPr>
            <w:r>
              <w:rPr>
                <w:szCs w:val="24"/>
              </w:rPr>
              <w:t>Bhat</w:t>
            </w:r>
          </w:p>
        </w:tc>
        <w:tc>
          <w:tcPr>
            <w:tcW w:w="812" w:type="dxa"/>
            <w:vAlign w:val="center"/>
          </w:tcPr>
          <w:p w:rsidR="009C0B88" w:rsidRPr="00915F52" w:rsidRDefault="009C0B88" w:rsidP="009C0B88">
            <w:pPr>
              <w:jc w:val="center"/>
              <w:rPr>
                <w:szCs w:val="24"/>
              </w:rPr>
            </w:pPr>
            <w:r>
              <w:rPr>
                <w:szCs w:val="24"/>
              </w:rPr>
              <w:t>IFs</w:t>
            </w:r>
          </w:p>
        </w:tc>
        <w:tc>
          <w:tcPr>
            <w:tcW w:w="831" w:type="dxa"/>
            <w:vAlign w:val="center"/>
          </w:tcPr>
          <w:p w:rsidR="009C0B88" w:rsidRPr="00915F52" w:rsidRDefault="009C0B88" w:rsidP="009C0B88">
            <w:pPr>
              <w:jc w:val="center"/>
              <w:rPr>
                <w:szCs w:val="24"/>
              </w:rPr>
            </w:pPr>
            <w:r>
              <w:rPr>
                <w:szCs w:val="24"/>
              </w:rPr>
              <w:t>Bhat</w:t>
            </w:r>
          </w:p>
        </w:tc>
        <w:tc>
          <w:tcPr>
            <w:tcW w:w="809" w:type="dxa"/>
            <w:vAlign w:val="center"/>
          </w:tcPr>
          <w:p w:rsidR="009C0B88" w:rsidRPr="00915F52" w:rsidRDefault="009C0B88" w:rsidP="009C0B88">
            <w:pPr>
              <w:jc w:val="center"/>
              <w:rPr>
                <w:szCs w:val="24"/>
              </w:rPr>
            </w:pPr>
            <w:r>
              <w:rPr>
                <w:szCs w:val="24"/>
              </w:rPr>
              <w:t>IFs</w:t>
            </w:r>
          </w:p>
        </w:tc>
        <w:tc>
          <w:tcPr>
            <w:tcW w:w="831" w:type="dxa"/>
            <w:vAlign w:val="center"/>
          </w:tcPr>
          <w:p w:rsidR="009C0B88" w:rsidRPr="00915F52" w:rsidRDefault="009C0B88" w:rsidP="009C0B88">
            <w:pPr>
              <w:jc w:val="center"/>
              <w:rPr>
                <w:szCs w:val="24"/>
              </w:rPr>
            </w:pPr>
            <w:r>
              <w:rPr>
                <w:szCs w:val="24"/>
              </w:rPr>
              <w:t>Bhat</w:t>
            </w:r>
          </w:p>
        </w:tc>
        <w:tc>
          <w:tcPr>
            <w:tcW w:w="785" w:type="dxa"/>
            <w:vAlign w:val="center"/>
          </w:tcPr>
          <w:p w:rsidR="009C0B88" w:rsidRPr="00915F52" w:rsidRDefault="009C0B88" w:rsidP="009C0B88">
            <w:pPr>
              <w:jc w:val="center"/>
              <w:rPr>
                <w:szCs w:val="24"/>
              </w:rPr>
            </w:pPr>
            <w:r>
              <w:rPr>
                <w:szCs w:val="24"/>
              </w:rPr>
              <w:t>IFs</w:t>
            </w:r>
          </w:p>
        </w:tc>
      </w:tr>
      <w:tr w:rsidR="009C0B88" w:rsidRPr="00915A93">
        <w:tc>
          <w:tcPr>
            <w:tcW w:w="1381" w:type="dxa"/>
            <w:vAlign w:val="center"/>
          </w:tcPr>
          <w:p w:rsidR="009C0B88" w:rsidRPr="00915A93" w:rsidRDefault="009C0B88" w:rsidP="009C0B88">
            <w:pPr>
              <w:keepNext/>
              <w:keepLines/>
              <w:jc w:val="center"/>
            </w:pPr>
            <w:r w:rsidRPr="00915A93">
              <w:t>Central Asia</w:t>
            </w:r>
          </w:p>
        </w:tc>
        <w:tc>
          <w:tcPr>
            <w:tcW w:w="831" w:type="dxa"/>
            <w:vAlign w:val="center"/>
          </w:tcPr>
          <w:p w:rsidR="009C0B88" w:rsidRPr="00915A93" w:rsidRDefault="009C0B88" w:rsidP="009C0B88">
            <w:pPr>
              <w:jc w:val="center"/>
            </w:pPr>
            <w:r w:rsidRPr="00915A93">
              <w:t>6.64%</w:t>
            </w:r>
          </w:p>
        </w:tc>
        <w:tc>
          <w:tcPr>
            <w:tcW w:w="820" w:type="dxa"/>
            <w:vAlign w:val="center"/>
          </w:tcPr>
          <w:p w:rsidR="009C0B88" w:rsidRPr="00915A93" w:rsidRDefault="009C0B88" w:rsidP="009C0B88">
            <w:pPr>
              <w:jc w:val="center"/>
              <w:rPr>
                <w:color w:val="000000"/>
              </w:rPr>
            </w:pPr>
            <w:r w:rsidRPr="00915A93">
              <w:rPr>
                <w:color w:val="000000"/>
              </w:rPr>
              <w:t>6.45%</w:t>
            </w:r>
          </w:p>
        </w:tc>
        <w:tc>
          <w:tcPr>
            <w:tcW w:w="831" w:type="dxa"/>
            <w:vAlign w:val="center"/>
          </w:tcPr>
          <w:p w:rsidR="009C0B88" w:rsidRPr="00915A93" w:rsidRDefault="009C0B88" w:rsidP="009C0B88">
            <w:pPr>
              <w:jc w:val="center"/>
            </w:pPr>
            <w:r w:rsidRPr="00915A93">
              <w:t>2.97%</w:t>
            </w:r>
          </w:p>
        </w:tc>
        <w:tc>
          <w:tcPr>
            <w:tcW w:w="814" w:type="dxa"/>
            <w:vAlign w:val="center"/>
          </w:tcPr>
          <w:p w:rsidR="009C0B88" w:rsidRPr="00915A93" w:rsidRDefault="009C0B88" w:rsidP="009C0B88">
            <w:pPr>
              <w:jc w:val="center"/>
              <w:rPr>
                <w:color w:val="000000"/>
              </w:rPr>
            </w:pPr>
            <w:r w:rsidRPr="00915A93">
              <w:rPr>
                <w:color w:val="000000"/>
              </w:rPr>
              <w:t>0.94%</w:t>
            </w:r>
          </w:p>
        </w:tc>
        <w:tc>
          <w:tcPr>
            <w:tcW w:w="831" w:type="dxa"/>
            <w:vAlign w:val="center"/>
          </w:tcPr>
          <w:p w:rsidR="009C0B88" w:rsidRPr="00915A93" w:rsidRDefault="009C0B88" w:rsidP="009C0B88">
            <w:pPr>
              <w:jc w:val="center"/>
            </w:pPr>
            <w:r w:rsidRPr="00915A93">
              <w:t>1.86%</w:t>
            </w:r>
          </w:p>
        </w:tc>
        <w:tc>
          <w:tcPr>
            <w:tcW w:w="812" w:type="dxa"/>
            <w:vAlign w:val="center"/>
          </w:tcPr>
          <w:p w:rsidR="009C0B88" w:rsidRPr="00915A93" w:rsidRDefault="009C0B88" w:rsidP="009C0B88">
            <w:pPr>
              <w:jc w:val="center"/>
              <w:rPr>
                <w:color w:val="000000"/>
              </w:rPr>
            </w:pPr>
            <w:r w:rsidRPr="00915A93">
              <w:rPr>
                <w:color w:val="000000"/>
              </w:rPr>
              <w:t>1.27%</w:t>
            </w:r>
          </w:p>
        </w:tc>
        <w:tc>
          <w:tcPr>
            <w:tcW w:w="831" w:type="dxa"/>
            <w:vAlign w:val="center"/>
          </w:tcPr>
          <w:p w:rsidR="009C0B88" w:rsidRPr="00915A93" w:rsidRDefault="009C0B88" w:rsidP="009C0B88">
            <w:pPr>
              <w:jc w:val="center"/>
            </w:pPr>
            <w:r w:rsidRPr="00915A93">
              <w:t>1.40%</w:t>
            </w:r>
          </w:p>
        </w:tc>
        <w:tc>
          <w:tcPr>
            <w:tcW w:w="809" w:type="dxa"/>
            <w:vAlign w:val="center"/>
          </w:tcPr>
          <w:p w:rsidR="009C0B88" w:rsidRPr="00915A93" w:rsidRDefault="009C0B88" w:rsidP="009C0B88">
            <w:pPr>
              <w:jc w:val="center"/>
              <w:rPr>
                <w:color w:val="000000"/>
              </w:rPr>
            </w:pPr>
            <w:r w:rsidRPr="00915A93">
              <w:rPr>
                <w:color w:val="000000"/>
              </w:rPr>
              <w:t>3.97%</w:t>
            </w:r>
          </w:p>
        </w:tc>
        <w:tc>
          <w:tcPr>
            <w:tcW w:w="831" w:type="dxa"/>
            <w:vAlign w:val="center"/>
          </w:tcPr>
          <w:p w:rsidR="009C0B88" w:rsidRPr="00915A93" w:rsidRDefault="009C0B88" w:rsidP="009C0B88">
            <w:pPr>
              <w:jc w:val="center"/>
            </w:pPr>
            <w:r w:rsidRPr="00915A93">
              <w:t>0.42%</w:t>
            </w:r>
          </w:p>
        </w:tc>
        <w:tc>
          <w:tcPr>
            <w:tcW w:w="785" w:type="dxa"/>
            <w:vAlign w:val="center"/>
          </w:tcPr>
          <w:p w:rsidR="009C0B88" w:rsidRPr="00915A93" w:rsidRDefault="009C0B88" w:rsidP="009C0B88">
            <w:pPr>
              <w:jc w:val="center"/>
              <w:rPr>
                <w:color w:val="000000"/>
              </w:rPr>
            </w:pPr>
            <w:r w:rsidRPr="00915A93">
              <w:rPr>
                <w:color w:val="000000"/>
              </w:rPr>
              <w:t>0.27%</w:t>
            </w:r>
          </w:p>
        </w:tc>
      </w:tr>
      <w:tr w:rsidR="009C0B88" w:rsidRPr="00915A93">
        <w:tc>
          <w:tcPr>
            <w:tcW w:w="1381" w:type="dxa"/>
            <w:vAlign w:val="center"/>
          </w:tcPr>
          <w:p w:rsidR="009C0B88" w:rsidRPr="00915A93" w:rsidRDefault="009C0B88" w:rsidP="009C0B88">
            <w:pPr>
              <w:keepNext/>
              <w:keepLines/>
              <w:jc w:val="center"/>
            </w:pPr>
            <w:r w:rsidRPr="00915A93">
              <w:t>East and South East Asia</w:t>
            </w:r>
          </w:p>
        </w:tc>
        <w:tc>
          <w:tcPr>
            <w:tcW w:w="831" w:type="dxa"/>
            <w:vAlign w:val="center"/>
          </w:tcPr>
          <w:p w:rsidR="009C0B88" w:rsidRPr="00915A93" w:rsidRDefault="009C0B88" w:rsidP="009C0B88">
            <w:pPr>
              <w:jc w:val="center"/>
            </w:pPr>
            <w:r w:rsidRPr="00915A93">
              <w:t>5.54%</w:t>
            </w:r>
          </w:p>
        </w:tc>
        <w:tc>
          <w:tcPr>
            <w:tcW w:w="820" w:type="dxa"/>
            <w:vAlign w:val="center"/>
          </w:tcPr>
          <w:p w:rsidR="009C0B88" w:rsidRPr="00915A93" w:rsidRDefault="009C0B88" w:rsidP="009C0B88">
            <w:pPr>
              <w:jc w:val="center"/>
              <w:rPr>
                <w:color w:val="000000"/>
              </w:rPr>
            </w:pPr>
            <w:r w:rsidRPr="00915A93">
              <w:rPr>
                <w:color w:val="000000"/>
              </w:rPr>
              <w:t>3.89%</w:t>
            </w:r>
          </w:p>
        </w:tc>
        <w:tc>
          <w:tcPr>
            <w:tcW w:w="831" w:type="dxa"/>
            <w:vAlign w:val="center"/>
          </w:tcPr>
          <w:p w:rsidR="009C0B88" w:rsidRPr="00915A93" w:rsidRDefault="009C0B88" w:rsidP="009C0B88">
            <w:pPr>
              <w:jc w:val="center"/>
            </w:pPr>
            <w:r w:rsidRPr="00915A93">
              <w:t>3.22%</w:t>
            </w:r>
          </w:p>
        </w:tc>
        <w:tc>
          <w:tcPr>
            <w:tcW w:w="814" w:type="dxa"/>
            <w:vAlign w:val="center"/>
          </w:tcPr>
          <w:p w:rsidR="009C0B88" w:rsidRPr="00915A93" w:rsidRDefault="009C0B88" w:rsidP="009C0B88">
            <w:pPr>
              <w:jc w:val="center"/>
              <w:rPr>
                <w:color w:val="000000"/>
              </w:rPr>
            </w:pPr>
            <w:r w:rsidRPr="00915A93">
              <w:rPr>
                <w:color w:val="000000"/>
              </w:rPr>
              <w:t>1.81%</w:t>
            </w:r>
          </w:p>
        </w:tc>
        <w:tc>
          <w:tcPr>
            <w:tcW w:w="831" w:type="dxa"/>
            <w:vAlign w:val="center"/>
          </w:tcPr>
          <w:p w:rsidR="009C0B88" w:rsidRPr="00915A93" w:rsidRDefault="009C0B88" w:rsidP="009C0B88">
            <w:pPr>
              <w:jc w:val="center"/>
            </w:pPr>
            <w:r w:rsidRPr="00915A93">
              <w:t>1.61%</w:t>
            </w:r>
          </w:p>
        </w:tc>
        <w:tc>
          <w:tcPr>
            <w:tcW w:w="812" w:type="dxa"/>
            <w:vAlign w:val="center"/>
          </w:tcPr>
          <w:p w:rsidR="009C0B88" w:rsidRPr="00915A93" w:rsidRDefault="009C0B88" w:rsidP="009C0B88">
            <w:pPr>
              <w:jc w:val="center"/>
              <w:rPr>
                <w:color w:val="000000"/>
              </w:rPr>
            </w:pPr>
            <w:r w:rsidRPr="00915A93">
              <w:rPr>
                <w:color w:val="000000"/>
              </w:rPr>
              <w:t>0.65%</w:t>
            </w:r>
          </w:p>
        </w:tc>
        <w:tc>
          <w:tcPr>
            <w:tcW w:w="831" w:type="dxa"/>
            <w:vAlign w:val="center"/>
          </w:tcPr>
          <w:p w:rsidR="009C0B88" w:rsidRPr="00915A93" w:rsidRDefault="009C0B88" w:rsidP="009C0B88">
            <w:pPr>
              <w:jc w:val="center"/>
            </w:pPr>
            <w:r w:rsidRPr="00915A93">
              <w:t>0.53%</w:t>
            </w:r>
          </w:p>
        </w:tc>
        <w:tc>
          <w:tcPr>
            <w:tcW w:w="809" w:type="dxa"/>
            <w:vAlign w:val="center"/>
          </w:tcPr>
          <w:p w:rsidR="009C0B88" w:rsidRPr="00915A93" w:rsidRDefault="009C0B88" w:rsidP="009C0B88">
            <w:pPr>
              <w:jc w:val="center"/>
              <w:rPr>
                <w:color w:val="000000"/>
              </w:rPr>
            </w:pPr>
            <w:r w:rsidRPr="00915A93">
              <w:rPr>
                <w:color w:val="000000"/>
              </w:rPr>
              <w:t>1.14%</w:t>
            </w:r>
          </w:p>
        </w:tc>
        <w:tc>
          <w:tcPr>
            <w:tcW w:w="831" w:type="dxa"/>
            <w:vAlign w:val="center"/>
          </w:tcPr>
          <w:p w:rsidR="009C0B88" w:rsidRPr="00915A93" w:rsidRDefault="009C0B88" w:rsidP="009C0B88">
            <w:pPr>
              <w:jc w:val="center"/>
            </w:pPr>
            <w:r w:rsidRPr="00915A93">
              <w:t>0.17%</w:t>
            </w:r>
          </w:p>
        </w:tc>
        <w:tc>
          <w:tcPr>
            <w:tcW w:w="785" w:type="dxa"/>
            <w:vAlign w:val="center"/>
          </w:tcPr>
          <w:p w:rsidR="009C0B88" w:rsidRPr="00915A93" w:rsidRDefault="009C0B88" w:rsidP="009C0B88">
            <w:pPr>
              <w:jc w:val="center"/>
              <w:rPr>
                <w:color w:val="000000"/>
              </w:rPr>
            </w:pPr>
            <w:r w:rsidRPr="00915A93">
              <w:rPr>
                <w:color w:val="000000"/>
              </w:rPr>
              <w:t>0.29%</w:t>
            </w:r>
          </w:p>
        </w:tc>
      </w:tr>
      <w:tr w:rsidR="009C0B88" w:rsidRPr="00915A93">
        <w:tc>
          <w:tcPr>
            <w:tcW w:w="1381" w:type="dxa"/>
            <w:vAlign w:val="center"/>
          </w:tcPr>
          <w:p w:rsidR="009C0B88" w:rsidRPr="00915A93" w:rsidRDefault="009C0B88" w:rsidP="009C0B88">
            <w:pPr>
              <w:keepNext/>
              <w:keepLines/>
              <w:jc w:val="center"/>
            </w:pPr>
            <w:r w:rsidRPr="00915A93">
              <w:t>South Asia</w:t>
            </w:r>
          </w:p>
        </w:tc>
        <w:tc>
          <w:tcPr>
            <w:tcW w:w="831" w:type="dxa"/>
            <w:vAlign w:val="center"/>
          </w:tcPr>
          <w:p w:rsidR="009C0B88" w:rsidRPr="00915A93" w:rsidRDefault="009C0B88" w:rsidP="009C0B88">
            <w:pPr>
              <w:jc w:val="center"/>
            </w:pPr>
            <w:r w:rsidRPr="00915A93">
              <w:t>11%</w:t>
            </w:r>
          </w:p>
        </w:tc>
        <w:tc>
          <w:tcPr>
            <w:tcW w:w="820" w:type="dxa"/>
            <w:vAlign w:val="center"/>
          </w:tcPr>
          <w:p w:rsidR="009C0B88" w:rsidRPr="00915A93" w:rsidRDefault="009C0B88" w:rsidP="009C0B88">
            <w:pPr>
              <w:jc w:val="center"/>
              <w:rPr>
                <w:color w:val="000000"/>
              </w:rPr>
            </w:pPr>
            <w:r w:rsidRPr="00915A93">
              <w:rPr>
                <w:color w:val="000000"/>
              </w:rPr>
              <w:t>5.89%</w:t>
            </w:r>
          </w:p>
        </w:tc>
        <w:tc>
          <w:tcPr>
            <w:tcW w:w="831" w:type="dxa"/>
            <w:vAlign w:val="center"/>
          </w:tcPr>
          <w:p w:rsidR="009C0B88" w:rsidRPr="00915A93" w:rsidRDefault="009C0B88" w:rsidP="009C0B88">
            <w:pPr>
              <w:jc w:val="center"/>
            </w:pPr>
            <w:r w:rsidRPr="00915A93">
              <w:t>3.03%</w:t>
            </w:r>
          </w:p>
        </w:tc>
        <w:tc>
          <w:tcPr>
            <w:tcW w:w="814" w:type="dxa"/>
            <w:vAlign w:val="center"/>
          </w:tcPr>
          <w:p w:rsidR="009C0B88" w:rsidRPr="00915A93" w:rsidRDefault="009C0B88" w:rsidP="009C0B88">
            <w:pPr>
              <w:jc w:val="center"/>
              <w:rPr>
                <w:color w:val="000000"/>
              </w:rPr>
            </w:pPr>
            <w:r w:rsidRPr="00915A93">
              <w:rPr>
                <w:color w:val="000000"/>
              </w:rPr>
              <w:t>0.95%</w:t>
            </w:r>
          </w:p>
        </w:tc>
        <w:tc>
          <w:tcPr>
            <w:tcW w:w="831" w:type="dxa"/>
            <w:vAlign w:val="center"/>
          </w:tcPr>
          <w:p w:rsidR="009C0B88" w:rsidRPr="00915A93" w:rsidRDefault="009C0B88" w:rsidP="009C0B88">
            <w:pPr>
              <w:jc w:val="center"/>
            </w:pPr>
            <w:r w:rsidRPr="00915A93">
              <w:t>5.55%</w:t>
            </w:r>
          </w:p>
        </w:tc>
        <w:tc>
          <w:tcPr>
            <w:tcW w:w="812" w:type="dxa"/>
            <w:vAlign w:val="center"/>
          </w:tcPr>
          <w:p w:rsidR="009C0B88" w:rsidRPr="00915A93" w:rsidRDefault="009C0B88" w:rsidP="009C0B88">
            <w:pPr>
              <w:jc w:val="center"/>
              <w:rPr>
                <w:color w:val="000000"/>
              </w:rPr>
            </w:pPr>
            <w:r w:rsidRPr="00915A93">
              <w:rPr>
                <w:color w:val="000000"/>
              </w:rPr>
              <w:t>0.86%</w:t>
            </w:r>
          </w:p>
        </w:tc>
        <w:tc>
          <w:tcPr>
            <w:tcW w:w="831" w:type="dxa"/>
            <w:vAlign w:val="center"/>
          </w:tcPr>
          <w:p w:rsidR="009C0B88" w:rsidRPr="00915A93" w:rsidRDefault="009C0B88" w:rsidP="009C0B88">
            <w:pPr>
              <w:jc w:val="center"/>
            </w:pPr>
            <w:r w:rsidRPr="00915A93">
              <w:t>2.02%</w:t>
            </w:r>
          </w:p>
        </w:tc>
        <w:tc>
          <w:tcPr>
            <w:tcW w:w="809" w:type="dxa"/>
            <w:vAlign w:val="center"/>
          </w:tcPr>
          <w:p w:rsidR="009C0B88" w:rsidRPr="00915A93" w:rsidRDefault="009C0B88" w:rsidP="009C0B88">
            <w:pPr>
              <w:jc w:val="center"/>
              <w:rPr>
                <w:color w:val="000000"/>
              </w:rPr>
            </w:pPr>
            <w:r w:rsidRPr="00915A93">
              <w:rPr>
                <w:color w:val="000000"/>
              </w:rPr>
              <w:t>3.75%</w:t>
            </w:r>
          </w:p>
        </w:tc>
        <w:tc>
          <w:tcPr>
            <w:tcW w:w="831" w:type="dxa"/>
            <w:vAlign w:val="center"/>
          </w:tcPr>
          <w:p w:rsidR="009C0B88" w:rsidRPr="00915A93" w:rsidRDefault="009C0B88" w:rsidP="009C0B88">
            <w:pPr>
              <w:jc w:val="center"/>
            </w:pPr>
            <w:r w:rsidRPr="00915A93">
              <w:t>0.39%</w:t>
            </w:r>
          </w:p>
        </w:tc>
        <w:tc>
          <w:tcPr>
            <w:tcW w:w="785" w:type="dxa"/>
            <w:vAlign w:val="center"/>
          </w:tcPr>
          <w:p w:rsidR="009C0B88" w:rsidRPr="00915A93" w:rsidRDefault="009C0B88" w:rsidP="009C0B88">
            <w:pPr>
              <w:jc w:val="center"/>
              <w:rPr>
                <w:color w:val="000000"/>
              </w:rPr>
            </w:pPr>
            <w:r w:rsidRPr="00915A93">
              <w:rPr>
                <w:color w:val="000000"/>
              </w:rPr>
              <w:t>0.33%</w:t>
            </w:r>
          </w:p>
        </w:tc>
      </w:tr>
      <w:tr w:rsidR="009C0B88" w:rsidRPr="00915A93">
        <w:tc>
          <w:tcPr>
            <w:tcW w:w="1381" w:type="dxa"/>
            <w:vAlign w:val="center"/>
          </w:tcPr>
          <w:p w:rsidR="009C0B88" w:rsidRPr="00915A93" w:rsidRDefault="009C0B88" w:rsidP="009C0B88">
            <w:pPr>
              <w:keepNext/>
              <w:keepLines/>
              <w:jc w:val="center"/>
            </w:pPr>
            <w:r w:rsidRPr="00915A93">
              <w:t>The Pacific</w:t>
            </w:r>
          </w:p>
        </w:tc>
        <w:tc>
          <w:tcPr>
            <w:tcW w:w="831" w:type="dxa"/>
            <w:vAlign w:val="center"/>
          </w:tcPr>
          <w:p w:rsidR="009C0B88" w:rsidRPr="00915A93" w:rsidRDefault="009C0B88" w:rsidP="009C0B88">
            <w:pPr>
              <w:jc w:val="center"/>
            </w:pPr>
            <w:r w:rsidRPr="00915A93">
              <w:t>3.55%</w:t>
            </w:r>
          </w:p>
        </w:tc>
        <w:tc>
          <w:tcPr>
            <w:tcW w:w="820" w:type="dxa"/>
            <w:vAlign w:val="center"/>
          </w:tcPr>
          <w:p w:rsidR="009C0B88" w:rsidRPr="00915A93" w:rsidRDefault="009C0B88" w:rsidP="009C0B88">
            <w:pPr>
              <w:jc w:val="center"/>
              <w:rPr>
                <w:color w:val="000000"/>
              </w:rPr>
            </w:pPr>
            <w:r w:rsidRPr="00915A93">
              <w:rPr>
                <w:color w:val="000000"/>
              </w:rPr>
              <w:t>5.44%</w:t>
            </w:r>
          </w:p>
        </w:tc>
        <w:tc>
          <w:tcPr>
            <w:tcW w:w="831" w:type="dxa"/>
            <w:vAlign w:val="center"/>
          </w:tcPr>
          <w:p w:rsidR="009C0B88" w:rsidRPr="00915A93" w:rsidRDefault="009C0B88" w:rsidP="009C0B88">
            <w:pPr>
              <w:jc w:val="center"/>
            </w:pPr>
            <w:r w:rsidRPr="00915A93">
              <w:t>0%</w:t>
            </w:r>
          </w:p>
        </w:tc>
        <w:tc>
          <w:tcPr>
            <w:tcW w:w="814" w:type="dxa"/>
            <w:vAlign w:val="center"/>
          </w:tcPr>
          <w:p w:rsidR="009C0B88" w:rsidRPr="00915A93" w:rsidRDefault="009C0B88" w:rsidP="009C0B88">
            <w:pPr>
              <w:jc w:val="center"/>
              <w:rPr>
                <w:color w:val="000000"/>
              </w:rPr>
            </w:pPr>
            <w:r w:rsidRPr="00915A93">
              <w:rPr>
                <w:color w:val="000000"/>
              </w:rPr>
              <w:t>0.51%</w:t>
            </w:r>
          </w:p>
        </w:tc>
        <w:tc>
          <w:tcPr>
            <w:tcW w:w="831" w:type="dxa"/>
            <w:vAlign w:val="center"/>
          </w:tcPr>
          <w:p w:rsidR="009C0B88" w:rsidRPr="00915A93" w:rsidRDefault="009C0B88" w:rsidP="009C0B88">
            <w:pPr>
              <w:jc w:val="center"/>
            </w:pPr>
            <w:r w:rsidRPr="00915A93">
              <w:t>2.60%</w:t>
            </w:r>
          </w:p>
        </w:tc>
        <w:tc>
          <w:tcPr>
            <w:tcW w:w="812" w:type="dxa"/>
            <w:vAlign w:val="center"/>
          </w:tcPr>
          <w:p w:rsidR="009C0B88" w:rsidRPr="00915A93" w:rsidRDefault="009C0B88" w:rsidP="009C0B88">
            <w:pPr>
              <w:jc w:val="center"/>
              <w:rPr>
                <w:color w:val="000000"/>
              </w:rPr>
            </w:pPr>
            <w:r w:rsidRPr="00915A93">
              <w:rPr>
                <w:color w:val="000000"/>
              </w:rPr>
              <w:t>0.67%</w:t>
            </w:r>
          </w:p>
        </w:tc>
        <w:tc>
          <w:tcPr>
            <w:tcW w:w="831" w:type="dxa"/>
            <w:vAlign w:val="center"/>
          </w:tcPr>
          <w:p w:rsidR="009C0B88" w:rsidRPr="00915A93" w:rsidRDefault="009C0B88" w:rsidP="009C0B88">
            <w:pPr>
              <w:jc w:val="center"/>
            </w:pPr>
            <w:r w:rsidRPr="00915A93">
              <w:t>0.65%</w:t>
            </w:r>
          </w:p>
        </w:tc>
        <w:tc>
          <w:tcPr>
            <w:tcW w:w="809" w:type="dxa"/>
            <w:vAlign w:val="center"/>
          </w:tcPr>
          <w:p w:rsidR="009C0B88" w:rsidRPr="00915A93" w:rsidRDefault="009C0B88" w:rsidP="009C0B88">
            <w:pPr>
              <w:jc w:val="center"/>
              <w:rPr>
                <w:color w:val="000000"/>
              </w:rPr>
            </w:pPr>
            <w:r w:rsidRPr="00915A93">
              <w:rPr>
                <w:color w:val="000000"/>
              </w:rPr>
              <w:t>3.94%</w:t>
            </w:r>
          </w:p>
        </w:tc>
        <w:tc>
          <w:tcPr>
            <w:tcW w:w="831" w:type="dxa"/>
            <w:vAlign w:val="center"/>
          </w:tcPr>
          <w:p w:rsidR="009C0B88" w:rsidRPr="00915A93" w:rsidRDefault="009C0B88" w:rsidP="009C0B88">
            <w:pPr>
              <w:jc w:val="center"/>
            </w:pPr>
            <w:r w:rsidRPr="00915A93">
              <w:t>0.30%</w:t>
            </w:r>
          </w:p>
        </w:tc>
        <w:tc>
          <w:tcPr>
            <w:tcW w:w="785" w:type="dxa"/>
            <w:vAlign w:val="center"/>
          </w:tcPr>
          <w:p w:rsidR="009C0B88" w:rsidRPr="00915A93" w:rsidRDefault="009C0B88" w:rsidP="009C0B88">
            <w:pPr>
              <w:jc w:val="center"/>
              <w:rPr>
                <w:color w:val="000000"/>
              </w:rPr>
            </w:pPr>
            <w:r w:rsidRPr="00915A93">
              <w:rPr>
                <w:color w:val="000000"/>
              </w:rPr>
              <w:t>0.32%</w:t>
            </w:r>
          </w:p>
        </w:tc>
      </w:tr>
      <w:tr w:rsidR="009C0B88" w:rsidRPr="00915A93">
        <w:tc>
          <w:tcPr>
            <w:tcW w:w="1381" w:type="dxa"/>
            <w:vAlign w:val="center"/>
          </w:tcPr>
          <w:p w:rsidR="009C0B88" w:rsidRPr="00915A93" w:rsidRDefault="009C0B88" w:rsidP="009C0B88">
            <w:pPr>
              <w:keepNext/>
              <w:keepLines/>
              <w:jc w:val="center"/>
            </w:pPr>
            <w:r w:rsidRPr="00915A93">
              <w:t>Total Asia</w:t>
            </w:r>
          </w:p>
        </w:tc>
        <w:tc>
          <w:tcPr>
            <w:tcW w:w="831" w:type="dxa"/>
            <w:vAlign w:val="center"/>
          </w:tcPr>
          <w:p w:rsidR="009C0B88" w:rsidRPr="00915A93" w:rsidRDefault="009C0B88" w:rsidP="009C0B88">
            <w:pPr>
              <w:jc w:val="center"/>
            </w:pPr>
            <w:r w:rsidRPr="00915A93">
              <w:t>6.52%</w:t>
            </w:r>
          </w:p>
        </w:tc>
        <w:tc>
          <w:tcPr>
            <w:tcW w:w="820" w:type="dxa"/>
            <w:vAlign w:val="center"/>
          </w:tcPr>
          <w:p w:rsidR="009C0B88" w:rsidRPr="00915A93" w:rsidRDefault="009C0B88" w:rsidP="009C0B88">
            <w:pPr>
              <w:jc w:val="center"/>
              <w:rPr>
                <w:color w:val="000000"/>
              </w:rPr>
            </w:pPr>
            <w:r w:rsidRPr="00915A93">
              <w:rPr>
                <w:color w:val="000000"/>
              </w:rPr>
              <w:t>4.33%</w:t>
            </w:r>
          </w:p>
        </w:tc>
        <w:tc>
          <w:tcPr>
            <w:tcW w:w="831" w:type="dxa"/>
            <w:vAlign w:val="center"/>
          </w:tcPr>
          <w:p w:rsidR="009C0B88" w:rsidRPr="00915A93" w:rsidRDefault="009C0B88" w:rsidP="009C0B88">
            <w:pPr>
              <w:jc w:val="center"/>
            </w:pPr>
            <w:r w:rsidRPr="00915A93">
              <w:t>3.17%</w:t>
            </w:r>
          </w:p>
        </w:tc>
        <w:tc>
          <w:tcPr>
            <w:tcW w:w="814" w:type="dxa"/>
            <w:vAlign w:val="center"/>
          </w:tcPr>
          <w:p w:rsidR="009C0B88" w:rsidRPr="00915A93" w:rsidRDefault="009C0B88" w:rsidP="009C0B88">
            <w:pPr>
              <w:jc w:val="center"/>
              <w:rPr>
                <w:color w:val="000000"/>
              </w:rPr>
            </w:pPr>
            <w:r w:rsidRPr="00915A93">
              <w:rPr>
                <w:color w:val="000000"/>
              </w:rPr>
              <w:t>1.61%</w:t>
            </w:r>
          </w:p>
        </w:tc>
        <w:tc>
          <w:tcPr>
            <w:tcW w:w="831" w:type="dxa"/>
            <w:vAlign w:val="center"/>
          </w:tcPr>
          <w:p w:rsidR="009C0B88" w:rsidRPr="00915A93" w:rsidRDefault="009C0B88" w:rsidP="009C0B88">
            <w:pPr>
              <w:jc w:val="center"/>
            </w:pPr>
            <w:r w:rsidRPr="00915A93">
              <w:t>2.30%</w:t>
            </w:r>
          </w:p>
        </w:tc>
        <w:tc>
          <w:tcPr>
            <w:tcW w:w="812" w:type="dxa"/>
            <w:vAlign w:val="center"/>
          </w:tcPr>
          <w:p w:rsidR="009C0B88" w:rsidRPr="00915A93" w:rsidRDefault="009C0B88" w:rsidP="009C0B88">
            <w:pPr>
              <w:jc w:val="center"/>
              <w:rPr>
                <w:color w:val="000000"/>
              </w:rPr>
            </w:pPr>
            <w:r w:rsidRPr="00915A93">
              <w:rPr>
                <w:color w:val="000000"/>
              </w:rPr>
              <w:t>0.72%</w:t>
            </w:r>
          </w:p>
        </w:tc>
        <w:tc>
          <w:tcPr>
            <w:tcW w:w="831" w:type="dxa"/>
            <w:vAlign w:val="center"/>
          </w:tcPr>
          <w:p w:rsidR="009C0B88" w:rsidRPr="00915A93" w:rsidRDefault="009C0B88" w:rsidP="009C0B88">
            <w:pPr>
              <w:jc w:val="center"/>
            </w:pPr>
            <w:r w:rsidRPr="00915A93">
              <w:t>0.82%</w:t>
            </w:r>
          </w:p>
        </w:tc>
        <w:tc>
          <w:tcPr>
            <w:tcW w:w="809" w:type="dxa"/>
            <w:vAlign w:val="center"/>
          </w:tcPr>
          <w:p w:rsidR="009C0B88" w:rsidRPr="00915A93" w:rsidRDefault="009C0B88" w:rsidP="009C0B88">
            <w:pPr>
              <w:jc w:val="center"/>
              <w:rPr>
                <w:color w:val="000000"/>
              </w:rPr>
            </w:pPr>
            <w:r w:rsidRPr="00915A93">
              <w:rPr>
                <w:color w:val="000000"/>
              </w:rPr>
              <w:t>1.71%</w:t>
            </w:r>
          </w:p>
        </w:tc>
        <w:tc>
          <w:tcPr>
            <w:tcW w:w="831" w:type="dxa"/>
            <w:vAlign w:val="center"/>
          </w:tcPr>
          <w:p w:rsidR="009C0B88" w:rsidRPr="00915A93" w:rsidRDefault="009C0B88" w:rsidP="009C0B88">
            <w:pPr>
              <w:jc w:val="center"/>
            </w:pPr>
            <w:r w:rsidRPr="00915A93">
              <w:t>0.22%</w:t>
            </w:r>
          </w:p>
        </w:tc>
        <w:tc>
          <w:tcPr>
            <w:tcW w:w="785" w:type="dxa"/>
            <w:vAlign w:val="center"/>
          </w:tcPr>
          <w:p w:rsidR="009C0B88" w:rsidRPr="00915A93" w:rsidRDefault="009C0B88" w:rsidP="009C0B88">
            <w:pPr>
              <w:jc w:val="center"/>
              <w:rPr>
                <w:color w:val="000000"/>
              </w:rPr>
            </w:pPr>
            <w:r w:rsidRPr="00915A93">
              <w:rPr>
                <w:color w:val="000000"/>
              </w:rPr>
              <w:t>0.29%</w:t>
            </w:r>
          </w:p>
        </w:tc>
      </w:tr>
      <w:tr w:rsidR="009C0B88" w:rsidRPr="00915A93">
        <w:tc>
          <w:tcPr>
            <w:tcW w:w="9576" w:type="dxa"/>
            <w:gridSpan w:val="11"/>
            <w:vAlign w:val="center"/>
          </w:tcPr>
          <w:p w:rsidR="009C0B88" w:rsidRDefault="009C0B88" w:rsidP="009C0B88">
            <w:pPr>
              <w:rPr>
                <w:color w:val="000000"/>
              </w:rPr>
            </w:pPr>
            <w:r>
              <w:rPr>
                <w:color w:val="000000"/>
              </w:rPr>
              <w:t xml:space="preserve">Sources: </w:t>
            </w:r>
            <w:r w:rsidRPr="00F43581">
              <w:rPr>
                <w:color w:val="000000"/>
              </w:rPr>
              <w:t xml:space="preserve">Bhattacharyay </w:t>
            </w:r>
            <w:r w:rsidR="00F7383F">
              <w:rPr>
                <w:color w:val="000000"/>
              </w:rPr>
              <w:fldChar w:fldCharType="begin"/>
            </w:r>
            <w:r>
              <w:rPr>
                <w:color w:val="000000"/>
              </w:rPr>
              <w:instrText xml:space="preserve"> ADDIN ZOTERO_ITEM {"citationID":"glea0ZnI","properties":{"formattedCitation":"(2010, 15)","plainCitation":"(2010, 15)"},"citationItems":[{"id":1156,"uris":["http://zotero.org/groups/4482/items/MQ3EDFBR"],"uri":["http://zotero.org/groups/4482/items/MQ3EDFBR"],"locator":"15","label":"page","suppress-author":true}]} </w:instrText>
            </w:r>
            <w:r w:rsidR="00F7383F">
              <w:rPr>
                <w:color w:val="000000"/>
              </w:rPr>
              <w:fldChar w:fldCharType="separate"/>
            </w:r>
            <w:r>
              <w:t>(2010, 15)</w:t>
            </w:r>
            <w:r w:rsidR="00F7383F">
              <w:rPr>
                <w:color w:val="000000"/>
              </w:rPr>
              <w:fldChar w:fldCharType="end"/>
            </w:r>
            <w:r>
              <w:rPr>
                <w:color w:val="000000"/>
              </w:rPr>
              <w:t xml:space="preserve"> and IFs v6.51.</w:t>
            </w:r>
          </w:p>
          <w:p w:rsidR="009C0B88" w:rsidRPr="00915A93" w:rsidRDefault="009C0B88" w:rsidP="009C0B88">
            <w:pPr>
              <w:rPr>
                <w:color w:val="000000"/>
              </w:rPr>
            </w:pPr>
            <w:r>
              <w:rPr>
                <w:color w:val="000000"/>
                <w:sz w:val="20"/>
              </w:rPr>
              <w:t>Note: Infrastructure spending is shown as a percent of GDP; values from Bhattacharyay are a 10-year average; values from IFs are from 2015 using a 10-year moving average.</w:t>
            </w:r>
          </w:p>
        </w:tc>
      </w:tr>
    </w:tbl>
    <w:p w:rsidR="009C0B88" w:rsidRDefault="009C0B88" w:rsidP="009C0B88"/>
    <w:p w:rsidR="009C0B88" w:rsidRDefault="009C0B88" w:rsidP="009C0B88">
      <w:r>
        <w:t>Our results and those of Bhattacharyay do not seem wildly different. Part of the reason we have lower values for transport is that he also included airports, ports, and railways in his estimates. He also used a higher unit cost for paved roads. Our unit costs for electricity are similar, but we do have a somewhat higher depreciation rate (although we doubt that can fully explain our lower spending estimates). Our unit costs for fixed and mobile phones are a bit higher than his, and he imposes a cap on mobile phones at 90 per 100 persons; both differences help explain our higher forecasts. Our unit costs for water and sanitation are similar, and the spending estimates of the two studies are most comparable in this category.</w:t>
      </w:r>
    </w:p>
    <w:p w:rsidR="009C0B88" w:rsidRDefault="009C0B88" w:rsidP="009C0B88"/>
    <w:p w:rsidR="009C0B88" w:rsidRDefault="009C0B88" w:rsidP="009C0B88">
      <w:r>
        <w:t xml:space="preserve">Volume 1 of the OECD’s Infrastructure to 2030 study </w:t>
      </w:r>
      <w:r w:rsidR="00F7383F">
        <w:fldChar w:fldCharType="begin"/>
      </w:r>
      <w:r>
        <w:instrText xml:space="preserve"> ADDIN ZOTERO_ITEM {"citationID":"Z8OvnMfE","properties":{"formattedCitation":"(Stevens, Schieb, and Andrieu 2006, 29)","plainCitation":"(Stevens, Schieb, and Andrieu 2006, 29)"},"citationItems":[{"id":1506,"uris":["http://zotero.org/groups/4482/items/T6NKBZ7M"],"uri":["http://zotero.org/groups/4482/items/T6NKBZ7M"],"locator":"29","label":"page"}]} </w:instrText>
      </w:r>
      <w:r w:rsidR="00F7383F">
        <w:fldChar w:fldCharType="separate"/>
      </w:r>
      <w:r>
        <w:t>(Stevens, Schieb, and Andrieu 2006, 29)</w:t>
      </w:r>
      <w:r w:rsidR="00F7383F">
        <w:fldChar w:fldCharType="end"/>
      </w:r>
      <w:r>
        <w:t xml:space="preserve"> provides forecasts of decadal average infrastructure spending for various types of infrastructure at the global level. These are compared to our base case results in Table 5.6.</w:t>
      </w:r>
    </w:p>
    <w:p w:rsidR="009C0B88" w:rsidRDefault="009C0B88" w:rsidP="009C0B88"/>
    <w:tbl>
      <w:tblPr>
        <w:tblStyle w:val="TableGrid"/>
        <w:tblW w:w="0" w:type="auto"/>
        <w:tblLook w:val="04A0"/>
      </w:tblPr>
      <w:tblGrid>
        <w:gridCol w:w="1915"/>
        <w:gridCol w:w="1915"/>
        <w:gridCol w:w="1915"/>
        <w:gridCol w:w="1915"/>
        <w:gridCol w:w="1916"/>
      </w:tblGrid>
      <w:tr w:rsidR="009C0B88" w:rsidRPr="00644BD3">
        <w:tc>
          <w:tcPr>
            <w:tcW w:w="9576" w:type="dxa"/>
            <w:gridSpan w:val="5"/>
          </w:tcPr>
          <w:p w:rsidR="009C0B88" w:rsidRPr="00644BD3" w:rsidRDefault="009C0B88" w:rsidP="009C0B88">
            <w:pPr>
              <w:rPr>
                <w:b/>
                <w:szCs w:val="24"/>
              </w:rPr>
            </w:pPr>
            <w:r w:rsidRPr="00644BD3">
              <w:rPr>
                <w:b/>
                <w:szCs w:val="24"/>
              </w:rPr>
              <w:t>Table 5.</w:t>
            </w:r>
            <w:r>
              <w:rPr>
                <w:b/>
                <w:szCs w:val="24"/>
              </w:rPr>
              <w:t>6</w:t>
            </w:r>
            <w:r w:rsidRPr="00644BD3">
              <w:rPr>
                <w:b/>
                <w:szCs w:val="24"/>
              </w:rPr>
              <w:t xml:space="preserve"> Comparing </w:t>
            </w:r>
            <w:r>
              <w:rPr>
                <w:b/>
                <w:szCs w:val="24"/>
              </w:rPr>
              <w:t>global i</w:t>
            </w:r>
            <w:r w:rsidRPr="00644BD3">
              <w:rPr>
                <w:b/>
                <w:szCs w:val="24"/>
              </w:rPr>
              <w:t xml:space="preserve">nfrastructure </w:t>
            </w:r>
            <w:r>
              <w:rPr>
                <w:b/>
                <w:szCs w:val="24"/>
              </w:rPr>
              <w:t>spending forecasts of the OECD and IFs (</w:t>
            </w:r>
            <w:r w:rsidRPr="00644BD3">
              <w:rPr>
                <w:b/>
                <w:szCs w:val="24"/>
              </w:rPr>
              <w:t>to 2030</w:t>
            </w:r>
            <w:r>
              <w:rPr>
                <w:b/>
                <w:szCs w:val="24"/>
              </w:rPr>
              <w:t>)</w:t>
            </w:r>
          </w:p>
        </w:tc>
      </w:tr>
      <w:tr w:rsidR="009C0B88">
        <w:tc>
          <w:tcPr>
            <w:tcW w:w="1915" w:type="dxa"/>
          </w:tcPr>
          <w:p w:rsidR="009C0B88" w:rsidRDefault="009C0B88" w:rsidP="009C0B88">
            <w:pPr>
              <w:rPr>
                <w:szCs w:val="24"/>
              </w:rPr>
            </w:pPr>
          </w:p>
        </w:tc>
        <w:tc>
          <w:tcPr>
            <w:tcW w:w="3830" w:type="dxa"/>
            <w:gridSpan w:val="2"/>
            <w:vAlign w:val="bottom"/>
          </w:tcPr>
          <w:p w:rsidR="009C0B88" w:rsidRDefault="009C0B88" w:rsidP="009C0B88">
            <w:pPr>
              <w:jc w:val="center"/>
              <w:rPr>
                <w:szCs w:val="24"/>
              </w:rPr>
            </w:pPr>
            <w:r w:rsidRPr="00964359">
              <w:rPr>
                <w:szCs w:val="24"/>
              </w:rPr>
              <w:t>2010-20</w:t>
            </w:r>
          </w:p>
        </w:tc>
        <w:tc>
          <w:tcPr>
            <w:tcW w:w="3831" w:type="dxa"/>
            <w:gridSpan w:val="2"/>
            <w:vAlign w:val="bottom"/>
          </w:tcPr>
          <w:p w:rsidR="009C0B88" w:rsidRDefault="009C0B88" w:rsidP="009C0B88">
            <w:pPr>
              <w:jc w:val="center"/>
              <w:rPr>
                <w:szCs w:val="24"/>
              </w:rPr>
            </w:pPr>
            <w:r w:rsidRPr="00964359">
              <w:rPr>
                <w:szCs w:val="24"/>
              </w:rPr>
              <w:t>2020-30</w:t>
            </w:r>
          </w:p>
        </w:tc>
      </w:tr>
      <w:tr w:rsidR="009C0B88">
        <w:tc>
          <w:tcPr>
            <w:tcW w:w="1915" w:type="dxa"/>
          </w:tcPr>
          <w:p w:rsidR="009C0B88" w:rsidRDefault="009C0B88" w:rsidP="009C0B88">
            <w:pPr>
              <w:rPr>
                <w:szCs w:val="24"/>
              </w:rPr>
            </w:pPr>
          </w:p>
        </w:tc>
        <w:tc>
          <w:tcPr>
            <w:tcW w:w="1915" w:type="dxa"/>
            <w:vAlign w:val="center"/>
          </w:tcPr>
          <w:p w:rsidR="009C0B88" w:rsidRDefault="009C0B88" w:rsidP="009C0B88">
            <w:pPr>
              <w:jc w:val="center"/>
              <w:rPr>
                <w:szCs w:val="24"/>
              </w:rPr>
            </w:pPr>
            <w:r>
              <w:rPr>
                <w:szCs w:val="24"/>
              </w:rPr>
              <w:t>OECD</w:t>
            </w:r>
          </w:p>
        </w:tc>
        <w:tc>
          <w:tcPr>
            <w:tcW w:w="1915" w:type="dxa"/>
            <w:vAlign w:val="center"/>
          </w:tcPr>
          <w:p w:rsidR="009C0B88" w:rsidRDefault="009C0B88" w:rsidP="009C0B88">
            <w:pPr>
              <w:jc w:val="center"/>
              <w:rPr>
                <w:szCs w:val="24"/>
              </w:rPr>
            </w:pPr>
            <w:r>
              <w:rPr>
                <w:szCs w:val="24"/>
              </w:rPr>
              <w:t>IFs</w:t>
            </w:r>
          </w:p>
        </w:tc>
        <w:tc>
          <w:tcPr>
            <w:tcW w:w="1915" w:type="dxa"/>
            <w:vAlign w:val="center"/>
          </w:tcPr>
          <w:p w:rsidR="009C0B88" w:rsidRDefault="009C0B88" w:rsidP="009C0B88">
            <w:pPr>
              <w:jc w:val="center"/>
              <w:rPr>
                <w:szCs w:val="24"/>
              </w:rPr>
            </w:pPr>
            <w:r>
              <w:rPr>
                <w:szCs w:val="24"/>
              </w:rPr>
              <w:t>OECD</w:t>
            </w:r>
          </w:p>
        </w:tc>
        <w:tc>
          <w:tcPr>
            <w:tcW w:w="1916" w:type="dxa"/>
            <w:vAlign w:val="center"/>
          </w:tcPr>
          <w:p w:rsidR="009C0B88" w:rsidRDefault="009C0B88" w:rsidP="009C0B88">
            <w:pPr>
              <w:jc w:val="center"/>
              <w:rPr>
                <w:szCs w:val="24"/>
              </w:rPr>
            </w:pPr>
            <w:r>
              <w:rPr>
                <w:szCs w:val="24"/>
              </w:rPr>
              <w:t>IFs</w:t>
            </w:r>
          </w:p>
        </w:tc>
      </w:tr>
      <w:tr w:rsidR="009C0B88">
        <w:tc>
          <w:tcPr>
            <w:tcW w:w="1915" w:type="dxa"/>
          </w:tcPr>
          <w:p w:rsidR="009C0B88" w:rsidRDefault="009C0B88" w:rsidP="009C0B88">
            <w:pPr>
              <w:rPr>
                <w:szCs w:val="24"/>
              </w:rPr>
            </w:pPr>
            <w:r w:rsidRPr="00964359">
              <w:rPr>
                <w:szCs w:val="24"/>
              </w:rPr>
              <w:t>Road</w:t>
            </w:r>
          </w:p>
        </w:tc>
        <w:tc>
          <w:tcPr>
            <w:tcW w:w="1915" w:type="dxa"/>
            <w:vAlign w:val="center"/>
          </w:tcPr>
          <w:p w:rsidR="009C0B88" w:rsidRDefault="009C0B88" w:rsidP="009C0B88">
            <w:pPr>
              <w:jc w:val="center"/>
              <w:rPr>
                <w:szCs w:val="24"/>
              </w:rPr>
            </w:pPr>
            <w:r w:rsidRPr="00964359">
              <w:rPr>
                <w:szCs w:val="24"/>
              </w:rPr>
              <w:t>0.32</w:t>
            </w:r>
          </w:p>
        </w:tc>
        <w:tc>
          <w:tcPr>
            <w:tcW w:w="1915" w:type="dxa"/>
            <w:vAlign w:val="center"/>
          </w:tcPr>
          <w:p w:rsidR="009C0B88" w:rsidRDefault="009C0B88" w:rsidP="009C0B88">
            <w:pPr>
              <w:jc w:val="center"/>
              <w:rPr>
                <w:szCs w:val="24"/>
              </w:rPr>
            </w:pPr>
            <w:r>
              <w:rPr>
                <w:szCs w:val="24"/>
              </w:rPr>
              <w:t>0.511</w:t>
            </w:r>
          </w:p>
        </w:tc>
        <w:tc>
          <w:tcPr>
            <w:tcW w:w="1915" w:type="dxa"/>
            <w:vAlign w:val="center"/>
          </w:tcPr>
          <w:p w:rsidR="009C0B88" w:rsidRDefault="009C0B88" w:rsidP="009C0B88">
            <w:pPr>
              <w:jc w:val="center"/>
              <w:rPr>
                <w:szCs w:val="24"/>
              </w:rPr>
            </w:pPr>
            <w:r w:rsidRPr="00964359">
              <w:rPr>
                <w:szCs w:val="24"/>
              </w:rPr>
              <w:t>0.29</w:t>
            </w:r>
          </w:p>
        </w:tc>
        <w:tc>
          <w:tcPr>
            <w:tcW w:w="1916" w:type="dxa"/>
            <w:vAlign w:val="center"/>
          </w:tcPr>
          <w:p w:rsidR="009C0B88" w:rsidRDefault="009C0B88" w:rsidP="009C0B88">
            <w:pPr>
              <w:jc w:val="center"/>
              <w:rPr>
                <w:szCs w:val="24"/>
              </w:rPr>
            </w:pPr>
            <w:r>
              <w:rPr>
                <w:szCs w:val="24"/>
              </w:rPr>
              <w:t>0.517</w:t>
            </w:r>
          </w:p>
        </w:tc>
      </w:tr>
      <w:tr w:rsidR="009C0B88">
        <w:tc>
          <w:tcPr>
            <w:tcW w:w="1915" w:type="dxa"/>
          </w:tcPr>
          <w:p w:rsidR="009C0B88" w:rsidRDefault="009C0B88" w:rsidP="009C0B88">
            <w:pPr>
              <w:rPr>
                <w:szCs w:val="24"/>
              </w:rPr>
            </w:pPr>
            <w:r w:rsidRPr="00964359">
              <w:rPr>
                <w:szCs w:val="24"/>
              </w:rPr>
              <w:t>Telecoms</w:t>
            </w:r>
            <w:r w:rsidRPr="00964359">
              <w:rPr>
                <w:szCs w:val="24"/>
                <w:vertAlign w:val="superscript"/>
              </w:rPr>
              <w:t>1</w:t>
            </w:r>
          </w:p>
        </w:tc>
        <w:tc>
          <w:tcPr>
            <w:tcW w:w="1915" w:type="dxa"/>
            <w:vAlign w:val="center"/>
          </w:tcPr>
          <w:p w:rsidR="009C0B88" w:rsidRDefault="009C0B88" w:rsidP="009C0B88">
            <w:pPr>
              <w:jc w:val="center"/>
              <w:rPr>
                <w:szCs w:val="24"/>
              </w:rPr>
            </w:pPr>
            <w:r w:rsidRPr="00964359">
              <w:rPr>
                <w:szCs w:val="24"/>
              </w:rPr>
              <w:t>0.85</w:t>
            </w:r>
          </w:p>
        </w:tc>
        <w:tc>
          <w:tcPr>
            <w:tcW w:w="1915" w:type="dxa"/>
            <w:vAlign w:val="center"/>
          </w:tcPr>
          <w:p w:rsidR="009C0B88" w:rsidRDefault="009C0B88" w:rsidP="009C0B88">
            <w:pPr>
              <w:jc w:val="center"/>
              <w:rPr>
                <w:szCs w:val="24"/>
              </w:rPr>
            </w:pPr>
            <w:r>
              <w:rPr>
                <w:szCs w:val="24"/>
              </w:rPr>
              <w:t>1.355</w:t>
            </w:r>
          </w:p>
        </w:tc>
        <w:tc>
          <w:tcPr>
            <w:tcW w:w="1915" w:type="dxa"/>
            <w:vAlign w:val="center"/>
          </w:tcPr>
          <w:p w:rsidR="009C0B88" w:rsidRDefault="009C0B88" w:rsidP="009C0B88">
            <w:pPr>
              <w:jc w:val="center"/>
              <w:rPr>
                <w:szCs w:val="24"/>
              </w:rPr>
            </w:pPr>
            <w:r w:rsidRPr="00964359">
              <w:rPr>
                <w:szCs w:val="24"/>
              </w:rPr>
              <w:t>0.17</w:t>
            </w:r>
          </w:p>
        </w:tc>
        <w:tc>
          <w:tcPr>
            <w:tcW w:w="1916" w:type="dxa"/>
            <w:vAlign w:val="center"/>
          </w:tcPr>
          <w:p w:rsidR="009C0B88" w:rsidRDefault="009C0B88" w:rsidP="009C0B88">
            <w:pPr>
              <w:jc w:val="center"/>
              <w:rPr>
                <w:szCs w:val="24"/>
              </w:rPr>
            </w:pPr>
            <w:r>
              <w:rPr>
                <w:szCs w:val="24"/>
              </w:rPr>
              <w:t>1.093</w:t>
            </w:r>
          </w:p>
        </w:tc>
      </w:tr>
      <w:tr w:rsidR="009C0B88">
        <w:tc>
          <w:tcPr>
            <w:tcW w:w="1915" w:type="dxa"/>
          </w:tcPr>
          <w:p w:rsidR="009C0B88" w:rsidRDefault="009C0B88" w:rsidP="009C0B88">
            <w:pPr>
              <w:rPr>
                <w:szCs w:val="24"/>
              </w:rPr>
            </w:pPr>
            <w:r w:rsidRPr="00964359">
              <w:rPr>
                <w:szCs w:val="24"/>
              </w:rPr>
              <w:t>Electricity</w:t>
            </w:r>
            <w:r w:rsidRPr="00964359">
              <w:rPr>
                <w:szCs w:val="24"/>
                <w:vertAlign w:val="superscript"/>
              </w:rPr>
              <w:t>2</w:t>
            </w:r>
          </w:p>
        </w:tc>
        <w:tc>
          <w:tcPr>
            <w:tcW w:w="1915" w:type="dxa"/>
            <w:vAlign w:val="center"/>
          </w:tcPr>
          <w:p w:rsidR="009C0B88" w:rsidRDefault="009C0B88" w:rsidP="009C0B88">
            <w:pPr>
              <w:jc w:val="center"/>
              <w:rPr>
                <w:szCs w:val="24"/>
              </w:rPr>
            </w:pPr>
            <w:r w:rsidRPr="00964359">
              <w:rPr>
                <w:szCs w:val="24"/>
              </w:rPr>
              <w:t>0.24</w:t>
            </w:r>
          </w:p>
        </w:tc>
        <w:tc>
          <w:tcPr>
            <w:tcW w:w="1915" w:type="dxa"/>
            <w:vAlign w:val="center"/>
          </w:tcPr>
          <w:p w:rsidR="009C0B88" w:rsidRDefault="009C0B88" w:rsidP="009C0B88">
            <w:pPr>
              <w:jc w:val="center"/>
              <w:rPr>
                <w:szCs w:val="24"/>
              </w:rPr>
            </w:pPr>
            <w:r>
              <w:rPr>
                <w:szCs w:val="24"/>
              </w:rPr>
              <w:t>0.74</w:t>
            </w:r>
          </w:p>
        </w:tc>
        <w:tc>
          <w:tcPr>
            <w:tcW w:w="1915" w:type="dxa"/>
            <w:vAlign w:val="center"/>
          </w:tcPr>
          <w:p w:rsidR="009C0B88" w:rsidRDefault="009C0B88" w:rsidP="009C0B88">
            <w:pPr>
              <w:jc w:val="center"/>
              <w:rPr>
                <w:szCs w:val="24"/>
              </w:rPr>
            </w:pPr>
            <w:r w:rsidRPr="00964359">
              <w:rPr>
                <w:szCs w:val="24"/>
              </w:rPr>
              <w:t>0.24</w:t>
            </w:r>
          </w:p>
        </w:tc>
        <w:tc>
          <w:tcPr>
            <w:tcW w:w="1916" w:type="dxa"/>
            <w:vAlign w:val="center"/>
          </w:tcPr>
          <w:p w:rsidR="009C0B88" w:rsidRDefault="009C0B88" w:rsidP="009C0B88">
            <w:pPr>
              <w:jc w:val="center"/>
              <w:rPr>
                <w:szCs w:val="24"/>
              </w:rPr>
            </w:pPr>
            <w:r>
              <w:rPr>
                <w:szCs w:val="24"/>
              </w:rPr>
              <w:t>0.617</w:t>
            </w:r>
          </w:p>
        </w:tc>
      </w:tr>
      <w:tr w:rsidR="009C0B88">
        <w:tc>
          <w:tcPr>
            <w:tcW w:w="1915" w:type="dxa"/>
          </w:tcPr>
          <w:p w:rsidR="009C0B88" w:rsidRDefault="009C0B88" w:rsidP="009C0B88">
            <w:pPr>
              <w:rPr>
                <w:szCs w:val="24"/>
              </w:rPr>
            </w:pPr>
            <w:r w:rsidRPr="00964359">
              <w:rPr>
                <w:szCs w:val="24"/>
              </w:rPr>
              <w:t>Water</w:t>
            </w:r>
            <w:r w:rsidRPr="00964359">
              <w:rPr>
                <w:szCs w:val="24"/>
                <w:vertAlign w:val="superscript"/>
              </w:rPr>
              <w:t>1, 3</w:t>
            </w:r>
          </w:p>
        </w:tc>
        <w:tc>
          <w:tcPr>
            <w:tcW w:w="1915" w:type="dxa"/>
            <w:vAlign w:val="center"/>
          </w:tcPr>
          <w:p w:rsidR="009C0B88" w:rsidRDefault="009C0B88" w:rsidP="009C0B88">
            <w:pPr>
              <w:jc w:val="center"/>
              <w:rPr>
                <w:szCs w:val="24"/>
              </w:rPr>
            </w:pPr>
            <w:r w:rsidRPr="00964359">
              <w:rPr>
                <w:szCs w:val="24"/>
              </w:rPr>
              <w:t>1.01</w:t>
            </w:r>
          </w:p>
        </w:tc>
        <w:tc>
          <w:tcPr>
            <w:tcW w:w="1915" w:type="dxa"/>
            <w:vAlign w:val="center"/>
          </w:tcPr>
          <w:p w:rsidR="009C0B88" w:rsidRDefault="009C0B88" w:rsidP="009C0B88">
            <w:pPr>
              <w:jc w:val="center"/>
              <w:rPr>
                <w:szCs w:val="24"/>
              </w:rPr>
            </w:pPr>
            <w:r>
              <w:rPr>
                <w:szCs w:val="24"/>
              </w:rPr>
              <w:t>0.207</w:t>
            </w:r>
          </w:p>
        </w:tc>
        <w:tc>
          <w:tcPr>
            <w:tcW w:w="1915" w:type="dxa"/>
            <w:vAlign w:val="center"/>
          </w:tcPr>
          <w:p w:rsidR="009C0B88" w:rsidRDefault="009C0B88" w:rsidP="009C0B88">
            <w:pPr>
              <w:jc w:val="center"/>
              <w:rPr>
                <w:szCs w:val="24"/>
              </w:rPr>
            </w:pPr>
            <w:r w:rsidRPr="00964359">
              <w:rPr>
                <w:szCs w:val="24"/>
              </w:rPr>
              <w:t>1.03</w:t>
            </w:r>
          </w:p>
        </w:tc>
        <w:tc>
          <w:tcPr>
            <w:tcW w:w="1916" w:type="dxa"/>
            <w:vAlign w:val="center"/>
          </w:tcPr>
          <w:p w:rsidR="009C0B88" w:rsidRDefault="009C0B88" w:rsidP="009C0B88">
            <w:pPr>
              <w:jc w:val="center"/>
              <w:rPr>
                <w:szCs w:val="24"/>
              </w:rPr>
            </w:pPr>
            <w:r>
              <w:rPr>
                <w:szCs w:val="24"/>
              </w:rPr>
              <w:t>0.182</w:t>
            </w:r>
          </w:p>
        </w:tc>
      </w:tr>
      <w:tr w:rsidR="009C0B88" w:rsidRPr="00644BD3">
        <w:tc>
          <w:tcPr>
            <w:tcW w:w="9576" w:type="dxa"/>
            <w:gridSpan w:val="5"/>
          </w:tcPr>
          <w:p w:rsidR="009C0B88" w:rsidRPr="00644BD3" w:rsidRDefault="009C0B88" w:rsidP="009C0B88">
            <w:pPr>
              <w:rPr>
                <w:szCs w:val="24"/>
              </w:rPr>
            </w:pPr>
            <w:r w:rsidRPr="00644BD3">
              <w:rPr>
                <w:szCs w:val="24"/>
              </w:rPr>
              <w:t xml:space="preserve">Sources: Stevens, Schieb, and Andrieu </w:t>
            </w:r>
            <w:r w:rsidR="00F7383F" w:rsidRPr="00644BD3">
              <w:fldChar w:fldCharType="begin"/>
            </w:r>
            <w:r>
              <w:rPr>
                <w:szCs w:val="24"/>
              </w:rPr>
              <w:instrText xml:space="preserve"> ADDIN ZOTERO_ITEM {"citationID":"s1WZ6kZT","properties":{"formattedCitation":"(2006, 29)","plainCitation":"(2006, 29)"},"citationItems":[{"id":1506,"uris":["http://zotero.org/groups/4482/items/T6NKBZ7M"],"uri":["http://zotero.org/groups/4482/items/T6NKBZ7M"],"locator":"29","label":"page","suppress-author":true}]} </w:instrText>
            </w:r>
            <w:r w:rsidR="00F7383F" w:rsidRPr="00644BD3">
              <w:fldChar w:fldCharType="separate"/>
            </w:r>
            <w:r>
              <w:rPr>
                <w:szCs w:val="24"/>
              </w:rPr>
              <w:t>(2006, 29)</w:t>
            </w:r>
            <w:r w:rsidR="00F7383F" w:rsidRPr="00644BD3">
              <w:fldChar w:fldCharType="end"/>
            </w:r>
            <w:r w:rsidRPr="00644BD3">
              <w:rPr>
                <w:szCs w:val="24"/>
              </w:rPr>
              <w:t xml:space="preserve"> and IFs v6.51.</w:t>
            </w:r>
          </w:p>
          <w:p w:rsidR="009C0B88" w:rsidRPr="00644BD3" w:rsidRDefault="009C0B88" w:rsidP="009C0B88">
            <w:pPr>
              <w:rPr>
                <w:szCs w:val="24"/>
              </w:rPr>
            </w:pPr>
            <w:r w:rsidRPr="00644BD3">
              <w:rPr>
                <w:szCs w:val="24"/>
              </w:rPr>
              <w:t>1. OECD: Estimates apply to the years</w:t>
            </w:r>
            <w:r>
              <w:rPr>
                <w:szCs w:val="24"/>
              </w:rPr>
              <w:t xml:space="preserve"> </w:t>
            </w:r>
            <w:r w:rsidRPr="00644BD3">
              <w:rPr>
                <w:szCs w:val="24"/>
              </w:rPr>
              <w:t>2015 and 2025.</w:t>
            </w:r>
          </w:p>
          <w:p w:rsidR="009C0B88" w:rsidRPr="00644BD3" w:rsidRDefault="009C0B88" w:rsidP="009C0B88">
            <w:pPr>
              <w:rPr>
                <w:szCs w:val="24"/>
              </w:rPr>
            </w:pPr>
            <w:r w:rsidRPr="00644BD3">
              <w:rPr>
                <w:szCs w:val="24"/>
              </w:rPr>
              <w:t>2. OECD: Transmission and distribution only.</w:t>
            </w:r>
          </w:p>
          <w:p w:rsidR="009C0B88" w:rsidRDefault="009C0B88" w:rsidP="009C0B88">
            <w:pPr>
              <w:rPr>
                <w:szCs w:val="24"/>
              </w:rPr>
            </w:pPr>
            <w:r w:rsidRPr="00644BD3">
              <w:rPr>
                <w:szCs w:val="24"/>
              </w:rPr>
              <w:t>3. OECD: Only OECD countries, Russia, China, India and Brazil are considered here.</w:t>
            </w:r>
          </w:p>
          <w:p w:rsidR="009C0B88" w:rsidRPr="00644BD3" w:rsidRDefault="009C0B88" w:rsidP="009C0B88">
            <w:pPr>
              <w:rPr>
                <w:szCs w:val="24"/>
              </w:rPr>
            </w:pPr>
            <w:r>
              <w:rPr>
                <w:color w:val="000000"/>
                <w:sz w:val="20"/>
              </w:rPr>
              <w:t>Note: Infrastructure spending is shown as a percent of GDP; values from the OECD are 10-year period averages; values from IFs are from 2015 and 2025 using a 10-year moving average of annual forecasts.</w:t>
            </w:r>
          </w:p>
        </w:tc>
      </w:tr>
    </w:tbl>
    <w:p w:rsidR="009C0B88" w:rsidRDefault="009C0B88" w:rsidP="009C0B88"/>
    <w:p w:rsidR="009C0B88" w:rsidRDefault="009C0B88" w:rsidP="009C0B88">
      <w:r>
        <w:t>Again there are important differences in costing of infrastructure that help to explain the differences between forecasts of the two projects. A few of those are: 1) their figures for electricity do not include the actual construction of generating plants, 2) their figures for water appear to include expenses related to water quality, which we do not consider, 3) in their roads forecast, they force a certain level of convergence (pp.226-7).</w:t>
      </w:r>
    </w:p>
    <w:p w:rsidR="009C0B88" w:rsidRDefault="009C0B88" w:rsidP="009C0B88"/>
    <w:p w:rsidR="009C0B88" w:rsidRDefault="009C0B88" w:rsidP="009C0B88">
      <w:r>
        <w:t xml:space="preserve">Kohli and Basil </w:t>
      </w:r>
      <w:fldSimple w:instr=" ADDIN ZOTERO_ITEM {&quot;citationID&quot;:&quot;vR4bKoKQ&quot;,&quot;properties&quot;:{&quot;formattedCitation&quot;:&quot;(2011)&quot;,&quot;plainCitation&quot;:&quot;(2011)&quot;},&quot;citationItems&quot;:[{&quot;id&quot;:1157,&quot;uris&quot;:[&quot;http://zotero.org/groups/4482/items/PNQFGAHH&quot;],&quot;uri&quot;:[&quot;http://zotero.org/groups/4482/items/PNQFGAHH&quot;],&quot;suppress-author&quot;:true}]} ">
        <w:r>
          <w:t>(2011)</w:t>
        </w:r>
      </w:fldSimple>
      <w:r>
        <w:t xml:space="preserve"> provide infrastructure cost estimates for 21 Latin America countries for the period 2011-2040. Figure 5.14 compares the cost estimates in their Business as Usual scenario to our base case, by sector, using only those types of infrastructure that appear in both studies.</w:t>
      </w:r>
    </w:p>
    <w:p w:rsidR="009C0B88" w:rsidRDefault="009C0B88" w:rsidP="009C0B88"/>
    <w:p w:rsidR="009C0B88" w:rsidRDefault="009C0B88" w:rsidP="009C0B88">
      <w:r w:rsidRPr="00AE5B5E">
        <w:rPr>
          <w:noProof/>
        </w:rPr>
        <w:drawing>
          <wp:inline distT="0" distB="0" distL="0" distR="0">
            <wp:extent cx="2862580" cy="2560320"/>
            <wp:effectExtent l="25400" t="25400" r="7620" b="5080"/>
            <wp:docPr id="358" name="C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Pr="00AE5B5E">
        <w:rPr>
          <w:noProof/>
        </w:rPr>
        <w:drawing>
          <wp:inline distT="0" distB="0" distL="0" distR="0">
            <wp:extent cx="2862580" cy="2560320"/>
            <wp:effectExtent l="25400" t="25400" r="7620" b="5080"/>
            <wp:docPr id="356" name="C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9C0B88" w:rsidRDefault="009C0B88" w:rsidP="009C0B88">
      <w:r w:rsidRPr="004D2E44">
        <w:rPr>
          <w:noProof/>
        </w:rPr>
        <w:drawing>
          <wp:inline distT="0" distB="0" distL="0" distR="0">
            <wp:extent cx="2862072" cy="2590800"/>
            <wp:effectExtent l="25400" t="25400" r="8128" b="0"/>
            <wp:docPr id="354" name="C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sidRPr="00AE5B5E">
        <w:rPr>
          <w:noProof/>
        </w:rPr>
        <w:drawing>
          <wp:inline distT="0" distB="0" distL="0" distR="0">
            <wp:extent cx="2862072" cy="2590800"/>
            <wp:effectExtent l="25400" t="25400" r="8128" b="0"/>
            <wp:docPr id="357" name="C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9C0B88" w:rsidRDefault="009C0B88" w:rsidP="009C0B88">
      <w:r>
        <w:rPr>
          <w:b/>
        </w:rPr>
        <w:t>Figure 5.14 Comparing infrastructure spending forecasts of Kohli and Basil and IFs for Latin America and the Caribbean (2010-2040)</w:t>
      </w:r>
    </w:p>
    <w:p w:rsidR="009C0B88" w:rsidRPr="00AE5B5E" w:rsidRDefault="009C0B88" w:rsidP="009C0B88">
      <w:pPr>
        <w:rPr>
          <w:i/>
        </w:rPr>
      </w:pPr>
      <w:r w:rsidRPr="00AE5B5E">
        <w:rPr>
          <w:i/>
        </w:rPr>
        <w:t xml:space="preserve">Sources: Kohli and Basil </w:t>
      </w:r>
      <w:r w:rsidR="00F7383F" w:rsidRPr="00AE5B5E">
        <w:rPr>
          <w:i/>
        </w:rPr>
        <w:fldChar w:fldCharType="begin"/>
      </w:r>
      <w:r>
        <w:rPr>
          <w:i/>
        </w:rPr>
        <w:instrText xml:space="preserve"> ADDIN ZOTERO_ITEM {"citationID":"CKCWN9pN","properties":{"formattedCitation":"(2011, various pages)","plainCitation":"(2011, various pages)"},"citationItems":[{"id":1157,"uris":["http://zotero.org/groups/4482/items/PNQFGAHH"],"uri":["http://zotero.org/groups/4482/items/PNQFGAHH"],"locator":"various pages","label":"page","suppress-author":true}]} </w:instrText>
      </w:r>
      <w:r w:rsidR="00F7383F" w:rsidRPr="00AE5B5E">
        <w:rPr>
          <w:i/>
        </w:rPr>
        <w:fldChar w:fldCharType="separate"/>
      </w:r>
      <w:r>
        <w:rPr>
          <w:i/>
        </w:rPr>
        <w:t>(2011, various pages)</w:t>
      </w:r>
      <w:r w:rsidR="00F7383F" w:rsidRPr="00AE5B5E">
        <w:rPr>
          <w:i/>
        </w:rPr>
        <w:fldChar w:fldCharType="end"/>
      </w:r>
      <w:r w:rsidRPr="00AE5B5E">
        <w:rPr>
          <w:i/>
        </w:rPr>
        <w:t xml:space="preserve"> and IFs v6.</w:t>
      </w:r>
      <w:r>
        <w:rPr>
          <w:i/>
        </w:rPr>
        <w:t>57</w:t>
      </w:r>
      <w:r w:rsidRPr="00AE5B5E">
        <w:rPr>
          <w:i/>
        </w:rPr>
        <w:t>.</w:t>
      </w:r>
    </w:p>
    <w:p w:rsidR="009C0B88" w:rsidRPr="00AE5B5E" w:rsidRDefault="009C0B88" w:rsidP="009C0B88">
      <w:pPr>
        <w:rPr>
          <w:i/>
        </w:rPr>
      </w:pPr>
      <w:r w:rsidRPr="00AE5B5E">
        <w:rPr>
          <w:i/>
          <w:color w:val="000000"/>
        </w:rPr>
        <w:t xml:space="preserve">Note: Infrastructure spending is shown as a percent of GDP; </w:t>
      </w:r>
    </w:p>
    <w:p w:rsidR="009C0B88" w:rsidRPr="00644BD3" w:rsidRDefault="009C0B88" w:rsidP="009C0B88"/>
    <w:p w:rsidR="009C0B88" w:rsidRDefault="009C0B88" w:rsidP="009C0B88">
      <w:r>
        <w:t xml:space="preserve">The results are quite comparable for water and sanitation and ICT, especially when we consider that we use higher unit cost values for water and sanitation (e.g. $300-600 per connection for water vs. $101) and ICT (e.g., $500-$1000 per broadband subscriber vs. $40). We use lower unit costs for electricity generating capacity ($1-2K per kilowatt vs. $4K), which explains part of the magnitude difference, but not the difference in the shape of the curves. We also use a lower unit cost for roads ($150K-400K per kilometer vs. $895K), but that does not seem to help with either the magnitude or shape differences. They did not provide estimates of the changes in physical infrastructure in their paper, so we cannot compare these as an aid to explaining the differences in spending forecasts. </w:t>
      </w:r>
    </w:p>
    <w:p w:rsidR="009C0B88" w:rsidRDefault="009C0B88" w:rsidP="009C0B88"/>
    <w:p w:rsidR="009C0B88" w:rsidRDefault="009C0B88" w:rsidP="00EC2D95">
      <w:pPr>
        <w:pStyle w:val="Heading3"/>
        <w:numPr>
          <w:ilvl w:val="0"/>
          <w:numId w:val="0"/>
        </w:numPr>
        <w:ind w:left="720" w:hanging="720"/>
      </w:pPr>
      <w:bookmarkStart w:id="160" w:name="_Toc199491244"/>
      <w:bookmarkStart w:id="161" w:name="_Toc200095321"/>
      <w:r>
        <w:t>5.2.3</w:t>
      </w:r>
      <w:r>
        <w:tab/>
      </w:r>
      <w:r w:rsidRPr="00BB26A3">
        <w:t>Hughes, Chinowsky, and Strzepek forecasts</w:t>
      </w:r>
      <w:bookmarkEnd w:id="160"/>
      <w:bookmarkEnd w:id="161"/>
    </w:p>
    <w:p w:rsidR="009C0B88" w:rsidRDefault="009C0B88" w:rsidP="009C0B88">
      <w:pPr>
        <w:rPr>
          <w:color w:val="000000"/>
        </w:rPr>
      </w:pPr>
      <w:r>
        <w:rPr>
          <w:color w:val="000000"/>
        </w:rPr>
        <w:t>The</w:t>
      </w:r>
      <w:r w:rsidRPr="00101915">
        <w:rPr>
          <w:color w:val="000000"/>
        </w:rPr>
        <w:t xml:space="preserve"> </w:t>
      </w:r>
      <w:r>
        <w:rPr>
          <w:color w:val="000000"/>
        </w:rPr>
        <w:t xml:space="preserve">forecasts of </w:t>
      </w:r>
      <w:r w:rsidRPr="00BA6435">
        <w:rPr>
          <w:color w:val="000000"/>
        </w:rPr>
        <w:t>Hughes, Chinowsky, and Strzepek (2009)</w:t>
      </w:r>
      <w:r>
        <w:rPr>
          <w:color w:val="000000"/>
        </w:rPr>
        <w:t>, like those of IFs, cover countries around the world, look across multiple infrastructure categories, extend through 2050, and treat both physical expansion of infrastructure and spending on it. They therefore provide a very important basis for comparison, and Gordon Hughes was extraordinarily generous in providing the detail of those forecasts to us (referred to below as HCS forecasts). As in IFs, the HCS infrastructure forecasts are responsive to population and GDP forecasts. The two sets of population forecasts are quite similar, although IFs anticipates a global population in 2050 of 9,337 million, somewhat higher than the 9,181 million of HCS.</w:t>
      </w:r>
      <w:r w:rsidRPr="00422D46">
        <w:rPr>
          <w:rStyle w:val="FootnoteReference"/>
        </w:rPr>
        <w:footnoteReference w:id="93"/>
      </w:r>
      <w:r>
        <w:rPr>
          <w:color w:val="000000"/>
        </w:rPr>
        <w:t xml:space="preserve"> As Table 5.7 shows, the GDP forecasts differ more.</w:t>
      </w:r>
      <w:r w:rsidRPr="00422D46">
        <w:rPr>
          <w:rStyle w:val="FootnoteReference"/>
        </w:rPr>
        <w:footnoteReference w:id="94"/>
      </w:r>
      <w:r>
        <w:rPr>
          <w:color w:val="000000"/>
        </w:rPr>
        <w:t xml:space="preserve"> Based on recent data that includes both the strong economic performance of emerging countries in the first decade of the century and the global recession after 2008, IFs anticipates less growth than do HCS in high-income countries and more in low-income countries, especially sub-Saharan Africa. These differences do, of course, affect our respective infrastructure forecasts.</w:t>
      </w:r>
    </w:p>
    <w:p w:rsidR="009C0B88" w:rsidRDefault="009C0B88" w:rsidP="009C0B88">
      <w:pPr>
        <w:rPr>
          <w:color w:val="000000"/>
        </w:rPr>
      </w:pPr>
    </w:p>
    <w:tbl>
      <w:tblPr>
        <w:tblW w:w="0" w:type="auto"/>
        <w:jc w:val="center"/>
        <w:tblInd w:w="-1033" w:type="dxa"/>
        <w:tblLook w:val="0000"/>
      </w:tblPr>
      <w:tblGrid>
        <w:gridCol w:w="2901"/>
        <w:gridCol w:w="1281"/>
        <w:gridCol w:w="1170"/>
        <w:gridCol w:w="1194"/>
        <w:gridCol w:w="1170"/>
      </w:tblGrid>
      <w:tr w:rsidR="009C0B88" w:rsidRPr="009B6FA6">
        <w:trPr>
          <w:trHeight w:val="300"/>
          <w:jc w:val="center"/>
        </w:trPr>
        <w:tc>
          <w:tcPr>
            <w:tcW w:w="7716"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tcPr>
          <w:p w:rsidR="009C0B88" w:rsidRPr="009B6FA6" w:rsidRDefault="009C0B88" w:rsidP="009C0B88">
            <w:pPr>
              <w:rPr>
                <w:b/>
                <w:bCs/>
              </w:rPr>
            </w:pPr>
            <w:r w:rsidRPr="009B6FA6">
              <w:rPr>
                <w:b/>
                <w:bCs/>
              </w:rPr>
              <w:t>Table 5.7 Comparison of HCS and IFs GDP per capita (PPP) forecasts</w:t>
            </w:r>
          </w:p>
        </w:tc>
      </w:tr>
      <w:tr w:rsidR="009C0B88" w:rsidRPr="009B6FA6">
        <w:trPr>
          <w:trHeight w:val="260"/>
          <w:jc w:val="center"/>
        </w:trPr>
        <w:tc>
          <w:tcPr>
            <w:tcW w:w="2901" w:type="dxa"/>
            <w:tcBorders>
              <w:top w:val="single" w:sz="4" w:space="0" w:color="auto"/>
              <w:left w:val="single" w:sz="4" w:space="0" w:color="auto"/>
              <w:bottom w:val="nil"/>
              <w:right w:val="single" w:sz="4" w:space="0" w:color="auto"/>
            </w:tcBorders>
            <w:shd w:val="clear" w:color="auto" w:fill="auto"/>
            <w:noWrap/>
            <w:vAlign w:val="bottom"/>
          </w:tcPr>
          <w:p w:rsidR="009C0B88" w:rsidRPr="009B6FA6" w:rsidRDefault="009C0B88" w:rsidP="009C0B88">
            <w:pPr>
              <w:jc w:val="center"/>
              <w:rPr>
                <w:b/>
                <w:bCs/>
                <w:sz w:val="20"/>
              </w:rPr>
            </w:pPr>
            <w:r w:rsidRPr="009B6FA6">
              <w:rPr>
                <w:b/>
                <w:bCs/>
                <w:sz w:val="20"/>
              </w:rPr>
              <w:t>GDP Per Capita PPP</w:t>
            </w:r>
          </w:p>
        </w:tc>
        <w:tc>
          <w:tcPr>
            <w:tcW w:w="2451"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b/>
                <w:sz w:val="20"/>
              </w:rPr>
            </w:pPr>
            <w:r w:rsidRPr="009B6FA6">
              <w:rPr>
                <w:b/>
                <w:sz w:val="20"/>
              </w:rPr>
              <w:t>2010</w:t>
            </w:r>
          </w:p>
        </w:tc>
        <w:tc>
          <w:tcPr>
            <w:tcW w:w="23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b/>
                <w:sz w:val="20"/>
              </w:rPr>
            </w:pPr>
            <w:r w:rsidRPr="009B6FA6">
              <w:rPr>
                <w:b/>
                <w:sz w:val="20"/>
              </w:rPr>
              <w:t>2050</w:t>
            </w:r>
          </w:p>
        </w:tc>
      </w:tr>
      <w:tr w:rsidR="009C0B88" w:rsidRPr="009B6FA6">
        <w:trPr>
          <w:trHeight w:val="260"/>
          <w:jc w:val="center"/>
        </w:trPr>
        <w:tc>
          <w:tcPr>
            <w:tcW w:w="2901" w:type="dxa"/>
            <w:tcBorders>
              <w:top w:val="nil"/>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rPr>
                <w:sz w:val="20"/>
              </w:rPr>
            </w:pPr>
            <w:r w:rsidRPr="009B6FA6">
              <w:rPr>
                <w:sz w:val="20"/>
              </w:rPr>
              <w:t>(Thousands $2005)</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b/>
                <w:sz w:val="20"/>
              </w:rPr>
            </w:pPr>
            <w:r w:rsidRPr="009B6FA6">
              <w:rPr>
                <w:b/>
                <w:sz w:val="20"/>
              </w:rPr>
              <w:t>HCS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b/>
                <w:sz w:val="20"/>
              </w:rPr>
            </w:pPr>
            <w:r w:rsidRPr="009B6FA6">
              <w:rPr>
                <w:b/>
                <w:sz w:val="20"/>
              </w:rPr>
              <w:t>IFs</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b/>
                <w:sz w:val="20"/>
              </w:rPr>
            </w:pPr>
            <w:r w:rsidRPr="009B6FA6">
              <w:rPr>
                <w:b/>
                <w:sz w:val="20"/>
              </w:rPr>
              <w:t>HCS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b/>
                <w:sz w:val="20"/>
              </w:rPr>
            </w:pPr>
            <w:r w:rsidRPr="009B6FA6">
              <w:rPr>
                <w:b/>
                <w:sz w:val="20"/>
              </w:rPr>
              <w:t>IFs</w:t>
            </w:r>
          </w:p>
        </w:tc>
      </w:tr>
      <w:tr w:rsidR="009C0B88" w:rsidRPr="009B6FA6">
        <w:trPr>
          <w:trHeight w:val="260"/>
          <w:jc w:val="center"/>
        </w:trPr>
        <w:tc>
          <w:tcPr>
            <w:tcW w:w="2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rPr>
                <w:sz w:val="20"/>
              </w:rPr>
            </w:pPr>
            <w:r w:rsidRPr="009B6FA6">
              <w:rPr>
                <w:sz w:val="20"/>
              </w:rPr>
              <w:t>Low-income countries</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1.03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1.06</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2.30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3.84</w:t>
            </w:r>
          </w:p>
        </w:tc>
      </w:tr>
      <w:tr w:rsidR="009C0B88" w:rsidRPr="009B6FA6">
        <w:trPr>
          <w:trHeight w:val="260"/>
          <w:jc w:val="center"/>
        </w:trPr>
        <w:tc>
          <w:tcPr>
            <w:tcW w:w="2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rPr>
                <w:sz w:val="20"/>
              </w:rPr>
            </w:pPr>
            <w:r w:rsidRPr="009B6FA6">
              <w:rPr>
                <w:sz w:val="20"/>
              </w:rPr>
              <w:t>Lower-middle-income countries</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2.94</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3.29</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8.92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11.00</w:t>
            </w:r>
          </w:p>
        </w:tc>
      </w:tr>
      <w:tr w:rsidR="009C0B88" w:rsidRPr="009B6FA6">
        <w:trPr>
          <w:trHeight w:val="260"/>
          <w:jc w:val="center"/>
        </w:trPr>
        <w:tc>
          <w:tcPr>
            <w:tcW w:w="2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rPr>
                <w:sz w:val="20"/>
              </w:rPr>
            </w:pPr>
            <w:r w:rsidRPr="009B6FA6">
              <w:rPr>
                <w:sz w:val="20"/>
              </w:rPr>
              <w:t>Upper-middle-income countries</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7.56</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8.71</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24.68</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23.97</w:t>
            </w:r>
          </w:p>
        </w:tc>
      </w:tr>
      <w:tr w:rsidR="009C0B88" w:rsidRPr="009B6FA6">
        <w:trPr>
          <w:trHeight w:val="260"/>
          <w:jc w:val="center"/>
        </w:trPr>
        <w:tc>
          <w:tcPr>
            <w:tcW w:w="2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rPr>
                <w:sz w:val="20"/>
              </w:rPr>
            </w:pPr>
            <w:r w:rsidRPr="009B6FA6">
              <w:rPr>
                <w:sz w:val="20"/>
              </w:rPr>
              <w:t>High-income countries</w:t>
            </w: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34.85</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33.44</w:t>
            </w: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64.76</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45.79</w:t>
            </w:r>
          </w:p>
        </w:tc>
      </w:tr>
      <w:tr w:rsidR="009C0B88" w:rsidRPr="009B6FA6">
        <w:trPr>
          <w:trHeight w:val="260"/>
          <w:jc w:val="center"/>
        </w:trPr>
        <w:tc>
          <w:tcPr>
            <w:tcW w:w="2901" w:type="dxa"/>
            <w:tcBorders>
              <w:top w:val="nil"/>
              <w:left w:val="nil"/>
              <w:bottom w:val="nil"/>
              <w:right w:val="nil"/>
            </w:tcBorders>
            <w:shd w:val="clear" w:color="auto" w:fill="D9D9D9" w:themeFill="background1" w:themeFillShade="D9"/>
            <w:noWrap/>
            <w:vAlign w:val="bottom"/>
          </w:tcPr>
          <w:p w:rsidR="009C0B88" w:rsidRPr="009B6FA6" w:rsidRDefault="009C0B88" w:rsidP="009C0B88">
            <w:pPr>
              <w:rPr>
                <w:sz w:val="20"/>
              </w:rPr>
            </w:pPr>
            <w:r w:rsidRPr="009B6FA6">
              <w:rPr>
                <w:sz w:val="20"/>
              </w:rPr>
              <w:t> </w:t>
            </w:r>
          </w:p>
        </w:tc>
        <w:tc>
          <w:tcPr>
            <w:tcW w:w="1281" w:type="dxa"/>
            <w:tcBorders>
              <w:top w:val="single" w:sz="4" w:space="0" w:color="auto"/>
              <w:left w:val="nil"/>
              <w:bottom w:val="single" w:sz="4" w:space="0" w:color="auto"/>
              <w:right w:val="nil"/>
            </w:tcBorders>
            <w:shd w:val="clear" w:color="auto" w:fill="D9D9D9" w:themeFill="background1" w:themeFillShade="D9"/>
            <w:noWrap/>
            <w:vAlign w:val="bottom"/>
          </w:tcPr>
          <w:p w:rsidR="009C0B88" w:rsidRPr="009B6FA6" w:rsidRDefault="009C0B88" w:rsidP="009C0B88">
            <w:pPr>
              <w:jc w:val="center"/>
              <w:rPr>
                <w:sz w:val="20"/>
              </w:rPr>
            </w:pPr>
          </w:p>
        </w:tc>
        <w:tc>
          <w:tcPr>
            <w:tcW w:w="1170" w:type="dxa"/>
            <w:tcBorders>
              <w:top w:val="single" w:sz="4" w:space="0" w:color="auto"/>
              <w:left w:val="nil"/>
              <w:bottom w:val="single" w:sz="4" w:space="0" w:color="auto"/>
              <w:right w:val="nil"/>
            </w:tcBorders>
            <w:shd w:val="clear" w:color="auto" w:fill="D9D9D9" w:themeFill="background1" w:themeFillShade="D9"/>
            <w:noWrap/>
            <w:vAlign w:val="bottom"/>
          </w:tcPr>
          <w:p w:rsidR="009C0B88" w:rsidRPr="009B6FA6" w:rsidRDefault="009C0B88" w:rsidP="009C0B88">
            <w:pPr>
              <w:jc w:val="center"/>
              <w:rPr>
                <w:sz w:val="20"/>
              </w:rPr>
            </w:pPr>
          </w:p>
        </w:tc>
        <w:tc>
          <w:tcPr>
            <w:tcW w:w="1194" w:type="dxa"/>
            <w:tcBorders>
              <w:top w:val="single" w:sz="4" w:space="0" w:color="auto"/>
              <w:left w:val="nil"/>
              <w:bottom w:val="single" w:sz="4" w:space="0" w:color="auto"/>
              <w:right w:val="nil"/>
            </w:tcBorders>
            <w:shd w:val="clear" w:color="auto" w:fill="D9D9D9" w:themeFill="background1" w:themeFillShade="D9"/>
            <w:noWrap/>
            <w:vAlign w:val="bottom"/>
          </w:tcPr>
          <w:p w:rsidR="009C0B88" w:rsidRPr="009B6FA6" w:rsidRDefault="009C0B88" w:rsidP="009C0B88">
            <w:pPr>
              <w:jc w:val="center"/>
              <w:rPr>
                <w:sz w:val="20"/>
              </w:rPr>
            </w:pPr>
          </w:p>
        </w:tc>
        <w:tc>
          <w:tcPr>
            <w:tcW w:w="1170" w:type="dxa"/>
            <w:tcBorders>
              <w:top w:val="single" w:sz="4" w:space="0" w:color="auto"/>
              <w:left w:val="nil"/>
              <w:bottom w:val="single" w:sz="4" w:space="0" w:color="auto"/>
              <w:right w:val="nil"/>
            </w:tcBorders>
            <w:shd w:val="clear" w:color="auto" w:fill="D9D9D9" w:themeFill="background1" w:themeFillShade="D9"/>
            <w:noWrap/>
            <w:vAlign w:val="bottom"/>
          </w:tcPr>
          <w:p w:rsidR="009C0B88" w:rsidRPr="009B6FA6" w:rsidRDefault="009C0B88" w:rsidP="009C0B88">
            <w:pPr>
              <w:jc w:val="center"/>
              <w:rPr>
                <w:sz w:val="20"/>
              </w:rPr>
            </w:pPr>
          </w:p>
        </w:tc>
      </w:tr>
      <w:tr w:rsidR="009C0B88" w:rsidRPr="009B6FA6">
        <w:trPr>
          <w:trHeight w:val="260"/>
          <w:jc w:val="center"/>
        </w:trPr>
        <w:tc>
          <w:tcPr>
            <w:tcW w:w="2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rPr>
                <w:sz w:val="20"/>
              </w:rPr>
            </w:pPr>
            <w:r w:rsidRPr="009B6FA6">
              <w:rPr>
                <w:sz w:val="20"/>
              </w:rPr>
              <w:t>East Asia and the Pacific</w:t>
            </w:r>
          </w:p>
        </w:tc>
        <w:tc>
          <w:tcPr>
            <w:tcW w:w="1281" w:type="dxa"/>
            <w:tcBorders>
              <w:top w:val="nil"/>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4.96</w:t>
            </w:r>
          </w:p>
        </w:tc>
        <w:tc>
          <w:tcPr>
            <w:tcW w:w="1170" w:type="dxa"/>
            <w:tcBorders>
              <w:top w:val="nil"/>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6.04</w:t>
            </w:r>
          </w:p>
        </w:tc>
        <w:tc>
          <w:tcPr>
            <w:tcW w:w="1194" w:type="dxa"/>
            <w:tcBorders>
              <w:top w:val="nil"/>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19.53</w:t>
            </w:r>
          </w:p>
        </w:tc>
        <w:tc>
          <w:tcPr>
            <w:tcW w:w="1170" w:type="dxa"/>
            <w:tcBorders>
              <w:top w:val="nil"/>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21.29</w:t>
            </w:r>
          </w:p>
        </w:tc>
      </w:tr>
      <w:tr w:rsidR="009C0B88" w:rsidRPr="009B6FA6">
        <w:trPr>
          <w:trHeight w:val="260"/>
          <w:jc w:val="center"/>
        </w:trPr>
        <w:tc>
          <w:tcPr>
            <w:tcW w:w="2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rPr>
                <w:sz w:val="20"/>
              </w:rPr>
            </w:pPr>
            <w:r w:rsidRPr="009B6FA6">
              <w:rPr>
                <w:sz w:val="20"/>
              </w:rPr>
              <w:t>Europe and Central Asia</w:t>
            </w:r>
          </w:p>
        </w:tc>
        <w:tc>
          <w:tcPr>
            <w:tcW w:w="1281" w:type="dxa"/>
            <w:tcBorders>
              <w:top w:val="nil"/>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9.92</w:t>
            </w:r>
          </w:p>
        </w:tc>
        <w:tc>
          <w:tcPr>
            <w:tcW w:w="1170" w:type="dxa"/>
            <w:tcBorders>
              <w:top w:val="nil"/>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10.65</w:t>
            </w:r>
          </w:p>
        </w:tc>
        <w:tc>
          <w:tcPr>
            <w:tcW w:w="1194" w:type="dxa"/>
            <w:tcBorders>
              <w:top w:val="nil"/>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28.26</w:t>
            </w:r>
          </w:p>
        </w:tc>
        <w:tc>
          <w:tcPr>
            <w:tcW w:w="1170" w:type="dxa"/>
            <w:tcBorders>
              <w:top w:val="nil"/>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18.78</w:t>
            </w:r>
          </w:p>
        </w:tc>
      </w:tr>
      <w:tr w:rsidR="009C0B88" w:rsidRPr="009B6FA6">
        <w:trPr>
          <w:trHeight w:val="260"/>
          <w:jc w:val="center"/>
        </w:trPr>
        <w:tc>
          <w:tcPr>
            <w:tcW w:w="2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rPr>
                <w:sz w:val="20"/>
              </w:rPr>
            </w:pPr>
            <w:r w:rsidRPr="009B6FA6">
              <w:rPr>
                <w:sz w:val="20"/>
              </w:rPr>
              <w:t>Latin America and the Caribbean</w:t>
            </w:r>
          </w:p>
        </w:tc>
        <w:tc>
          <w:tcPr>
            <w:tcW w:w="1281" w:type="dxa"/>
            <w:tcBorders>
              <w:top w:val="nil"/>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9.20</w:t>
            </w:r>
          </w:p>
        </w:tc>
        <w:tc>
          <w:tcPr>
            <w:tcW w:w="1170" w:type="dxa"/>
            <w:tcBorders>
              <w:top w:val="nil"/>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10.08</w:t>
            </w:r>
          </w:p>
        </w:tc>
        <w:tc>
          <w:tcPr>
            <w:tcW w:w="1194" w:type="dxa"/>
            <w:tcBorders>
              <w:top w:val="nil"/>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21.38</w:t>
            </w:r>
          </w:p>
        </w:tc>
        <w:tc>
          <w:tcPr>
            <w:tcW w:w="1170" w:type="dxa"/>
            <w:tcBorders>
              <w:top w:val="nil"/>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17.82</w:t>
            </w:r>
          </w:p>
        </w:tc>
      </w:tr>
      <w:tr w:rsidR="009C0B88" w:rsidRPr="009B6FA6">
        <w:trPr>
          <w:trHeight w:val="260"/>
          <w:jc w:val="center"/>
        </w:trPr>
        <w:tc>
          <w:tcPr>
            <w:tcW w:w="2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rPr>
                <w:sz w:val="20"/>
              </w:rPr>
            </w:pPr>
            <w:r w:rsidRPr="009B6FA6">
              <w:rPr>
                <w:sz w:val="20"/>
              </w:rPr>
              <w:t>Middle East and North Africa</w:t>
            </w:r>
          </w:p>
        </w:tc>
        <w:tc>
          <w:tcPr>
            <w:tcW w:w="1281" w:type="dxa"/>
            <w:tcBorders>
              <w:top w:val="nil"/>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6.09</w:t>
            </w:r>
          </w:p>
        </w:tc>
        <w:tc>
          <w:tcPr>
            <w:tcW w:w="1170" w:type="dxa"/>
            <w:tcBorders>
              <w:top w:val="nil"/>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6.38</w:t>
            </w:r>
          </w:p>
        </w:tc>
        <w:tc>
          <w:tcPr>
            <w:tcW w:w="1194" w:type="dxa"/>
            <w:tcBorders>
              <w:top w:val="nil"/>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13.08</w:t>
            </w:r>
          </w:p>
        </w:tc>
        <w:tc>
          <w:tcPr>
            <w:tcW w:w="1170" w:type="dxa"/>
            <w:tcBorders>
              <w:top w:val="nil"/>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10.64</w:t>
            </w:r>
          </w:p>
        </w:tc>
      </w:tr>
      <w:tr w:rsidR="009C0B88" w:rsidRPr="009B6FA6">
        <w:trPr>
          <w:trHeight w:val="260"/>
          <w:jc w:val="center"/>
        </w:trPr>
        <w:tc>
          <w:tcPr>
            <w:tcW w:w="2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rPr>
                <w:sz w:val="20"/>
              </w:rPr>
            </w:pPr>
            <w:r w:rsidRPr="009B6FA6">
              <w:rPr>
                <w:sz w:val="20"/>
              </w:rPr>
              <w:t>South Asia</w:t>
            </w:r>
          </w:p>
        </w:tc>
        <w:tc>
          <w:tcPr>
            <w:tcW w:w="1281" w:type="dxa"/>
            <w:tcBorders>
              <w:top w:val="nil"/>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2.49</w:t>
            </w:r>
          </w:p>
        </w:tc>
        <w:tc>
          <w:tcPr>
            <w:tcW w:w="1170" w:type="dxa"/>
            <w:tcBorders>
              <w:top w:val="nil"/>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2.91</w:t>
            </w:r>
          </w:p>
        </w:tc>
        <w:tc>
          <w:tcPr>
            <w:tcW w:w="1194" w:type="dxa"/>
            <w:tcBorders>
              <w:top w:val="nil"/>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8.74</w:t>
            </w:r>
          </w:p>
        </w:tc>
        <w:tc>
          <w:tcPr>
            <w:tcW w:w="1170" w:type="dxa"/>
            <w:tcBorders>
              <w:top w:val="nil"/>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11.99</w:t>
            </w:r>
          </w:p>
        </w:tc>
      </w:tr>
      <w:tr w:rsidR="009C0B88" w:rsidRPr="009B6FA6">
        <w:trPr>
          <w:trHeight w:val="260"/>
          <w:jc w:val="center"/>
        </w:trPr>
        <w:tc>
          <w:tcPr>
            <w:tcW w:w="2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rPr>
                <w:sz w:val="20"/>
              </w:rPr>
            </w:pPr>
            <w:r w:rsidRPr="009B6FA6">
              <w:rPr>
                <w:sz w:val="20"/>
              </w:rPr>
              <w:t>Sub-Saharan Africa</w:t>
            </w:r>
          </w:p>
        </w:tc>
        <w:tc>
          <w:tcPr>
            <w:tcW w:w="1281" w:type="dxa"/>
            <w:tcBorders>
              <w:top w:val="nil"/>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1.78</w:t>
            </w:r>
          </w:p>
        </w:tc>
        <w:tc>
          <w:tcPr>
            <w:tcW w:w="1170" w:type="dxa"/>
            <w:tcBorders>
              <w:top w:val="nil"/>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1.99</w:t>
            </w:r>
          </w:p>
        </w:tc>
        <w:tc>
          <w:tcPr>
            <w:tcW w:w="1194" w:type="dxa"/>
            <w:tcBorders>
              <w:top w:val="nil"/>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3.15</w:t>
            </w:r>
          </w:p>
        </w:tc>
        <w:tc>
          <w:tcPr>
            <w:tcW w:w="1170" w:type="dxa"/>
            <w:tcBorders>
              <w:top w:val="nil"/>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5.77</w:t>
            </w:r>
          </w:p>
        </w:tc>
      </w:tr>
      <w:tr w:rsidR="009C0B88" w:rsidRPr="009B6FA6">
        <w:trPr>
          <w:trHeight w:val="260"/>
          <w:jc w:val="center"/>
        </w:trPr>
        <w:tc>
          <w:tcPr>
            <w:tcW w:w="2901" w:type="dxa"/>
            <w:tcBorders>
              <w:top w:val="nil"/>
              <w:left w:val="nil"/>
              <w:bottom w:val="nil"/>
              <w:right w:val="nil"/>
            </w:tcBorders>
            <w:shd w:val="clear" w:color="auto" w:fill="D9D9D9" w:themeFill="background1" w:themeFillShade="D9"/>
            <w:noWrap/>
            <w:vAlign w:val="bottom"/>
          </w:tcPr>
          <w:p w:rsidR="009C0B88" w:rsidRPr="009B6FA6" w:rsidRDefault="009C0B88" w:rsidP="009C0B88">
            <w:pPr>
              <w:rPr>
                <w:sz w:val="20"/>
              </w:rPr>
            </w:pPr>
            <w:r w:rsidRPr="009B6FA6">
              <w:rPr>
                <w:sz w:val="20"/>
              </w:rPr>
              <w:t> </w:t>
            </w:r>
          </w:p>
        </w:tc>
        <w:tc>
          <w:tcPr>
            <w:tcW w:w="1281" w:type="dxa"/>
            <w:tcBorders>
              <w:top w:val="single" w:sz="4" w:space="0" w:color="auto"/>
              <w:left w:val="nil"/>
              <w:bottom w:val="single" w:sz="4" w:space="0" w:color="auto"/>
              <w:right w:val="nil"/>
            </w:tcBorders>
            <w:shd w:val="clear" w:color="auto" w:fill="D9D9D9" w:themeFill="background1" w:themeFillShade="D9"/>
            <w:noWrap/>
            <w:vAlign w:val="bottom"/>
          </w:tcPr>
          <w:p w:rsidR="009C0B88" w:rsidRPr="009B6FA6" w:rsidRDefault="009C0B88" w:rsidP="009C0B88">
            <w:pPr>
              <w:jc w:val="center"/>
              <w:rPr>
                <w:sz w:val="20"/>
              </w:rPr>
            </w:pPr>
          </w:p>
        </w:tc>
        <w:tc>
          <w:tcPr>
            <w:tcW w:w="1170" w:type="dxa"/>
            <w:tcBorders>
              <w:top w:val="single" w:sz="4" w:space="0" w:color="auto"/>
              <w:left w:val="nil"/>
              <w:bottom w:val="single" w:sz="4" w:space="0" w:color="auto"/>
              <w:right w:val="nil"/>
            </w:tcBorders>
            <w:shd w:val="clear" w:color="auto" w:fill="D9D9D9" w:themeFill="background1" w:themeFillShade="D9"/>
            <w:noWrap/>
            <w:vAlign w:val="bottom"/>
          </w:tcPr>
          <w:p w:rsidR="009C0B88" w:rsidRPr="009B6FA6" w:rsidRDefault="009C0B88" w:rsidP="009C0B88">
            <w:pPr>
              <w:jc w:val="center"/>
              <w:rPr>
                <w:sz w:val="20"/>
              </w:rPr>
            </w:pPr>
          </w:p>
        </w:tc>
        <w:tc>
          <w:tcPr>
            <w:tcW w:w="1194" w:type="dxa"/>
            <w:tcBorders>
              <w:top w:val="single" w:sz="4" w:space="0" w:color="auto"/>
              <w:left w:val="nil"/>
              <w:bottom w:val="single" w:sz="4" w:space="0" w:color="auto"/>
              <w:right w:val="nil"/>
            </w:tcBorders>
            <w:shd w:val="clear" w:color="auto" w:fill="D9D9D9" w:themeFill="background1" w:themeFillShade="D9"/>
            <w:noWrap/>
            <w:vAlign w:val="bottom"/>
          </w:tcPr>
          <w:p w:rsidR="009C0B88" w:rsidRPr="009B6FA6" w:rsidRDefault="009C0B88" w:rsidP="009C0B88">
            <w:pPr>
              <w:jc w:val="center"/>
              <w:rPr>
                <w:sz w:val="20"/>
              </w:rPr>
            </w:pPr>
          </w:p>
        </w:tc>
        <w:tc>
          <w:tcPr>
            <w:tcW w:w="1170" w:type="dxa"/>
            <w:tcBorders>
              <w:top w:val="single" w:sz="4" w:space="0" w:color="auto"/>
              <w:left w:val="nil"/>
              <w:bottom w:val="single" w:sz="4" w:space="0" w:color="auto"/>
              <w:right w:val="nil"/>
            </w:tcBorders>
            <w:shd w:val="clear" w:color="auto" w:fill="D9D9D9" w:themeFill="background1" w:themeFillShade="D9"/>
            <w:noWrap/>
            <w:vAlign w:val="bottom"/>
          </w:tcPr>
          <w:p w:rsidR="009C0B88" w:rsidRPr="009B6FA6" w:rsidRDefault="009C0B88" w:rsidP="009C0B88">
            <w:pPr>
              <w:jc w:val="center"/>
              <w:rPr>
                <w:sz w:val="20"/>
              </w:rPr>
            </w:pPr>
          </w:p>
        </w:tc>
      </w:tr>
      <w:tr w:rsidR="009C0B88" w:rsidRPr="009B6FA6">
        <w:trPr>
          <w:trHeight w:val="260"/>
          <w:jc w:val="center"/>
        </w:trPr>
        <w:tc>
          <w:tcPr>
            <w:tcW w:w="2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rPr>
                <w:sz w:val="20"/>
              </w:rPr>
            </w:pPr>
            <w:r w:rsidRPr="009B6FA6">
              <w:rPr>
                <w:sz w:val="20"/>
              </w:rPr>
              <w:t>World</w:t>
            </w:r>
          </w:p>
        </w:tc>
        <w:tc>
          <w:tcPr>
            <w:tcW w:w="1281" w:type="dxa"/>
            <w:tcBorders>
              <w:top w:val="nil"/>
              <w:left w:val="single" w:sz="4" w:space="0" w:color="auto"/>
              <w:bottom w:val="nil"/>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9.42</w:t>
            </w:r>
          </w:p>
        </w:tc>
        <w:tc>
          <w:tcPr>
            <w:tcW w:w="1170" w:type="dxa"/>
            <w:tcBorders>
              <w:top w:val="nil"/>
              <w:left w:val="single" w:sz="4" w:space="0" w:color="auto"/>
              <w:bottom w:val="nil"/>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9.94</w:t>
            </w:r>
          </w:p>
        </w:tc>
        <w:tc>
          <w:tcPr>
            <w:tcW w:w="1194" w:type="dxa"/>
            <w:tcBorders>
              <w:top w:val="nil"/>
              <w:left w:val="single" w:sz="4" w:space="0" w:color="auto"/>
              <w:bottom w:val="nil"/>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19.67</w:t>
            </w:r>
          </w:p>
        </w:tc>
        <w:tc>
          <w:tcPr>
            <w:tcW w:w="1170" w:type="dxa"/>
            <w:tcBorders>
              <w:top w:val="nil"/>
              <w:left w:val="single" w:sz="4" w:space="0" w:color="auto"/>
              <w:bottom w:val="nil"/>
              <w:right w:val="single" w:sz="4" w:space="0" w:color="auto"/>
            </w:tcBorders>
            <w:shd w:val="clear" w:color="auto" w:fill="auto"/>
            <w:noWrap/>
            <w:vAlign w:val="bottom"/>
          </w:tcPr>
          <w:p w:rsidR="009C0B88" w:rsidRPr="009B6FA6" w:rsidRDefault="009C0B88" w:rsidP="009C0B88">
            <w:pPr>
              <w:jc w:val="center"/>
              <w:rPr>
                <w:sz w:val="20"/>
              </w:rPr>
            </w:pPr>
            <w:r w:rsidRPr="009B6FA6">
              <w:rPr>
                <w:sz w:val="20"/>
              </w:rPr>
              <w:t>17.87</w:t>
            </w:r>
          </w:p>
        </w:tc>
      </w:tr>
      <w:tr w:rsidR="009C0B88" w:rsidRPr="009B6FA6">
        <w:trPr>
          <w:trHeight w:val="260"/>
          <w:jc w:val="center"/>
        </w:trPr>
        <w:tc>
          <w:tcPr>
            <w:tcW w:w="7716"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9B6FA6" w:rsidRDefault="009C0B88" w:rsidP="009C0B88">
            <w:pPr>
              <w:rPr>
                <w:i/>
                <w:color w:val="000000"/>
              </w:rPr>
            </w:pPr>
            <w:r w:rsidRPr="009B6FA6">
              <w:rPr>
                <w:i/>
              </w:rPr>
              <w:t xml:space="preserve">Sources: </w:t>
            </w:r>
            <w:r w:rsidRPr="009B6FA6">
              <w:rPr>
                <w:i/>
                <w:color w:val="000000"/>
              </w:rPr>
              <w:t>Hughes, Chinowsky, and Strzepek (2009); IFs version.6.57</w:t>
            </w:r>
          </w:p>
          <w:p w:rsidR="009C0B88" w:rsidRPr="009B6FA6" w:rsidRDefault="009C0B88" w:rsidP="009C0B88">
            <w:pPr>
              <w:rPr>
                <w:i/>
              </w:rPr>
            </w:pPr>
            <w:r w:rsidRPr="009B6FA6">
              <w:rPr>
                <w:i/>
                <w:color w:val="000000"/>
              </w:rPr>
              <w:t>Note: GDP per capita is in thousands of 2005 dollars</w:t>
            </w:r>
          </w:p>
        </w:tc>
      </w:tr>
    </w:tbl>
    <w:p w:rsidR="009C0B88" w:rsidRPr="00F76927" w:rsidRDefault="009C0B88" w:rsidP="009C0B88">
      <w:pPr>
        <w:rPr>
          <w:b/>
        </w:rPr>
      </w:pPr>
    </w:p>
    <w:p w:rsidR="009C0B88" w:rsidRDefault="009C0B88" w:rsidP="009C0B88">
      <w:r>
        <w:t xml:space="preserve">The focus of Hughes, </w:t>
      </w:r>
      <w:r w:rsidRPr="00BA6435">
        <w:rPr>
          <w:color w:val="000000"/>
        </w:rPr>
        <w:t>Chinowsky, and Strzepek (2009)</w:t>
      </w:r>
      <w:r>
        <w:rPr>
          <w:color w:val="000000"/>
        </w:rPr>
        <w:t xml:space="preserve"> was on the potential economic costs of climate change on infrastructure. Their primary emphasis was on the differences in infrastucture costs between scenarios with and without climate change (we use their "no climate change scenario" for comparisons here), rather than on the absolute amount of infrastructure stocks, access, or costs within any single scenario. Therefore they did not force the initial levels of stocks and access to mach historical data exactly, but rather used the same equations to calculate initial values as they used for their forecasts. For this reason their initial values will often differ from those in the IFs base case. In our comparisons we therefore emphasize the future values relative to those of 2010, rather than looking at the absolute values.</w:t>
      </w:r>
    </w:p>
    <w:p w:rsidR="009C0B88" w:rsidRDefault="009C0B88" w:rsidP="009C0B88"/>
    <w:p w:rsidR="009C0B88" w:rsidRDefault="009C0B88" w:rsidP="009C0B88">
      <w:r>
        <w:t xml:space="preserve">Chapter 2 surveyed the patterns of historical growth in infrastructure. For instance, it noted that paved roads grew globally at an annual rate of 2.6 percent between 1975 and 2008. Even with that growth, the portion of roads paved in both Latin America and the Caribbean and in sub-Saharan Africa reached only about 20 percent (see again Figure 2.2) and the roads per capita of all developing regions remained far below the levels of high-income countries. Thus there is much "head room" for continued growth, and IFs forecasts anticipate a 2 percent annual growth globally through 2050 (compared to 1 percent by HCS). IFs anticipates a 6-fold increase of paved roads in low-income countries; that jump is twice the one anticipated by HCS, with much of the difference explained by our higher economic forecasts. We also expect faster growth of paved roads in middle-income countries. Overall, the differences across a full 40-year period are significant, but are understandable. </w:t>
      </w:r>
    </w:p>
    <w:p w:rsidR="009C0B88" w:rsidRDefault="009C0B88" w:rsidP="009C0B88"/>
    <w:p w:rsidR="009C0B88" w:rsidRDefault="009C0B88" w:rsidP="009C0B88">
      <w:r>
        <w:t>The same is true for the number of household electricity connections (see Figure 5.14). There the differences between the two sets of infrastructure forecasts are even more clearly related to the differences in the economic forecasts. IFs foresees greater extension of connections for both low-income and lower-middle income countries, and somewhat less extension for upper-middle and high-income countries.</w:t>
      </w:r>
    </w:p>
    <w:p w:rsidR="009C0B88" w:rsidRDefault="009C0B88" w:rsidP="009C0B88"/>
    <w:p w:rsidR="009C0B88" w:rsidRDefault="009C0B88" w:rsidP="009C0B88">
      <w:pPr>
        <w:keepNext/>
        <w:keepLines/>
      </w:pPr>
      <w:r w:rsidRPr="00814A49">
        <w:rPr>
          <w:noProof/>
        </w:rPr>
        <w:drawing>
          <wp:inline distT="0" distB="0" distL="0" distR="0">
            <wp:extent cx="5486400" cy="3731895"/>
            <wp:effectExtent l="25400" t="25400" r="0" b="1905"/>
            <wp:docPr id="359" name="C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9C0B88" w:rsidRPr="009B6FA6" w:rsidRDefault="009C0B88" w:rsidP="009C0B88">
      <w:pPr>
        <w:keepNext/>
        <w:keepLines/>
        <w:rPr>
          <w:b/>
        </w:rPr>
      </w:pPr>
      <w:r w:rsidRPr="009B6FA6">
        <w:rPr>
          <w:b/>
        </w:rPr>
        <w:t>Figure 5.1</w:t>
      </w:r>
      <w:r>
        <w:rPr>
          <w:b/>
        </w:rPr>
        <w:t>5</w:t>
      </w:r>
      <w:r w:rsidRPr="009B6FA6">
        <w:rPr>
          <w:b/>
        </w:rPr>
        <w:t xml:space="preserve"> Comparing electricity connection forecasts of HCS</w:t>
      </w:r>
      <w:r w:rsidRPr="009B6FA6">
        <w:rPr>
          <w:b/>
          <w:color w:val="000000"/>
        </w:rPr>
        <w:t xml:space="preserve"> with IFs</w:t>
      </w:r>
      <w:r>
        <w:rPr>
          <w:b/>
          <w:color w:val="000000"/>
        </w:rPr>
        <w:t xml:space="preserve"> by Income Group</w:t>
      </w:r>
    </w:p>
    <w:p w:rsidR="009C0B88" w:rsidRPr="009B6FA6" w:rsidRDefault="009C0B88" w:rsidP="009C0B88">
      <w:pPr>
        <w:keepNext/>
        <w:keepLines/>
        <w:rPr>
          <w:i/>
        </w:rPr>
      </w:pPr>
      <w:r w:rsidRPr="009B6FA6">
        <w:rPr>
          <w:i/>
        </w:rPr>
        <w:t xml:space="preserve">Sources: </w:t>
      </w:r>
      <w:r w:rsidRPr="009B6FA6">
        <w:rPr>
          <w:i/>
          <w:color w:val="000000"/>
        </w:rPr>
        <w:t>Hughes, Chinowsky, and Strzepek (2009); IFs version 6.57</w:t>
      </w:r>
    </w:p>
    <w:p w:rsidR="009C0B88" w:rsidRPr="009B6FA6" w:rsidRDefault="009C0B88" w:rsidP="009C0B88">
      <w:pPr>
        <w:rPr>
          <w:i/>
        </w:rPr>
      </w:pPr>
      <w:r w:rsidRPr="009B6FA6">
        <w:rPr>
          <w:i/>
        </w:rPr>
        <w:t>Note: Comparisons are Base 1 in 2010; that is, both sets of forecasts are compared with their own values in 2010.</w:t>
      </w:r>
    </w:p>
    <w:p w:rsidR="009C0B88" w:rsidRDefault="009C0B88" w:rsidP="009C0B88"/>
    <w:p w:rsidR="009C0B88" w:rsidRDefault="009C0B88" w:rsidP="009C0B88">
      <w:r>
        <w:t xml:space="preserve">Turning to water and sanitation (see Table 5.8), the two sets of forecasts for growth in household water connections by income group are very similar to each other, considerably more so than with respect to paved roads or electricity. The IFs forecasts for low-income countries and for lower-middle income countries are slightly higher than those of HCS. Our values for upper-middle income countries are lower, but that is not surprising because our data show a household connection rate of more than 75 percent for that grouping already. In contrast, the HCS forecasts of household connections to safe sanitation are quite a lot higher than those of IFs for low-income and middle-income countries. In fact, HCS anticipated that connections for South Asia will increase by a factor of more than 19, while the IFs forecast is only a factor of 4. This is not surprising given that we show a household connection rate of about 39 percent for the region already in 2010. </w:t>
      </w:r>
    </w:p>
    <w:p w:rsidR="009C0B88" w:rsidRDefault="009C0B88" w:rsidP="009C0B88"/>
    <w:tbl>
      <w:tblPr>
        <w:tblW w:w="0" w:type="auto"/>
        <w:tblInd w:w="92" w:type="dxa"/>
        <w:tblLook w:val="0000"/>
      </w:tblPr>
      <w:tblGrid>
        <w:gridCol w:w="3706"/>
        <w:gridCol w:w="1500"/>
        <w:gridCol w:w="1380"/>
        <w:gridCol w:w="1632"/>
        <w:gridCol w:w="1266"/>
      </w:tblGrid>
      <w:tr w:rsidR="009C0B88" w:rsidRPr="00814A49">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rPr>
                <w:rFonts w:ascii="Verdana" w:hAnsi="Verdana"/>
                <w:sz w:val="20"/>
              </w:rPr>
            </w:pPr>
            <w:r w:rsidRPr="00814A49">
              <w:rPr>
                <w:b/>
                <w:bCs/>
              </w:rPr>
              <w:t>Table 5.8 Comparison of HCS and IFs water and sanitation forecasts</w:t>
            </w:r>
            <w:r w:rsidRPr="00814A49">
              <w:rPr>
                <w:rFonts w:ascii="Verdana" w:hAnsi="Verdana"/>
                <w:sz w:val="20"/>
              </w:rPr>
              <w:t> </w:t>
            </w:r>
          </w:p>
        </w:tc>
      </w:tr>
      <w:tr w:rsidR="009C0B88" w:rsidRPr="00814A49">
        <w:trPr>
          <w:trHeight w:val="260"/>
        </w:trPr>
        <w:tc>
          <w:tcPr>
            <w:tcW w:w="3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rPr>
                <w:rFonts w:ascii="Verdana" w:hAnsi="Verdana"/>
                <w:sz w:val="20"/>
              </w:rPr>
            </w:pPr>
            <w:r w:rsidRPr="00814A49">
              <w:rPr>
                <w:rFonts w:ascii="Verdana" w:hAnsi="Verdana"/>
                <w:sz w:val="20"/>
              </w:rPr>
              <w:t> </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E80A19" w:rsidRDefault="009C0B88" w:rsidP="009C0B88">
            <w:pPr>
              <w:spacing w:line="276" w:lineRule="auto"/>
              <w:jc w:val="center"/>
              <w:rPr>
                <w:rFonts w:ascii="Verdana" w:hAnsi="Verdana"/>
                <w:bCs/>
                <w:sz w:val="20"/>
              </w:rPr>
            </w:pPr>
            <w:r w:rsidRPr="00E80A19">
              <w:rPr>
                <w:rFonts w:ascii="Verdana" w:hAnsi="Verdana"/>
                <w:bCs/>
                <w:sz w:val="20"/>
              </w:rPr>
              <w:t xml:space="preserve">Water </w:t>
            </w:r>
          </w:p>
        </w:tc>
        <w:tc>
          <w:tcPr>
            <w:tcW w:w="28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E80A19" w:rsidRDefault="009C0B88" w:rsidP="009C0B88">
            <w:pPr>
              <w:spacing w:line="276" w:lineRule="auto"/>
              <w:jc w:val="center"/>
              <w:rPr>
                <w:rFonts w:ascii="Verdana" w:hAnsi="Verdana"/>
                <w:bCs/>
                <w:sz w:val="20"/>
              </w:rPr>
            </w:pPr>
            <w:r w:rsidRPr="00E80A19">
              <w:rPr>
                <w:rFonts w:ascii="Verdana" w:hAnsi="Verdana"/>
                <w:bCs/>
                <w:sz w:val="20"/>
              </w:rPr>
              <w:t>Sanitation</w:t>
            </w:r>
          </w:p>
        </w:tc>
      </w:tr>
      <w:tr w:rsidR="009C0B88" w:rsidRPr="00814A49">
        <w:trPr>
          <w:trHeight w:val="260"/>
        </w:trPr>
        <w:tc>
          <w:tcPr>
            <w:tcW w:w="3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rPr>
                <w:rFonts w:ascii="Verdana" w:hAnsi="Verdana"/>
                <w:sz w:val="20"/>
              </w:rPr>
            </w:pPr>
            <w:r w:rsidRPr="00814A49">
              <w:rPr>
                <w:rFonts w:ascii="Verdana" w:hAnsi="Verdana"/>
                <w:sz w:val="20"/>
              </w:rPr>
              <w:t> </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E80A19" w:rsidRDefault="009C0B88" w:rsidP="009C0B88">
            <w:pPr>
              <w:spacing w:line="276" w:lineRule="auto"/>
              <w:rPr>
                <w:rFonts w:ascii="Verdana" w:hAnsi="Verdana"/>
                <w:bCs/>
                <w:sz w:val="20"/>
              </w:rPr>
            </w:pPr>
            <w:r w:rsidRPr="00E80A19">
              <w:rPr>
                <w:rFonts w:ascii="Verdana" w:hAnsi="Verdana"/>
                <w:bCs/>
                <w:sz w:val="20"/>
              </w:rPr>
              <w:t>Household connections</w:t>
            </w:r>
          </w:p>
        </w:tc>
        <w:tc>
          <w:tcPr>
            <w:tcW w:w="28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E80A19" w:rsidRDefault="009C0B88" w:rsidP="009C0B88">
            <w:pPr>
              <w:spacing w:line="276" w:lineRule="auto"/>
              <w:rPr>
                <w:rFonts w:ascii="Verdana" w:hAnsi="Verdana"/>
                <w:bCs/>
                <w:sz w:val="20"/>
              </w:rPr>
            </w:pPr>
            <w:r w:rsidRPr="00E80A19">
              <w:rPr>
                <w:rFonts w:ascii="Verdana" w:hAnsi="Verdana"/>
                <w:bCs/>
                <w:sz w:val="20"/>
              </w:rPr>
              <w:t>Household connections</w:t>
            </w:r>
          </w:p>
        </w:tc>
      </w:tr>
      <w:tr w:rsidR="009C0B88" w:rsidRPr="00814A49">
        <w:trPr>
          <w:trHeight w:val="260"/>
        </w:trPr>
        <w:tc>
          <w:tcPr>
            <w:tcW w:w="3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rPr>
                <w:rFonts w:ascii="Verdana" w:hAnsi="Verdana"/>
                <w:sz w:val="20"/>
              </w:rPr>
            </w:pPr>
            <w:r w:rsidRPr="00814A49">
              <w:rPr>
                <w:rFonts w:ascii="Verdana" w:hAnsi="Verdana"/>
                <w:sz w:val="20"/>
              </w:rPr>
              <w:t> </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E80A19" w:rsidRDefault="009C0B88" w:rsidP="009C0B88">
            <w:pPr>
              <w:spacing w:line="276" w:lineRule="auto"/>
              <w:jc w:val="center"/>
              <w:rPr>
                <w:rFonts w:ascii="Verdana" w:hAnsi="Verdana"/>
                <w:bCs/>
                <w:sz w:val="20"/>
              </w:rPr>
            </w:pPr>
            <w:r w:rsidRPr="00E80A19">
              <w:rPr>
                <w:rFonts w:ascii="Verdana" w:hAnsi="Verdana"/>
                <w:bCs/>
                <w:sz w:val="20"/>
              </w:rPr>
              <w:t>2050</w:t>
            </w:r>
          </w:p>
        </w:tc>
        <w:tc>
          <w:tcPr>
            <w:tcW w:w="28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E80A19" w:rsidRDefault="009C0B88" w:rsidP="009C0B88">
            <w:pPr>
              <w:spacing w:line="276" w:lineRule="auto"/>
              <w:jc w:val="center"/>
              <w:rPr>
                <w:rFonts w:ascii="Verdana" w:hAnsi="Verdana"/>
                <w:bCs/>
                <w:sz w:val="20"/>
              </w:rPr>
            </w:pPr>
            <w:r w:rsidRPr="00E80A19">
              <w:rPr>
                <w:rFonts w:ascii="Verdana" w:hAnsi="Verdana"/>
                <w:bCs/>
                <w:sz w:val="20"/>
              </w:rPr>
              <w:t>2050</w:t>
            </w:r>
          </w:p>
        </w:tc>
      </w:tr>
      <w:tr w:rsidR="009C0B88" w:rsidRPr="00814A49">
        <w:trPr>
          <w:trHeight w:val="260"/>
        </w:trPr>
        <w:tc>
          <w:tcPr>
            <w:tcW w:w="3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 </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E80A19" w:rsidRDefault="009C0B88" w:rsidP="009C0B88">
            <w:pPr>
              <w:spacing w:line="276" w:lineRule="auto"/>
              <w:jc w:val="center"/>
              <w:rPr>
                <w:rFonts w:ascii="Verdana" w:hAnsi="Verdana"/>
                <w:bCs/>
                <w:sz w:val="20"/>
              </w:rPr>
            </w:pPr>
            <w:r w:rsidRPr="00E80A19">
              <w:rPr>
                <w:rFonts w:ascii="Verdana" w:hAnsi="Verdana"/>
                <w:bCs/>
                <w:sz w:val="20"/>
              </w:rPr>
              <w:t>HCS</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E80A19" w:rsidRDefault="009C0B88" w:rsidP="009C0B88">
            <w:pPr>
              <w:spacing w:line="276" w:lineRule="auto"/>
              <w:jc w:val="center"/>
              <w:rPr>
                <w:rFonts w:ascii="Verdana" w:hAnsi="Verdana"/>
                <w:bCs/>
                <w:sz w:val="20"/>
              </w:rPr>
            </w:pPr>
            <w:r w:rsidRPr="00E80A19">
              <w:rPr>
                <w:rFonts w:ascii="Verdana" w:hAnsi="Verdana"/>
                <w:bCs/>
                <w:sz w:val="20"/>
              </w:rPr>
              <w:t>IFs</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E80A19" w:rsidRDefault="009C0B88" w:rsidP="009C0B88">
            <w:pPr>
              <w:spacing w:line="276" w:lineRule="auto"/>
              <w:jc w:val="center"/>
              <w:rPr>
                <w:rFonts w:ascii="Verdana" w:hAnsi="Verdana"/>
                <w:bCs/>
                <w:sz w:val="20"/>
              </w:rPr>
            </w:pPr>
            <w:r w:rsidRPr="00E80A19">
              <w:rPr>
                <w:rFonts w:ascii="Verdana" w:hAnsi="Verdana"/>
                <w:bCs/>
                <w:sz w:val="20"/>
              </w:rPr>
              <w:t>HCS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E80A19" w:rsidRDefault="009C0B88" w:rsidP="009C0B88">
            <w:pPr>
              <w:spacing w:line="276" w:lineRule="auto"/>
              <w:jc w:val="center"/>
              <w:rPr>
                <w:rFonts w:ascii="Verdana" w:hAnsi="Verdana"/>
                <w:bCs/>
                <w:sz w:val="20"/>
              </w:rPr>
            </w:pPr>
            <w:r w:rsidRPr="00E80A19">
              <w:rPr>
                <w:rFonts w:ascii="Verdana" w:hAnsi="Verdana"/>
                <w:bCs/>
                <w:sz w:val="20"/>
              </w:rPr>
              <w:t>IFs</w:t>
            </w:r>
          </w:p>
        </w:tc>
      </w:tr>
      <w:tr w:rsidR="009C0B88" w:rsidRPr="00814A49">
        <w:trPr>
          <w:trHeight w:val="260"/>
        </w:trPr>
        <w:tc>
          <w:tcPr>
            <w:tcW w:w="3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rPr>
                <w:rFonts w:ascii="Verdana" w:hAnsi="Verdana"/>
                <w:sz w:val="20"/>
              </w:rPr>
            </w:pPr>
            <w:r w:rsidRPr="00814A49">
              <w:rPr>
                <w:rFonts w:ascii="Verdana" w:hAnsi="Verdana"/>
                <w:sz w:val="20"/>
              </w:rPr>
              <w:t>Low-income countries</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8.31</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10.53</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9.57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4.82</w:t>
            </w:r>
          </w:p>
        </w:tc>
      </w:tr>
      <w:tr w:rsidR="009C0B88" w:rsidRPr="00814A49">
        <w:trPr>
          <w:trHeight w:val="260"/>
        </w:trPr>
        <w:tc>
          <w:tcPr>
            <w:tcW w:w="3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rPr>
                <w:rFonts w:ascii="Verdana" w:hAnsi="Verdana"/>
                <w:sz w:val="20"/>
              </w:rPr>
            </w:pPr>
            <w:r w:rsidRPr="00814A49">
              <w:rPr>
                <w:rFonts w:ascii="Verdana" w:hAnsi="Verdana"/>
                <w:sz w:val="20"/>
              </w:rPr>
              <w:t>Lower-middle-income countries</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5.05</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5.55</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7.59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3.63</w:t>
            </w:r>
          </w:p>
        </w:tc>
      </w:tr>
      <w:tr w:rsidR="009C0B88" w:rsidRPr="00814A49">
        <w:trPr>
          <w:trHeight w:val="260"/>
        </w:trPr>
        <w:tc>
          <w:tcPr>
            <w:tcW w:w="3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rPr>
                <w:rFonts w:ascii="Verdana" w:hAnsi="Verdana"/>
                <w:sz w:val="20"/>
              </w:rPr>
            </w:pPr>
            <w:r w:rsidRPr="00814A49">
              <w:rPr>
                <w:rFonts w:ascii="Verdana" w:hAnsi="Verdana"/>
                <w:sz w:val="20"/>
              </w:rPr>
              <w:t>Upper-middle-income countries</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2.62</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1.73</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2.93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1.69</w:t>
            </w:r>
          </w:p>
        </w:tc>
      </w:tr>
      <w:tr w:rsidR="009C0B88" w:rsidRPr="00814A49">
        <w:trPr>
          <w:trHeight w:val="260"/>
        </w:trPr>
        <w:tc>
          <w:tcPr>
            <w:tcW w:w="3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rPr>
                <w:rFonts w:ascii="Verdana" w:hAnsi="Verdana"/>
                <w:sz w:val="20"/>
              </w:rPr>
            </w:pPr>
            <w:r w:rsidRPr="00814A49">
              <w:rPr>
                <w:rFonts w:ascii="Verdana" w:hAnsi="Verdana"/>
                <w:sz w:val="20"/>
              </w:rPr>
              <w:t>High-income countries</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1.45</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1.17</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1.12</w:t>
            </w:r>
          </w:p>
        </w:tc>
      </w:tr>
      <w:tr w:rsidR="009C0B88" w:rsidRPr="00814A49">
        <w:trPr>
          <w:trHeight w:val="260"/>
        </w:trPr>
        <w:tc>
          <w:tcPr>
            <w:tcW w:w="3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C0B88" w:rsidRPr="00814A49" w:rsidRDefault="009C0B88" w:rsidP="009C0B88">
            <w:pPr>
              <w:spacing w:line="276" w:lineRule="auto"/>
              <w:rPr>
                <w:rFonts w:ascii="Verdana" w:hAnsi="Verdana"/>
                <w:sz w:val="20"/>
              </w:rPr>
            </w:pPr>
            <w:r w:rsidRPr="00814A49">
              <w:rPr>
                <w:rFonts w:ascii="Verdana" w:hAnsi="Verdana"/>
                <w:sz w:val="20"/>
              </w:rPr>
              <w:t> </w:t>
            </w:r>
          </w:p>
        </w:tc>
        <w:tc>
          <w:tcPr>
            <w:tcW w:w="1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 </w:t>
            </w:r>
          </w:p>
        </w:tc>
        <w:tc>
          <w:tcPr>
            <w:tcW w:w="1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 </w:t>
            </w:r>
          </w:p>
        </w:tc>
        <w:tc>
          <w:tcPr>
            <w:tcW w:w="1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 </w:t>
            </w:r>
          </w:p>
        </w:tc>
      </w:tr>
      <w:tr w:rsidR="009C0B88" w:rsidRPr="00814A49">
        <w:trPr>
          <w:trHeight w:val="260"/>
        </w:trPr>
        <w:tc>
          <w:tcPr>
            <w:tcW w:w="3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rPr>
                <w:rFonts w:ascii="Verdana" w:hAnsi="Verdana"/>
                <w:sz w:val="20"/>
              </w:rPr>
            </w:pPr>
            <w:r w:rsidRPr="00814A49">
              <w:rPr>
                <w:rFonts w:ascii="Verdana" w:hAnsi="Verdana"/>
                <w:sz w:val="20"/>
              </w:rPr>
              <w:t>East Asia and the Pacific</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3.87</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2.19</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4.38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1.88</w:t>
            </w:r>
          </w:p>
        </w:tc>
      </w:tr>
      <w:tr w:rsidR="009C0B88" w:rsidRPr="00814A49">
        <w:trPr>
          <w:trHeight w:val="260"/>
        </w:trPr>
        <w:tc>
          <w:tcPr>
            <w:tcW w:w="3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rPr>
                <w:rFonts w:ascii="Verdana" w:hAnsi="Verdana"/>
                <w:sz w:val="20"/>
              </w:rPr>
            </w:pPr>
            <w:r w:rsidRPr="00814A49">
              <w:rPr>
                <w:rFonts w:ascii="Verdana" w:hAnsi="Verdana"/>
                <w:sz w:val="20"/>
              </w:rPr>
              <w:t>Europe and Central Asia</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1.53</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1.37</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1.76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1.25</w:t>
            </w:r>
          </w:p>
        </w:tc>
      </w:tr>
      <w:tr w:rsidR="009C0B88" w:rsidRPr="00814A49">
        <w:trPr>
          <w:trHeight w:val="260"/>
        </w:trPr>
        <w:tc>
          <w:tcPr>
            <w:tcW w:w="3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rPr>
                <w:rFonts w:ascii="Verdana" w:hAnsi="Verdana"/>
                <w:sz w:val="20"/>
              </w:rPr>
            </w:pPr>
            <w:r w:rsidRPr="00814A49">
              <w:rPr>
                <w:rFonts w:ascii="Verdana" w:hAnsi="Verdana"/>
                <w:sz w:val="20"/>
              </w:rPr>
              <w:t>Latin America and the Caribbean</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2.11</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1.88</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2.33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1.96</w:t>
            </w:r>
          </w:p>
        </w:tc>
      </w:tr>
      <w:tr w:rsidR="009C0B88" w:rsidRPr="00814A49">
        <w:trPr>
          <w:trHeight w:val="260"/>
        </w:trPr>
        <w:tc>
          <w:tcPr>
            <w:tcW w:w="3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rPr>
                <w:rFonts w:ascii="Verdana" w:hAnsi="Verdana"/>
                <w:sz w:val="20"/>
              </w:rPr>
            </w:pPr>
            <w:r w:rsidRPr="00814A49">
              <w:rPr>
                <w:rFonts w:ascii="Verdana" w:hAnsi="Verdana"/>
                <w:sz w:val="20"/>
              </w:rPr>
              <w:t>Middle East and North Africa</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2.62</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2.33</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3.16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2.31</w:t>
            </w:r>
          </w:p>
        </w:tc>
      </w:tr>
      <w:tr w:rsidR="009C0B88" w:rsidRPr="00814A49">
        <w:trPr>
          <w:trHeight w:val="260"/>
        </w:trPr>
        <w:tc>
          <w:tcPr>
            <w:tcW w:w="3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rPr>
                <w:rFonts w:ascii="Verdana" w:hAnsi="Verdana"/>
                <w:sz w:val="20"/>
              </w:rPr>
            </w:pPr>
            <w:r w:rsidRPr="00814A49">
              <w:rPr>
                <w:rFonts w:ascii="Verdana" w:hAnsi="Verdana"/>
                <w:sz w:val="20"/>
              </w:rPr>
              <w:t>South Asia</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7.58</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7.17</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19.20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4.11</w:t>
            </w:r>
          </w:p>
        </w:tc>
      </w:tr>
      <w:tr w:rsidR="009C0B88" w:rsidRPr="00814A49">
        <w:trPr>
          <w:trHeight w:val="260"/>
        </w:trPr>
        <w:tc>
          <w:tcPr>
            <w:tcW w:w="3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rPr>
                <w:rFonts w:ascii="Verdana" w:hAnsi="Verdana"/>
                <w:sz w:val="20"/>
              </w:rPr>
            </w:pPr>
            <w:r w:rsidRPr="00814A49">
              <w:rPr>
                <w:rFonts w:ascii="Verdana" w:hAnsi="Verdana"/>
                <w:sz w:val="20"/>
              </w:rPr>
              <w:t>Sub-Saharan Africa</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6.46</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10.48</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6.58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6.72</w:t>
            </w:r>
          </w:p>
        </w:tc>
      </w:tr>
      <w:tr w:rsidR="009C0B88" w:rsidRPr="00814A49">
        <w:trPr>
          <w:trHeight w:val="260"/>
        </w:trPr>
        <w:tc>
          <w:tcPr>
            <w:tcW w:w="370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C0B88" w:rsidRPr="00814A49" w:rsidRDefault="009C0B88" w:rsidP="009C0B88">
            <w:pPr>
              <w:spacing w:line="276" w:lineRule="auto"/>
              <w:rPr>
                <w:rFonts w:ascii="Verdana" w:hAnsi="Verdana"/>
                <w:sz w:val="20"/>
              </w:rPr>
            </w:pPr>
            <w:r w:rsidRPr="00814A49">
              <w:rPr>
                <w:rFonts w:ascii="Verdana" w:hAnsi="Verdana"/>
                <w:sz w:val="20"/>
              </w:rPr>
              <w:t> </w:t>
            </w:r>
          </w:p>
        </w:tc>
        <w:tc>
          <w:tcPr>
            <w:tcW w:w="1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 </w:t>
            </w:r>
          </w:p>
        </w:tc>
        <w:tc>
          <w:tcPr>
            <w:tcW w:w="13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 </w:t>
            </w:r>
          </w:p>
        </w:tc>
        <w:tc>
          <w:tcPr>
            <w:tcW w:w="1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 </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 </w:t>
            </w:r>
          </w:p>
        </w:tc>
      </w:tr>
      <w:tr w:rsidR="009C0B88" w:rsidRPr="00814A49">
        <w:trPr>
          <w:trHeight w:val="260"/>
        </w:trPr>
        <w:tc>
          <w:tcPr>
            <w:tcW w:w="37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rPr>
                <w:rFonts w:ascii="Verdana" w:hAnsi="Verdana"/>
                <w:sz w:val="20"/>
              </w:rPr>
            </w:pPr>
            <w:r w:rsidRPr="00814A49">
              <w:rPr>
                <w:rFonts w:ascii="Verdana" w:hAnsi="Verdana"/>
                <w:sz w:val="20"/>
              </w:rPr>
              <w:t>World</w:t>
            </w:r>
          </w:p>
        </w:tc>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2.62</w:t>
            </w:r>
          </w:p>
        </w:tc>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2.49</w:t>
            </w:r>
          </w:p>
        </w:tc>
        <w:tc>
          <w:tcPr>
            <w:tcW w:w="16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2.60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9C0B88" w:rsidRPr="00814A49" w:rsidRDefault="009C0B88" w:rsidP="009C0B88">
            <w:pPr>
              <w:spacing w:line="276" w:lineRule="auto"/>
              <w:jc w:val="center"/>
              <w:rPr>
                <w:rFonts w:ascii="Verdana" w:hAnsi="Verdana"/>
                <w:sz w:val="20"/>
              </w:rPr>
            </w:pPr>
            <w:r w:rsidRPr="00814A49">
              <w:rPr>
                <w:rFonts w:ascii="Verdana" w:hAnsi="Verdana"/>
                <w:sz w:val="20"/>
              </w:rPr>
              <w:t>2.21</w:t>
            </w:r>
          </w:p>
        </w:tc>
      </w:tr>
      <w:tr w:rsidR="009C0B88" w:rsidRPr="00814A49">
        <w:trPr>
          <w:trHeight w:val="26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bottom"/>
          </w:tcPr>
          <w:p w:rsidR="009C0B88" w:rsidRPr="00814A49" w:rsidRDefault="009C0B88" w:rsidP="009C0B88">
            <w:pPr>
              <w:spacing w:line="276" w:lineRule="auto"/>
              <w:rPr>
                <w:i/>
                <w:color w:val="000000"/>
              </w:rPr>
            </w:pPr>
            <w:r w:rsidRPr="00814A49">
              <w:rPr>
                <w:i/>
                <w:iCs/>
              </w:rPr>
              <w:t xml:space="preserve">Sources: </w:t>
            </w:r>
            <w:r w:rsidRPr="00814A49">
              <w:rPr>
                <w:i/>
                <w:color w:val="000000"/>
              </w:rPr>
              <w:t xml:space="preserve">Hughes, Chinowsky, and Strzepek (2009); IFs version.6.57 </w:t>
            </w:r>
          </w:p>
          <w:p w:rsidR="009C0B88" w:rsidRPr="00814A49" w:rsidRDefault="009C0B88" w:rsidP="009C0B88">
            <w:pPr>
              <w:spacing w:line="276" w:lineRule="auto"/>
              <w:rPr>
                <w:i/>
                <w:iCs/>
              </w:rPr>
            </w:pPr>
            <w:r w:rsidRPr="00814A49">
              <w:rPr>
                <w:i/>
                <w:color w:val="000000"/>
              </w:rPr>
              <w:t>Note: Comparisons are of household connections to safe water and improved sanitation.</w:t>
            </w:r>
          </w:p>
        </w:tc>
      </w:tr>
    </w:tbl>
    <w:p w:rsidR="009C0B88" w:rsidRDefault="009C0B88" w:rsidP="009C0B88"/>
    <w:p w:rsidR="009C0B88" w:rsidRDefault="009C0B88" w:rsidP="009C0B88">
      <w:r>
        <w:t xml:space="preserve">HCS did not provide forecasts for mobile phones or mobile broadband but did for fixed telephone lines. Our forecasts are quite strikingly different in this area because the two projects make different assumptions about technological transitions. As we indicated earlier, we anticipate that most regions are near or beyond their peak penetration rates for fixed telephone lines as mobile penetration rates rise sharply. As Figure 5.15 shows, we anticipate growth of fixed lines only in low-income countries (mostly, in fact, in sub-Saharan Africa and in South Asia), with declines in other income categories. </w:t>
      </w:r>
    </w:p>
    <w:p w:rsidR="009C0B88" w:rsidRDefault="009C0B88" w:rsidP="009C0B88"/>
    <w:p w:rsidR="009C0B88" w:rsidRDefault="009C0B88" w:rsidP="009C0B88"/>
    <w:p w:rsidR="009C0B88" w:rsidRDefault="009C0B88" w:rsidP="009C0B88">
      <w:r w:rsidRPr="0038551D">
        <w:rPr>
          <w:noProof/>
        </w:rPr>
        <w:drawing>
          <wp:inline distT="0" distB="0" distL="0" distR="0">
            <wp:extent cx="5486400" cy="3726815"/>
            <wp:effectExtent l="25400" t="25400" r="0" b="6985"/>
            <wp:docPr id="360" name="C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9C0B88" w:rsidRPr="002F3E90" w:rsidRDefault="009C0B88" w:rsidP="009C0B88">
      <w:pPr>
        <w:rPr>
          <w:b/>
        </w:rPr>
      </w:pPr>
      <w:r w:rsidRPr="002F3E90">
        <w:rPr>
          <w:b/>
        </w:rPr>
        <w:t>Figure 5.1</w:t>
      </w:r>
      <w:r>
        <w:rPr>
          <w:b/>
        </w:rPr>
        <w:t>6</w:t>
      </w:r>
      <w:r w:rsidRPr="002F3E90">
        <w:rPr>
          <w:b/>
        </w:rPr>
        <w:t xml:space="preserve"> Comparing fixed phone line forecasts of HCS</w:t>
      </w:r>
      <w:r w:rsidRPr="002F3E90">
        <w:rPr>
          <w:b/>
          <w:color w:val="000000"/>
        </w:rPr>
        <w:t xml:space="preserve"> with IFs</w:t>
      </w:r>
      <w:r>
        <w:rPr>
          <w:b/>
          <w:color w:val="000000"/>
        </w:rPr>
        <w:t xml:space="preserve"> by Income Group</w:t>
      </w:r>
    </w:p>
    <w:p w:rsidR="009C0B88" w:rsidRPr="0038551D" w:rsidRDefault="009C0B88" w:rsidP="009C0B88">
      <w:pPr>
        <w:rPr>
          <w:i/>
        </w:rPr>
      </w:pPr>
      <w:r w:rsidRPr="0038551D">
        <w:rPr>
          <w:i/>
        </w:rPr>
        <w:t xml:space="preserve">Sources: </w:t>
      </w:r>
      <w:r w:rsidRPr="0038551D">
        <w:rPr>
          <w:i/>
          <w:color w:val="000000"/>
        </w:rPr>
        <w:t>Hughes, Chinowsky, and Strzepek (2009); IFs version.6.57</w:t>
      </w:r>
    </w:p>
    <w:p w:rsidR="009C0B88" w:rsidRPr="0038551D" w:rsidRDefault="009C0B88" w:rsidP="009C0B88">
      <w:pPr>
        <w:rPr>
          <w:i/>
        </w:rPr>
      </w:pPr>
      <w:r w:rsidRPr="0038551D">
        <w:rPr>
          <w:i/>
        </w:rPr>
        <w:t>Note: Comparisons are Base 1 in 2010; that is, both sets of forecasts are compared with their own values in 2010.</w:t>
      </w:r>
    </w:p>
    <w:p w:rsidR="009C0B88" w:rsidRDefault="009C0B88" w:rsidP="009C0B88"/>
    <w:p w:rsidR="009C0B88" w:rsidRDefault="009C0B88" w:rsidP="009C0B88">
      <w:r>
        <w:t xml:space="preserve">Moving to spending on infrastructure, both the HCS and IFs projects anticipate a decline in global infrastructure spending as a portion of GDP by 2050 (see Figure 5.16). The IFs value of global spending (public and private) in 2010 for the specified categories is 2.4 percent of GDP, compared with 1.5 percent in the HCS analysis; for comparisons here, however, we again look at changes over time relative to the values in 2010. </w:t>
      </w:r>
    </w:p>
    <w:p w:rsidR="009C0B88" w:rsidRDefault="009C0B88" w:rsidP="009C0B88"/>
    <w:p w:rsidR="009C0B88" w:rsidRDefault="009C0B88" w:rsidP="009C0B88">
      <w:r>
        <w:t xml:space="preserve">In contrast to the rather smoothly downward sloping trends of spending in the HCS forecasts, those of IFs show a near-term "bubble" of expenditures as a portion of GDP for sub-Saharan Africa and, to a considerably lesser degree for Latin American and the Caribbean. IFs also suggests small near-term rises relative to the downward trends for other developing regions. What accounts for such bubbles? The explanations vary by region. In the case of Latin America, spending on paved roads as a portion of GDP more than doubles by 2020-2025 (that for the Middle East and North Africa goes up by more than 50 percent); the paved road percentage in Latin America now is not much higher than in the much lower-income sub-Saharan Africa. Although the spending rate on road paving also increases in sub-Saharan Africa, for that region it is the portion of GDP directed to electricity that doubles over roughly the same period. And, as discussed earlier in this chapter, we also expect a bubble of spending on mobile telephony in that region as the rapid build-out continues. Finally, for household water connections, it is in South Asia that we expect a bubble of spending. </w:t>
      </w:r>
    </w:p>
    <w:p w:rsidR="009C0B88" w:rsidRDefault="009C0B88" w:rsidP="009C0B88"/>
    <w:p w:rsidR="009C0B88" w:rsidRDefault="009C0B88" w:rsidP="009C0B88">
      <w:pPr>
        <w:ind w:firstLine="720"/>
      </w:pPr>
      <w:r w:rsidRPr="00FC11F5">
        <w:rPr>
          <w:noProof/>
        </w:rPr>
        <w:drawing>
          <wp:inline distT="0" distB="0" distL="0" distR="0">
            <wp:extent cx="5486400" cy="3726815"/>
            <wp:effectExtent l="25400" t="25400" r="0" b="6985"/>
            <wp:docPr id="365" name="C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9C0B88" w:rsidRPr="002F3E90" w:rsidRDefault="009C0B88" w:rsidP="009C0B88">
      <w:pPr>
        <w:rPr>
          <w:b/>
        </w:rPr>
      </w:pPr>
      <w:r w:rsidRPr="002F3E90">
        <w:rPr>
          <w:b/>
        </w:rPr>
        <w:t>Figure 5.1</w:t>
      </w:r>
      <w:r>
        <w:rPr>
          <w:b/>
        </w:rPr>
        <w:t>7</w:t>
      </w:r>
      <w:r w:rsidRPr="002F3E90">
        <w:rPr>
          <w:b/>
        </w:rPr>
        <w:t xml:space="preserve"> Comparing total infrastructure spending forecasts of HCS</w:t>
      </w:r>
      <w:r w:rsidRPr="002F3E90">
        <w:rPr>
          <w:b/>
          <w:color w:val="000000"/>
        </w:rPr>
        <w:t xml:space="preserve"> with IFs</w:t>
      </w:r>
      <w:r>
        <w:rPr>
          <w:b/>
          <w:color w:val="000000"/>
        </w:rPr>
        <w:t xml:space="preserve"> by region</w:t>
      </w:r>
    </w:p>
    <w:p w:rsidR="009C0B88" w:rsidRPr="00BA6435" w:rsidRDefault="009C0B88" w:rsidP="009C0B88">
      <w:pPr>
        <w:rPr>
          <w:i/>
        </w:rPr>
      </w:pPr>
      <w:r w:rsidRPr="00BA6435">
        <w:rPr>
          <w:i/>
        </w:rPr>
        <w:t>Sources</w:t>
      </w:r>
      <w:r w:rsidRPr="00977AA8">
        <w:rPr>
          <w:i/>
        </w:rPr>
        <w:t xml:space="preserve">: </w:t>
      </w:r>
      <w:r w:rsidRPr="00FC11F5">
        <w:rPr>
          <w:i/>
          <w:color w:val="000000"/>
        </w:rPr>
        <w:t>Hughes, Chinowsky, and Strzepek (2009); IFs version.6.57</w:t>
      </w:r>
    </w:p>
    <w:p w:rsidR="009C0B88" w:rsidRPr="00977AA8" w:rsidRDefault="009C0B88" w:rsidP="009C0B88">
      <w:pPr>
        <w:rPr>
          <w:i/>
        </w:rPr>
      </w:pPr>
      <w:r w:rsidRPr="00977AA8">
        <w:rPr>
          <w:i/>
        </w:rPr>
        <w:t xml:space="preserve">Note: </w:t>
      </w:r>
      <w:r>
        <w:rPr>
          <w:i/>
        </w:rPr>
        <w:t>Comparisons are Base 1 in 2010; that is, both sets of forecasts are compared with their own values in 2010. Spending is compared in terms of percentage of GDP.</w:t>
      </w:r>
    </w:p>
    <w:p w:rsidR="009C0B88" w:rsidRDefault="009C0B88" w:rsidP="009C0B88"/>
    <w:p w:rsidR="009C0B88" w:rsidRDefault="009C0B88" w:rsidP="00EC2D95">
      <w:pPr>
        <w:pStyle w:val="Heading3"/>
        <w:numPr>
          <w:ilvl w:val="0"/>
          <w:numId w:val="0"/>
        </w:numPr>
        <w:ind w:left="720" w:hanging="720"/>
      </w:pPr>
      <w:bookmarkStart w:id="162" w:name="_Toc199491245"/>
      <w:bookmarkStart w:id="163" w:name="_Toc200095322"/>
      <w:r>
        <w:t>5.2.4</w:t>
      </w:r>
      <w:r>
        <w:tab/>
        <w:t>Summary of forecast comparisons</w:t>
      </w:r>
      <w:bookmarkEnd w:id="162"/>
      <w:bookmarkEnd w:id="163"/>
      <w:r w:rsidRPr="00BB26A3">
        <w:t xml:space="preserve"> </w:t>
      </w:r>
    </w:p>
    <w:p w:rsidR="009C0B88" w:rsidRDefault="009C0B88" w:rsidP="009C0B88">
      <w:r>
        <w:t xml:space="preserve">The comparisons of IFs forecasts with those of several relatively short-horizon projects for electric generating capacity and electricity access showed very similar patterns of expected growth. Not surprisingly, differences are greater for developing countries than for high-income ones. Such differences have many roots, including our greater uncertainties about economic growth of developing countries and the complications around forecasting attention of them to infrastructure. With respect to spending on infrastructure, the forecasts made by IFs and other studies differ more significantly. Yet, especially when considering sometimes very different specifications of the infrastructure analyzed, of the unit costs, and presumably but not always explicitly of underlying physical system growth, the differences are generally reasonable. </w:t>
      </w:r>
    </w:p>
    <w:p w:rsidR="009C0B88" w:rsidRDefault="009C0B88" w:rsidP="009C0B88">
      <w:r>
        <w:t xml:space="preserve">Given our long time horizon, it was especially useful that we were able to compare in some depth the temporal dynamics of our forecasts with those of </w:t>
      </w:r>
      <w:r w:rsidRPr="00BA6435">
        <w:rPr>
          <w:color w:val="000000"/>
        </w:rPr>
        <w:t>Hughes, Chinowsky, and Strzepek (2009)</w:t>
      </w:r>
      <w:r>
        <w:t xml:space="preserve">. One reason this is important is that our forecasts of infrastructure development anticipate progressive saturation of that development as countries become richer and complete build-out of systems. That also leads us generally to anticipate both lower shares of GDP directed to infrastructure in higher-income countries at any given point in time than in lower-income ones and decreasing shares of GDP spent within most countries over time (there can be bubbles of spending as a share of GDP for low-income countries as they accelerate the build-out process. The comparison with the HCS project forecasts confirmed some of these same patterns, both at the physical and financial levels. </w:t>
      </w:r>
    </w:p>
    <w:p w:rsidR="009C0B88" w:rsidRPr="00E57E0D" w:rsidRDefault="009C0B88" w:rsidP="009C0B88"/>
    <w:p w:rsidR="009C0B88" w:rsidRDefault="009C0B88" w:rsidP="00EC2D95">
      <w:pPr>
        <w:pStyle w:val="Heading2"/>
        <w:numPr>
          <w:ilvl w:val="0"/>
          <w:numId w:val="0"/>
        </w:numPr>
        <w:ind w:left="360" w:hanging="360"/>
      </w:pPr>
      <w:bookmarkStart w:id="164" w:name="_Toc199491246"/>
      <w:bookmarkStart w:id="165" w:name="_Toc200095323"/>
      <w:r>
        <w:t>5.3</w:t>
      </w:r>
      <w:r w:rsidR="00EC2D95">
        <w:t xml:space="preserve"> </w:t>
      </w:r>
      <w:r>
        <w:t>Exploring Key Uncertainties</w:t>
      </w:r>
      <w:bookmarkEnd w:id="164"/>
      <w:bookmarkEnd w:id="165"/>
    </w:p>
    <w:p w:rsidR="009C0B88" w:rsidRPr="00E57E0D" w:rsidRDefault="009C0B88" w:rsidP="009C0B88"/>
    <w:p w:rsidR="009C0B88" w:rsidRDefault="009C0B88" w:rsidP="00EC2D95">
      <w:pPr>
        <w:pStyle w:val="Heading3"/>
        <w:numPr>
          <w:ilvl w:val="0"/>
          <w:numId w:val="0"/>
        </w:numPr>
        <w:ind w:left="720" w:hanging="720"/>
      </w:pPr>
      <w:bookmarkStart w:id="166" w:name="_Toc199491247"/>
      <w:bookmarkStart w:id="167" w:name="_Toc200095324"/>
      <w:r>
        <w:t>5.3.1</w:t>
      </w:r>
      <w:r>
        <w:tab/>
      </w:r>
      <w:r w:rsidRPr="00E57E0D">
        <w:t>Cost assumptions</w:t>
      </w:r>
      <w:bookmarkEnd w:id="166"/>
      <w:bookmarkEnd w:id="167"/>
    </w:p>
    <w:p w:rsidR="009C0B88" w:rsidRPr="00E57E0D" w:rsidRDefault="009C0B88" w:rsidP="009C0B88"/>
    <w:p w:rsidR="009C0B88" w:rsidRPr="00E57E0D" w:rsidRDefault="009C0B88" w:rsidP="00EC2D95">
      <w:pPr>
        <w:pStyle w:val="Heading3"/>
        <w:numPr>
          <w:ilvl w:val="0"/>
          <w:numId w:val="0"/>
        </w:numPr>
        <w:ind w:left="720" w:hanging="720"/>
      </w:pPr>
      <w:bookmarkStart w:id="168" w:name="_Toc199491248"/>
      <w:bookmarkStart w:id="169" w:name="_Toc200095325"/>
      <w:r>
        <w:t>5.3.2</w:t>
      </w:r>
      <w:r>
        <w:tab/>
      </w:r>
      <w:r w:rsidRPr="00E57E0D">
        <w:t>MFP assumptions</w:t>
      </w:r>
      <w:bookmarkEnd w:id="168"/>
      <w:bookmarkEnd w:id="169"/>
    </w:p>
    <w:p w:rsidR="009C0B88" w:rsidRDefault="009C0B88" w:rsidP="009C0B88"/>
    <w:p w:rsidR="009C0B88" w:rsidRPr="005D2880" w:rsidRDefault="00EC2D95" w:rsidP="00EC2D95">
      <w:pPr>
        <w:pStyle w:val="Heading2"/>
        <w:numPr>
          <w:ilvl w:val="0"/>
          <w:numId w:val="0"/>
        </w:numPr>
        <w:ind w:left="360" w:hanging="360"/>
      </w:pPr>
      <w:bookmarkStart w:id="170" w:name="_Toc199491249"/>
      <w:bookmarkStart w:id="171" w:name="_Toc200095326"/>
      <w:bookmarkEnd w:id="145"/>
      <w:r>
        <w:t xml:space="preserve">5.4 </w:t>
      </w:r>
      <w:r w:rsidR="009C0B88" w:rsidRPr="005D2880">
        <w:t>Conclusions</w:t>
      </w:r>
      <w:bookmarkEnd w:id="170"/>
      <w:bookmarkEnd w:id="171"/>
    </w:p>
    <w:p w:rsidR="009C0B88" w:rsidRDefault="009C0B88" w:rsidP="009C0B88">
      <w:r>
        <w:t>Our base case forecast indicates that, over the next half century, we can expect countries to increase their stocks of infrastructure as well as rates of access to infrastructure services, even as populations grow. Still, significant numbers of people will continue to lack access to basic infrastructure services. In 2060, around a half billion will not have access to electricity or an improved source of drinking water; 1.5 billion will not have access to improved sanitation; and 2 billion rural residents will not live within two kilometers of an all-weather road. The vast majority of these people will be in low-income and lower-middle-income countries in sub-Saharan Africa and elsewhere. Needless to say, most countries will not achieve the targets of universal, or near-universal, access to these services by 2030, and many will not achieve that even by 2060.</w:t>
      </w:r>
    </w:p>
    <w:p w:rsidR="009C0B88" w:rsidRDefault="009C0B88" w:rsidP="009C0B88"/>
    <w:p w:rsidR="009C0B88" w:rsidRDefault="009C0B88" w:rsidP="009C0B88">
      <w:r>
        <w:t>One reason for the lack of greater infrastructure growth in our base case scenario is that for many countries the model does not generate the demand for it. That is, of course, partly a reflection of demand equations that reflect historical patterns of relationship between actual infrastructure development and the underlying drivers of it such as population and income size. There may be, at some deeper level, a fundamental demand that the equations do not capture. What individuals, after all, would not want all-weather roads, electricity, household connections to water and sanitation, and high-quality information and communications technology?</w:t>
      </w:r>
    </w:p>
    <w:p w:rsidR="009C0B88" w:rsidRDefault="009C0B88" w:rsidP="009C0B88"/>
    <w:p w:rsidR="009C0B88" w:rsidRDefault="009C0B88" w:rsidP="009C0B88">
      <w:r>
        <w:t>The reality is, of course, that both private and public spending on infrastructure are also constrained by alternative demands on limited budgets. Private purses are devoted also to food, shelter, and other needs and wants. Public purses must also support other public services such as health, education, and defense. Many governments find it impossible to meet even the constrained infrastructure demand of our forecasting functions.</w:t>
      </w:r>
    </w:p>
    <w:p w:rsidR="009C0B88" w:rsidRDefault="009C0B88" w:rsidP="009C0B88">
      <w:r>
        <w:t xml:space="preserve"> </w:t>
      </w:r>
    </w:p>
    <w:p w:rsidR="009C0B88" w:rsidRPr="000C477D" w:rsidRDefault="009C0B88" w:rsidP="009C0B88">
      <w:r>
        <w:t>These realities and base case forecasting results raise obvious questions about the infrastructure targets discussed in the literature and summarized in Box 5.1. Are they achievable? What are the benefits and costs of achieving them? If greater spending would provide benefits (ideally larger than the costs), what assistance would governments need from other investors—public and private, domestic and international—in order to realize these benefits, and is this likely to be forthcoming? We explore these questions in our next chapter.</w:t>
      </w:r>
    </w:p>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Pr="007B268A" w:rsidRDefault="00972987" w:rsidP="00972987">
      <w:pPr>
        <w:pStyle w:val="Heading1"/>
        <w:numPr>
          <w:ilvl w:val="0"/>
          <w:numId w:val="29"/>
        </w:numPr>
      </w:pPr>
      <w:bookmarkStart w:id="172" w:name="_Toc199925071"/>
      <w:bookmarkStart w:id="173" w:name="_Toc200095327"/>
      <w:r w:rsidRPr="007B268A">
        <w:t>Achieving Infrastructure Goals and Targets</w:t>
      </w:r>
      <w:bookmarkEnd w:id="172"/>
      <w:bookmarkEnd w:id="173"/>
    </w:p>
    <w:p w:rsidR="00972987" w:rsidRPr="007B268A" w:rsidRDefault="00972987" w:rsidP="00972987">
      <w:r w:rsidRPr="007B268A">
        <w:t>Brazil and Chad are both developing countries—the World Bank classifies Brazil as upper-middle income and Chad as low-income. In addition to their officially shared membership in the developing world, there are certainly many other similarities, including the facts that they both rank among the least densely populated countries of the globe and both produce important quantities of oil.</w:t>
      </w:r>
    </w:p>
    <w:p w:rsidR="00972987" w:rsidRPr="007B268A" w:rsidRDefault="00972987" w:rsidP="00972987"/>
    <w:p w:rsidR="00972987" w:rsidRPr="007B268A" w:rsidRDefault="00972987" w:rsidP="00972987">
      <w:r w:rsidRPr="007B268A">
        <w:t>It is, however, the differences between the countries that clearly strike most observers. The two countries sit on different continents and have extremely different topography and climate. Brazil has the ninth longest coastline of all countries, while Chad is land-locked. The population of Brazil is nearly 20 times that of Chad. And the GDP per capita (at PPP) of Brazil in 2010 was nearly 10 times that of Chad ($8,900 versus just under $1,000).</w:t>
      </w:r>
    </w:p>
    <w:p w:rsidR="00972987" w:rsidRPr="007B268A" w:rsidRDefault="00972987" w:rsidP="00972987"/>
    <w:p w:rsidR="00972987" w:rsidRPr="007B268A" w:rsidRDefault="00972987" w:rsidP="00972987">
      <w:r w:rsidRPr="007B268A">
        <w:t>Less well known perhaps are the differences in infrastructure of the two countries.</w:t>
      </w:r>
      <w:r>
        <w:t xml:space="preserve"> </w:t>
      </w:r>
      <w:r w:rsidRPr="007B268A">
        <w:t>In 2010, fifty-seven percent of rural Brazilians lived within 2 kilometers of an all-season road and only 10 percent of those in Chad did.</w:t>
      </w:r>
      <w:r>
        <w:t xml:space="preserve"> </w:t>
      </w:r>
      <w:r w:rsidRPr="007B268A">
        <w:t>Ninety-eight percent of the population of Brazil had access to electricity and we estimate the number in Chad to have been 5 percent.</w:t>
      </w:r>
      <w:r w:rsidRPr="007B268A">
        <w:rPr>
          <w:rStyle w:val="FootnoteReference"/>
        </w:rPr>
        <w:footnoteReference w:id="95"/>
      </w:r>
      <w:r w:rsidRPr="007B268A">
        <w:t xml:space="preserve"> With respect to safe water, 98 percent in Brazil had access to an improved source but only in 51 percent did in Chad; for sanitation the numbers were 80 percent and 19 percent, respectively. Even with respect to mobile phones the differences were striking—104 subscribers per 100 people versus 23 per hundred.</w:t>
      </w:r>
    </w:p>
    <w:p w:rsidR="00972987" w:rsidRPr="007B268A" w:rsidRDefault="00972987" w:rsidP="00972987"/>
    <w:p w:rsidR="00972987" w:rsidRPr="007B268A" w:rsidRDefault="00972987" w:rsidP="00972987">
      <w:r w:rsidRPr="007B268A">
        <w:t>Given such differences, it may be somewhat surprising that only one of the goals for infrastructure that Chapter 1discussed and that Chapter 5 collected into a set for our analysis (see again Box 5.1) distinguishes in any way between the two countries in terms of statements concerning targets for infrastructure in 2030. All of the goals stated in terms of universal access distinguish in no way.</w:t>
      </w:r>
      <w:r>
        <w:t xml:space="preserve"> </w:t>
      </w:r>
      <w:r w:rsidRPr="007B268A">
        <w:t>The goal for rural access to all-season roads, closing half of the gap up to 90 percent makes a distinction. Yet achieving it by 2030 would require Brazil to move from 57 percent to 73 percent (an increment of 16 percent or somewhat less than one fourth), while it would require Chad to move from 10 percent to 50 percent, a quintupling of its current level.</w:t>
      </w:r>
    </w:p>
    <w:p w:rsidR="00972987" w:rsidRPr="007B268A" w:rsidRDefault="00972987" w:rsidP="00972987"/>
    <w:p w:rsidR="00972987" w:rsidRPr="007B268A" w:rsidRDefault="00972987" w:rsidP="00972987">
      <w:r w:rsidRPr="007B268A">
        <w:t xml:space="preserve">In this chapter we consider the ability of such incredibly disparate countries to meet the infrastructure targets that we have collected and adapted into a common set from multiple sources. We saw already in Chapter 5 that many countries will almost certainly not meet them in a scenario representing the path we seem to be on, namely our </w:t>
      </w:r>
      <w:r>
        <w:t>Base case</w:t>
      </w:r>
      <w:r w:rsidRPr="007B268A">
        <w:t xml:space="preserve"> scenario. In this chapter we will begin with a brief recap of those likely failures and the reasons for them. Then we will turn to a Universal Target scenario in order to consider whether a big developmental push would potentially lead most or even all countries to achieve the targets, and what the costs and benefits of such efforts would be. Given the distance that Chad and a significant number of other countries are from the targets, however, it is quite obvious that many are unlikely to succeed at an acceptable cost (at least without significant external assistance, and we will consider that also). We therefore will then turn to exploration of alternative targeting approaches that might, for at least some of the less developed countries of the world, point to aggressive but reasonable paths for infrastructure development</w:t>
      </w:r>
      <w:r>
        <w:t xml:space="preserve"> </w:t>
      </w:r>
      <w:fldSimple w:instr=" ADDIN ZOTERO_ITEM {&quot;citationID&quot;:&quot;OntTOl24&quot;,&quot;properties&quot;:{&quot;formattedCitation&quot;:&quot;(Hughes 2012)&quot;,&quot;plainCitation&quot;:&quot;(Hughes 2012)&quot;},&quot;citationItems&quot;:[{&quot;id&quot;:1684,&quot;uris&quot;:[&quot;http://zotero.org/groups/4482/items/QKG2HADT&quot;],&quot;uri&quot;:[&quot;http://zotero.org/groups/4482/items/QKG2HADT&quot;]}]} ">
        <w:r>
          <w:rPr>
            <w:noProof/>
          </w:rPr>
          <w:t>(Hughes 2012)</w:t>
        </w:r>
      </w:fldSimple>
      <w:r w:rsidRPr="007B268A">
        <w:t>.</w:t>
      </w:r>
      <w:r w:rsidRPr="007B268A">
        <w:rPr>
          <w:rStyle w:val="FootnoteReference"/>
        </w:rPr>
        <w:footnoteReference w:id="96"/>
      </w:r>
    </w:p>
    <w:p w:rsidR="00972987" w:rsidRPr="007B268A" w:rsidRDefault="00972987" w:rsidP="00972987"/>
    <w:p w:rsidR="00972987" w:rsidRPr="007B268A" w:rsidRDefault="00972987" w:rsidP="00EC2D95">
      <w:pPr>
        <w:pStyle w:val="Heading2"/>
        <w:numPr>
          <w:ilvl w:val="0"/>
          <w:numId w:val="0"/>
        </w:numPr>
        <w:ind w:left="360" w:hanging="360"/>
      </w:pPr>
      <w:bookmarkStart w:id="174" w:name="_Toc199925072"/>
      <w:bookmarkStart w:id="175" w:name="_Toc200095328"/>
      <w:r>
        <w:t xml:space="preserve">6.1 </w:t>
      </w:r>
      <w:r w:rsidRPr="007B268A">
        <w:t xml:space="preserve">Missing Global Targets in the </w:t>
      </w:r>
      <w:bookmarkEnd w:id="174"/>
      <w:r>
        <w:t>Base Case</w:t>
      </w:r>
      <w:bookmarkEnd w:id="175"/>
    </w:p>
    <w:p w:rsidR="00972987" w:rsidRPr="007B268A" w:rsidRDefault="00972987" w:rsidP="00972987">
      <w:r w:rsidRPr="007B268A">
        <w:t xml:space="preserve">Let us remind ourselves how much countries and regions would need to improve their access relative to the </w:t>
      </w:r>
      <w:r>
        <w:t>b</w:t>
      </w:r>
      <w:r w:rsidRPr="007B268A">
        <w:t xml:space="preserve">ase </w:t>
      </w:r>
      <w:r>
        <w:t>c</w:t>
      </w:r>
      <w:r w:rsidRPr="007B268A">
        <w:t xml:space="preserve">ase in order to meet the universal targets (again, Box 5.1 introduced those and Box 6.1 provides important additional information on the target for rural road access). At the global level in 2030 in the </w:t>
      </w:r>
      <w:r>
        <w:t>b</w:t>
      </w:r>
      <w:r w:rsidRPr="007B268A">
        <w:t xml:space="preserve">ase </w:t>
      </w:r>
      <w:r>
        <w:t>c</w:t>
      </w:r>
      <w:r w:rsidRPr="007B268A">
        <w:t>ase, access to improved water comes closest to the universal target at 92 percent, with access to electricity and ICT</w:t>
      </w:r>
      <w:r w:rsidRPr="007B268A">
        <w:rPr>
          <w:rStyle w:val="FootnoteReference"/>
        </w:rPr>
        <w:footnoteReference w:id="97"/>
      </w:r>
      <w:r w:rsidRPr="007B268A">
        <w:t xml:space="preserve"> not far behind at 88 percent, and access to sanitation and all-season roads lagging at under 75 percent (Table 6.1). These reflect different rates of progress over the period 2010 to 2030, however. Whereas access to ICT moved over 85 percent of the way to universal access over this period, access to all-season roads covered only 10 percent of this distance. The equivalent rates of progress for electricity, water, and sanitation were 42, 32, and 28 percent, respectively.</w:t>
      </w:r>
    </w:p>
    <w:p w:rsidR="00972987" w:rsidRPr="007B268A" w:rsidRDefault="00972987" w:rsidP="00972987"/>
    <w:p w:rsidR="00972987" w:rsidRPr="007B268A" w:rsidRDefault="00972987" w:rsidP="00972987">
      <w:pPr>
        <w:pBdr>
          <w:top w:val="single" w:sz="4" w:space="1" w:color="auto"/>
          <w:left w:val="single" w:sz="4" w:space="4" w:color="auto"/>
          <w:bottom w:val="single" w:sz="4" w:space="1" w:color="auto"/>
          <w:right w:val="single" w:sz="4" w:space="4" w:color="auto"/>
        </w:pBdr>
        <w:shd w:val="clear" w:color="auto" w:fill="D9D9D9" w:themeFill="background1" w:themeFillShade="D9"/>
        <w:rPr>
          <w:b/>
        </w:rPr>
      </w:pPr>
      <w:r w:rsidRPr="007B268A">
        <w:rPr>
          <w:b/>
        </w:rPr>
        <w:t>Box 6.1 The cost of rural access to all-season roads</w:t>
      </w:r>
    </w:p>
    <w:p w:rsidR="00972987" w:rsidRPr="007B268A" w:rsidRDefault="00972987" w:rsidP="00972987">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7B268A">
        <w:t> </w:t>
      </w:r>
    </w:p>
    <w:p w:rsidR="00972987" w:rsidRPr="007B268A" w:rsidRDefault="00972987" w:rsidP="00972987">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7B268A">
        <w:t>The reader may wonder why the only target that the analysis of this volume has not expressed in terms of universal access is the one for rural access to all-season roads. Beyond the fact that a truly universal target for rural access has not to our knowledge been proposed, a further explanation is that the amount of additional roadway required to expand the road grid to additional people in a country rises quite sharply with each percentage point of rural access attained, particularly as the access rate moves above 90 percent. Even without an increasing cost per unit of road, this still translates into an increasing marginal cost of access. In contrast, we have not modeled such increasing marginal costs for electricity, where generators and increasingly distributed solar can provide power, or for water and sanitation, where wells, water transport, and cesspools can provide distributed services.</w:t>
      </w:r>
    </w:p>
    <w:p w:rsidR="00972987" w:rsidRPr="007B268A" w:rsidRDefault="00972987" w:rsidP="00972987">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7B268A">
        <w:t> </w:t>
      </w:r>
    </w:p>
    <w:p w:rsidR="00972987" w:rsidRPr="007B268A" w:rsidRDefault="00972987" w:rsidP="00972987">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7B268A">
        <w:t>Because of the increasing marginal costs, attempting to reach universal rural access within two kilometers to an all-season road would lead to quite outrageous additional infrastructure spending needs.</w:t>
      </w:r>
      <w:r>
        <w:t xml:space="preserve"> </w:t>
      </w:r>
      <w:r w:rsidRPr="007B268A">
        <w:t xml:space="preserve">Specifically, we have found that it would require on the order of 8.5 trillion dollars more than is spent in the </w:t>
      </w:r>
      <w:r>
        <w:t>base case</w:t>
      </w:r>
      <w:r w:rsidRPr="007B268A">
        <w:t xml:space="preserve"> on roads to meet such a target globally.</w:t>
      </w:r>
      <w:r>
        <w:t xml:space="preserve"> </w:t>
      </w:r>
      <w:r w:rsidRPr="007B268A">
        <w:t>Clearly, universal rural road access is an unreasonable target and therefore we use the target laid out in Roberts, KC, and Rastogi</w:t>
      </w:r>
      <w:r>
        <w:t xml:space="preserve"> </w:t>
      </w:r>
      <w:r w:rsidR="00F7383F">
        <w:fldChar w:fldCharType="begin"/>
      </w:r>
      <w:r>
        <w:instrText xml:space="preserve"> ADDIN ZOTERO_ITEM {"citationID":"WmAHpbSn","properties":{"formattedCitation":"{\\rtf (Roberts, KC, and Rastogi 2006, A\\uc0\\u8211{}25 to A\\uc0\\u8211{}26)}","plainCitation":"(Roberts, KC, and Rastogi 2006, A–25 to A–26)"},"citationItems":[{"id":679,"uris":["http://zotero.org/groups/4482/items/XWNS3UM5"],"uri":["http://zotero.org/groups/4482/items/XWNS3UM5"],"locator":"A-25 to A-26","label":"page"}]} </w:instrText>
      </w:r>
      <w:r w:rsidR="00F7383F">
        <w:fldChar w:fldCharType="separate"/>
      </w:r>
      <w:r w:rsidRPr="00C17C18">
        <w:t>(2006, A–25 to A–26)</w:t>
      </w:r>
      <w:r w:rsidR="00F7383F">
        <w:fldChar w:fldCharType="end"/>
      </w:r>
      <w:r w:rsidRPr="007B268A">
        <w:t xml:space="preserve"> to cut by half "the proportion of rural population living beyond 2 km of an all-season road" to a maximum of 90 percent.</w:t>
      </w:r>
    </w:p>
    <w:p w:rsidR="00972987" w:rsidRPr="007B268A" w:rsidRDefault="00972987" w:rsidP="00972987"/>
    <w:tbl>
      <w:tblPr>
        <w:tblW w:w="9545" w:type="dxa"/>
        <w:tblInd w:w="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100"/>
        <w:gridCol w:w="716"/>
        <w:gridCol w:w="1001"/>
        <w:gridCol w:w="716"/>
        <w:gridCol w:w="716"/>
        <w:gridCol w:w="716"/>
        <w:gridCol w:w="716"/>
        <w:gridCol w:w="716"/>
        <w:gridCol w:w="716"/>
        <w:gridCol w:w="716"/>
        <w:gridCol w:w="716"/>
      </w:tblGrid>
      <w:tr w:rsidR="00972987" w:rsidRPr="007B268A">
        <w:trPr>
          <w:trHeight w:val="362"/>
        </w:trPr>
        <w:tc>
          <w:tcPr>
            <w:tcW w:w="9545" w:type="dxa"/>
            <w:gridSpan w:val="11"/>
            <w:vAlign w:val="center"/>
          </w:tcPr>
          <w:p w:rsidR="00972987" w:rsidRPr="007B268A" w:rsidRDefault="00972987" w:rsidP="0043092C">
            <w:pPr>
              <w:keepNext/>
              <w:keepLines/>
              <w:autoSpaceDE w:val="0"/>
              <w:autoSpaceDN w:val="0"/>
              <w:adjustRightInd w:val="0"/>
              <w:rPr>
                <w:rFonts w:eastAsiaTheme="minorEastAsia"/>
                <w:b/>
                <w:bCs/>
                <w:color w:val="000000"/>
                <w:sz w:val="20"/>
              </w:rPr>
            </w:pPr>
            <w:r w:rsidRPr="007B268A">
              <w:rPr>
                <w:rFonts w:eastAsiaTheme="minorEastAsia"/>
                <w:b/>
                <w:bCs/>
                <w:color w:val="000000"/>
                <w:sz w:val="20"/>
              </w:rPr>
              <w:t xml:space="preserve">Table 6.1 Access rates for targeted infrastructure in </w:t>
            </w:r>
            <w:r>
              <w:rPr>
                <w:rFonts w:eastAsiaTheme="minorEastAsia"/>
                <w:b/>
                <w:bCs/>
                <w:color w:val="000000"/>
                <w:sz w:val="20"/>
              </w:rPr>
              <w:t>base case</w:t>
            </w:r>
            <w:r w:rsidRPr="007B268A">
              <w:rPr>
                <w:rFonts w:eastAsiaTheme="minorEastAsia"/>
                <w:b/>
                <w:bCs/>
                <w:color w:val="000000"/>
                <w:sz w:val="20"/>
              </w:rPr>
              <w:t>, 2010 and 2030</w:t>
            </w:r>
          </w:p>
        </w:tc>
      </w:tr>
      <w:tr w:rsidR="00972987" w:rsidRPr="007B268A">
        <w:trPr>
          <w:trHeight w:val="290"/>
        </w:trPr>
        <w:tc>
          <w:tcPr>
            <w:tcW w:w="2100" w:type="dxa"/>
          </w:tcPr>
          <w:p w:rsidR="00972987" w:rsidRPr="00DE7F01" w:rsidRDefault="00972987" w:rsidP="0043092C">
            <w:pPr>
              <w:keepNext/>
              <w:keepLines/>
              <w:autoSpaceDE w:val="0"/>
              <w:autoSpaceDN w:val="0"/>
              <w:adjustRightInd w:val="0"/>
              <w:jc w:val="right"/>
              <w:rPr>
                <w:rFonts w:eastAsiaTheme="minorEastAsia"/>
                <w:color w:val="000000"/>
                <w:sz w:val="20"/>
              </w:rPr>
            </w:pPr>
          </w:p>
        </w:tc>
        <w:tc>
          <w:tcPr>
            <w:tcW w:w="1717" w:type="dxa"/>
            <w:gridSpan w:val="2"/>
            <w:vAlign w:val="center"/>
          </w:tcPr>
          <w:p w:rsidR="00972987" w:rsidRPr="00DE7F01" w:rsidRDefault="00972987" w:rsidP="0043092C">
            <w:pPr>
              <w:keepNext/>
              <w:keepLines/>
              <w:autoSpaceDE w:val="0"/>
              <w:autoSpaceDN w:val="0"/>
              <w:adjustRightInd w:val="0"/>
              <w:jc w:val="center"/>
              <w:rPr>
                <w:rFonts w:eastAsiaTheme="minorEastAsia"/>
                <w:bCs/>
                <w:color w:val="000000"/>
                <w:sz w:val="20"/>
              </w:rPr>
            </w:pPr>
            <w:r w:rsidRPr="00DE7F01">
              <w:rPr>
                <w:rFonts w:eastAsiaTheme="minorEastAsia"/>
                <w:bCs/>
                <w:color w:val="000000"/>
                <w:sz w:val="20"/>
              </w:rPr>
              <w:t>All-season roads</w:t>
            </w:r>
          </w:p>
        </w:tc>
        <w:tc>
          <w:tcPr>
            <w:tcW w:w="1432" w:type="dxa"/>
            <w:gridSpan w:val="2"/>
            <w:vAlign w:val="center"/>
          </w:tcPr>
          <w:p w:rsidR="00972987" w:rsidRPr="00DE7F01" w:rsidRDefault="00972987" w:rsidP="0043092C">
            <w:pPr>
              <w:keepNext/>
              <w:keepLines/>
              <w:autoSpaceDE w:val="0"/>
              <w:autoSpaceDN w:val="0"/>
              <w:adjustRightInd w:val="0"/>
              <w:jc w:val="center"/>
              <w:rPr>
                <w:rFonts w:eastAsiaTheme="minorEastAsia"/>
                <w:bCs/>
                <w:color w:val="000000"/>
                <w:sz w:val="20"/>
              </w:rPr>
            </w:pPr>
            <w:r w:rsidRPr="00DE7F01">
              <w:rPr>
                <w:rFonts w:eastAsiaTheme="minorEastAsia"/>
                <w:bCs/>
                <w:color w:val="000000"/>
                <w:sz w:val="20"/>
              </w:rPr>
              <w:t>Electricity</w:t>
            </w:r>
          </w:p>
        </w:tc>
        <w:tc>
          <w:tcPr>
            <w:tcW w:w="1432" w:type="dxa"/>
            <w:gridSpan w:val="2"/>
            <w:vAlign w:val="center"/>
          </w:tcPr>
          <w:p w:rsidR="00972987" w:rsidRPr="00DE7F01" w:rsidRDefault="00972987" w:rsidP="0043092C">
            <w:pPr>
              <w:keepNext/>
              <w:keepLines/>
              <w:autoSpaceDE w:val="0"/>
              <w:autoSpaceDN w:val="0"/>
              <w:adjustRightInd w:val="0"/>
              <w:jc w:val="center"/>
              <w:rPr>
                <w:rFonts w:eastAsiaTheme="minorEastAsia"/>
                <w:bCs/>
                <w:color w:val="000000"/>
                <w:sz w:val="20"/>
              </w:rPr>
            </w:pPr>
            <w:r w:rsidRPr="00DE7F01">
              <w:rPr>
                <w:rFonts w:eastAsiaTheme="minorEastAsia"/>
                <w:bCs/>
                <w:color w:val="000000"/>
                <w:sz w:val="20"/>
              </w:rPr>
              <w:t>Water</w:t>
            </w:r>
          </w:p>
        </w:tc>
        <w:tc>
          <w:tcPr>
            <w:tcW w:w="1432" w:type="dxa"/>
            <w:gridSpan w:val="2"/>
            <w:vAlign w:val="center"/>
          </w:tcPr>
          <w:p w:rsidR="00972987" w:rsidRPr="00DE7F01" w:rsidRDefault="00972987" w:rsidP="0043092C">
            <w:pPr>
              <w:keepNext/>
              <w:keepLines/>
              <w:autoSpaceDE w:val="0"/>
              <w:autoSpaceDN w:val="0"/>
              <w:adjustRightInd w:val="0"/>
              <w:jc w:val="center"/>
              <w:rPr>
                <w:rFonts w:eastAsiaTheme="minorEastAsia"/>
                <w:bCs/>
                <w:color w:val="000000"/>
                <w:sz w:val="20"/>
              </w:rPr>
            </w:pPr>
            <w:r w:rsidRPr="00DE7F01">
              <w:rPr>
                <w:rFonts w:eastAsiaTheme="minorEastAsia"/>
                <w:bCs/>
                <w:color w:val="000000"/>
                <w:sz w:val="20"/>
              </w:rPr>
              <w:t>Sanitation</w:t>
            </w:r>
          </w:p>
        </w:tc>
        <w:tc>
          <w:tcPr>
            <w:tcW w:w="1432" w:type="dxa"/>
            <w:gridSpan w:val="2"/>
            <w:vAlign w:val="center"/>
          </w:tcPr>
          <w:p w:rsidR="00972987" w:rsidRPr="00DE7F01" w:rsidRDefault="00972987" w:rsidP="0043092C">
            <w:pPr>
              <w:keepNext/>
              <w:keepLines/>
              <w:autoSpaceDE w:val="0"/>
              <w:autoSpaceDN w:val="0"/>
              <w:adjustRightInd w:val="0"/>
              <w:jc w:val="center"/>
              <w:rPr>
                <w:rFonts w:eastAsiaTheme="minorEastAsia"/>
                <w:bCs/>
                <w:color w:val="000000"/>
                <w:sz w:val="20"/>
              </w:rPr>
            </w:pPr>
            <w:r w:rsidRPr="00DE7F01">
              <w:rPr>
                <w:rFonts w:eastAsiaTheme="minorEastAsia"/>
                <w:bCs/>
                <w:color w:val="000000"/>
                <w:sz w:val="20"/>
              </w:rPr>
              <w:t>Mobile BB</w:t>
            </w:r>
          </w:p>
        </w:tc>
      </w:tr>
      <w:tr w:rsidR="00972987" w:rsidRPr="007B268A">
        <w:trPr>
          <w:trHeight w:val="290"/>
        </w:trPr>
        <w:tc>
          <w:tcPr>
            <w:tcW w:w="2100" w:type="dxa"/>
            <w:shd w:val="clear" w:color="auto" w:fill="auto"/>
          </w:tcPr>
          <w:p w:rsidR="00972987" w:rsidRPr="00DE7F01" w:rsidRDefault="00972987" w:rsidP="0043092C">
            <w:pPr>
              <w:keepNext/>
              <w:keepLines/>
              <w:autoSpaceDE w:val="0"/>
              <w:autoSpaceDN w:val="0"/>
              <w:adjustRightInd w:val="0"/>
              <w:jc w:val="center"/>
              <w:rPr>
                <w:rFonts w:eastAsiaTheme="minorEastAsia"/>
                <w:bCs/>
                <w:color w:val="000000"/>
                <w:sz w:val="20"/>
              </w:rPr>
            </w:pPr>
          </w:p>
        </w:tc>
        <w:tc>
          <w:tcPr>
            <w:tcW w:w="716" w:type="dxa"/>
            <w:shd w:val="clear" w:color="auto" w:fill="auto"/>
            <w:vAlign w:val="center"/>
          </w:tcPr>
          <w:p w:rsidR="00972987" w:rsidRPr="00DE7F01" w:rsidRDefault="00972987" w:rsidP="0043092C">
            <w:pPr>
              <w:keepNext/>
              <w:keepLines/>
              <w:autoSpaceDE w:val="0"/>
              <w:autoSpaceDN w:val="0"/>
              <w:adjustRightInd w:val="0"/>
              <w:jc w:val="center"/>
              <w:rPr>
                <w:rFonts w:eastAsiaTheme="minorEastAsia"/>
                <w:bCs/>
                <w:color w:val="000000"/>
                <w:sz w:val="20"/>
              </w:rPr>
            </w:pPr>
            <w:r w:rsidRPr="00DE7F01">
              <w:rPr>
                <w:rFonts w:eastAsiaTheme="minorEastAsia"/>
                <w:bCs/>
                <w:color w:val="000000"/>
                <w:sz w:val="20"/>
              </w:rPr>
              <w:t>2010</w:t>
            </w:r>
          </w:p>
        </w:tc>
        <w:tc>
          <w:tcPr>
            <w:tcW w:w="1001" w:type="dxa"/>
            <w:shd w:val="clear" w:color="auto" w:fill="auto"/>
            <w:vAlign w:val="center"/>
          </w:tcPr>
          <w:p w:rsidR="00972987" w:rsidRPr="00DE7F01" w:rsidRDefault="00972987" w:rsidP="0043092C">
            <w:pPr>
              <w:keepNext/>
              <w:keepLines/>
              <w:autoSpaceDE w:val="0"/>
              <w:autoSpaceDN w:val="0"/>
              <w:adjustRightInd w:val="0"/>
              <w:jc w:val="center"/>
              <w:rPr>
                <w:rFonts w:eastAsiaTheme="minorEastAsia"/>
                <w:bCs/>
                <w:color w:val="000000"/>
                <w:sz w:val="20"/>
              </w:rPr>
            </w:pPr>
            <w:r w:rsidRPr="00DE7F01">
              <w:rPr>
                <w:rFonts w:eastAsiaTheme="minorEastAsia"/>
                <w:bCs/>
                <w:color w:val="000000"/>
                <w:sz w:val="20"/>
              </w:rPr>
              <w:t>2030</w:t>
            </w:r>
          </w:p>
        </w:tc>
        <w:tc>
          <w:tcPr>
            <w:tcW w:w="716" w:type="dxa"/>
            <w:shd w:val="clear" w:color="auto" w:fill="auto"/>
            <w:vAlign w:val="center"/>
          </w:tcPr>
          <w:p w:rsidR="00972987" w:rsidRPr="00DE7F01" w:rsidRDefault="00972987" w:rsidP="0043092C">
            <w:pPr>
              <w:keepNext/>
              <w:keepLines/>
              <w:autoSpaceDE w:val="0"/>
              <w:autoSpaceDN w:val="0"/>
              <w:adjustRightInd w:val="0"/>
              <w:jc w:val="center"/>
              <w:rPr>
                <w:rFonts w:eastAsiaTheme="minorEastAsia"/>
                <w:bCs/>
                <w:color w:val="000000"/>
                <w:sz w:val="20"/>
              </w:rPr>
            </w:pPr>
            <w:r w:rsidRPr="00DE7F01">
              <w:rPr>
                <w:rFonts w:eastAsiaTheme="minorEastAsia"/>
                <w:bCs/>
                <w:color w:val="000000"/>
                <w:sz w:val="20"/>
              </w:rPr>
              <w:t>2010</w:t>
            </w:r>
          </w:p>
        </w:tc>
        <w:tc>
          <w:tcPr>
            <w:tcW w:w="716" w:type="dxa"/>
            <w:shd w:val="clear" w:color="auto" w:fill="auto"/>
            <w:vAlign w:val="center"/>
          </w:tcPr>
          <w:p w:rsidR="00972987" w:rsidRPr="00DE7F01" w:rsidRDefault="00972987" w:rsidP="0043092C">
            <w:pPr>
              <w:keepNext/>
              <w:keepLines/>
              <w:autoSpaceDE w:val="0"/>
              <w:autoSpaceDN w:val="0"/>
              <w:adjustRightInd w:val="0"/>
              <w:jc w:val="center"/>
              <w:rPr>
                <w:rFonts w:eastAsiaTheme="minorEastAsia"/>
                <w:bCs/>
                <w:color w:val="000000"/>
                <w:sz w:val="20"/>
              </w:rPr>
            </w:pPr>
            <w:r w:rsidRPr="00DE7F01">
              <w:rPr>
                <w:rFonts w:eastAsiaTheme="minorEastAsia"/>
                <w:bCs/>
                <w:color w:val="000000"/>
                <w:sz w:val="20"/>
              </w:rPr>
              <w:t>2030</w:t>
            </w:r>
          </w:p>
        </w:tc>
        <w:tc>
          <w:tcPr>
            <w:tcW w:w="716" w:type="dxa"/>
            <w:shd w:val="clear" w:color="auto" w:fill="auto"/>
            <w:vAlign w:val="center"/>
          </w:tcPr>
          <w:p w:rsidR="00972987" w:rsidRPr="00DE7F01" w:rsidRDefault="00972987" w:rsidP="0043092C">
            <w:pPr>
              <w:keepNext/>
              <w:keepLines/>
              <w:autoSpaceDE w:val="0"/>
              <w:autoSpaceDN w:val="0"/>
              <w:adjustRightInd w:val="0"/>
              <w:jc w:val="center"/>
              <w:rPr>
                <w:rFonts w:eastAsiaTheme="minorEastAsia"/>
                <w:bCs/>
                <w:color w:val="000000"/>
                <w:sz w:val="20"/>
              </w:rPr>
            </w:pPr>
            <w:r w:rsidRPr="00DE7F01">
              <w:rPr>
                <w:rFonts w:eastAsiaTheme="minorEastAsia"/>
                <w:bCs/>
                <w:color w:val="000000"/>
                <w:sz w:val="20"/>
              </w:rPr>
              <w:t>2010</w:t>
            </w:r>
          </w:p>
        </w:tc>
        <w:tc>
          <w:tcPr>
            <w:tcW w:w="716" w:type="dxa"/>
            <w:shd w:val="clear" w:color="auto" w:fill="auto"/>
            <w:vAlign w:val="center"/>
          </w:tcPr>
          <w:p w:rsidR="00972987" w:rsidRPr="00DE7F01" w:rsidRDefault="00972987" w:rsidP="0043092C">
            <w:pPr>
              <w:keepNext/>
              <w:keepLines/>
              <w:autoSpaceDE w:val="0"/>
              <w:autoSpaceDN w:val="0"/>
              <w:adjustRightInd w:val="0"/>
              <w:jc w:val="center"/>
              <w:rPr>
                <w:rFonts w:eastAsiaTheme="minorEastAsia"/>
                <w:bCs/>
                <w:color w:val="000000"/>
                <w:sz w:val="20"/>
              </w:rPr>
            </w:pPr>
            <w:r w:rsidRPr="00DE7F01">
              <w:rPr>
                <w:rFonts w:eastAsiaTheme="minorEastAsia"/>
                <w:bCs/>
                <w:color w:val="000000"/>
                <w:sz w:val="20"/>
              </w:rPr>
              <w:t>2030</w:t>
            </w:r>
          </w:p>
        </w:tc>
        <w:tc>
          <w:tcPr>
            <w:tcW w:w="716" w:type="dxa"/>
            <w:shd w:val="clear" w:color="auto" w:fill="auto"/>
            <w:vAlign w:val="center"/>
          </w:tcPr>
          <w:p w:rsidR="00972987" w:rsidRPr="00DE7F01" w:rsidRDefault="00972987" w:rsidP="0043092C">
            <w:pPr>
              <w:keepNext/>
              <w:keepLines/>
              <w:autoSpaceDE w:val="0"/>
              <w:autoSpaceDN w:val="0"/>
              <w:adjustRightInd w:val="0"/>
              <w:jc w:val="center"/>
              <w:rPr>
                <w:rFonts w:eastAsiaTheme="minorEastAsia"/>
                <w:bCs/>
                <w:color w:val="000000"/>
                <w:sz w:val="20"/>
              </w:rPr>
            </w:pPr>
            <w:r w:rsidRPr="00DE7F01">
              <w:rPr>
                <w:rFonts w:eastAsiaTheme="minorEastAsia"/>
                <w:bCs/>
                <w:color w:val="000000"/>
                <w:sz w:val="20"/>
              </w:rPr>
              <w:t>2010</w:t>
            </w:r>
          </w:p>
        </w:tc>
        <w:tc>
          <w:tcPr>
            <w:tcW w:w="716" w:type="dxa"/>
            <w:shd w:val="clear" w:color="auto" w:fill="auto"/>
            <w:vAlign w:val="center"/>
          </w:tcPr>
          <w:p w:rsidR="00972987" w:rsidRPr="00DE7F01" w:rsidRDefault="00972987" w:rsidP="0043092C">
            <w:pPr>
              <w:keepNext/>
              <w:keepLines/>
              <w:autoSpaceDE w:val="0"/>
              <w:autoSpaceDN w:val="0"/>
              <w:adjustRightInd w:val="0"/>
              <w:jc w:val="center"/>
              <w:rPr>
                <w:rFonts w:eastAsiaTheme="minorEastAsia"/>
                <w:bCs/>
                <w:color w:val="000000"/>
                <w:sz w:val="20"/>
              </w:rPr>
            </w:pPr>
            <w:r w:rsidRPr="00DE7F01">
              <w:rPr>
                <w:rFonts w:eastAsiaTheme="minorEastAsia"/>
                <w:bCs/>
                <w:color w:val="000000"/>
                <w:sz w:val="20"/>
              </w:rPr>
              <w:t>2030</w:t>
            </w:r>
          </w:p>
        </w:tc>
        <w:tc>
          <w:tcPr>
            <w:tcW w:w="716" w:type="dxa"/>
            <w:shd w:val="clear" w:color="auto" w:fill="auto"/>
            <w:vAlign w:val="center"/>
          </w:tcPr>
          <w:p w:rsidR="00972987" w:rsidRPr="00DE7F01" w:rsidRDefault="00972987" w:rsidP="0043092C">
            <w:pPr>
              <w:keepNext/>
              <w:keepLines/>
              <w:autoSpaceDE w:val="0"/>
              <w:autoSpaceDN w:val="0"/>
              <w:adjustRightInd w:val="0"/>
              <w:jc w:val="center"/>
              <w:rPr>
                <w:rFonts w:eastAsiaTheme="minorEastAsia"/>
                <w:bCs/>
                <w:color w:val="000000"/>
                <w:sz w:val="20"/>
              </w:rPr>
            </w:pPr>
            <w:r w:rsidRPr="00DE7F01">
              <w:rPr>
                <w:rFonts w:eastAsiaTheme="minorEastAsia"/>
                <w:bCs/>
                <w:color w:val="000000"/>
                <w:sz w:val="20"/>
              </w:rPr>
              <w:t>2010</w:t>
            </w:r>
          </w:p>
        </w:tc>
        <w:tc>
          <w:tcPr>
            <w:tcW w:w="716" w:type="dxa"/>
            <w:shd w:val="clear" w:color="auto" w:fill="auto"/>
            <w:vAlign w:val="center"/>
          </w:tcPr>
          <w:p w:rsidR="00972987" w:rsidRPr="00DE7F01" w:rsidRDefault="00972987" w:rsidP="0043092C">
            <w:pPr>
              <w:keepNext/>
              <w:keepLines/>
              <w:autoSpaceDE w:val="0"/>
              <w:autoSpaceDN w:val="0"/>
              <w:adjustRightInd w:val="0"/>
              <w:jc w:val="center"/>
              <w:rPr>
                <w:rFonts w:eastAsiaTheme="minorEastAsia"/>
                <w:bCs/>
                <w:color w:val="000000"/>
                <w:sz w:val="20"/>
              </w:rPr>
            </w:pPr>
            <w:r w:rsidRPr="00DE7F01">
              <w:rPr>
                <w:rFonts w:eastAsiaTheme="minorEastAsia"/>
                <w:bCs/>
                <w:color w:val="000000"/>
                <w:sz w:val="20"/>
              </w:rPr>
              <w:t>2030</w:t>
            </w:r>
          </w:p>
        </w:tc>
      </w:tr>
      <w:tr w:rsidR="00972987" w:rsidRPr="007B268A">
        <w:trPr>
          <w:trHeight w:val="290"/>
        </w:trPr>
        <w:tc>
          <w:tcPr>
            <w:tcW w:w="9545" w:type="dxa"/>
            <w:gridSpan w:val="11"/>
            <w:shd w:val="clear" w:color="969696" w:fill="D9D9D9" w:themeFill="background1" w:themeFillShade="D9"/>
            <w:vAlign w:val="center"/>
          </w:tcPr>
          <w:p w:rsidR="00972987" w:rsidRPr="007B268A" w:rsidRDefault="00972987" w:rsidP="0043092C">
            <w:pPr>
              <w:keepNext/>
              <w:keepLines/>
              <w:autoSpaceDE w:val="0"/>
              <w:autoSpaceDN w:val="0"/>
              <w:adjustRightInd w:val="0"/>
              <w:jc w:val="center"/>
              <w:rPr>
                <w:rFonts w:eastAsiaTheme="minorEastAsia"/>
                <w:b/>
                <w:bCs/>
                <w:color w:val="000000"/>
                <w:sz w:val="20"/>
              </w:rPr>
            </w:pPr>
            <w:r w:rsidRPr="007B268A">
              <w:rPr>
                <w:rFonts w:eastAsiaTheme="minorEastAsia"/>
                <w:b/>
                <w:bCs/>
                <w:color w:val="000000"/>
                <w:sz w:val="20"/>
              </w:rPr>
              <w:t>By income class</w:t>
            </w:r>
          </w:p>
        </w:tc>
      </w:tr>
      <w:tr w:rsidR="00972987" w:rsidRPr="007B268A">
        <w:trPr>
          <w:trHeight w:val="290"/>
        </w:trPr>
        <w:tc>
          <w:tcPr>
            <w:tcW w:w="2100" w:type="dxa"/>
            <w:vAlign w:val="center"/>
          </w:tcPr>
          <w:p w:rsidR="00972987" w:rsidRPr="00DE7F01" w:rsidRDefault="00972987" w:rsidP="0043092C">
            <w:pPr>
              <w:keepNext/>
              <w:keepLines/>
              <w:autoSpaceDE w:val="0"/>
              <w:autoSpaceDN w:val="0"/>
              <w:adjustRightInd w:val="0"/>
              <w:rPr>
                <w:rFonts w:eastAsiaTheme="minorEastAsia"/>
                <w:bCs/>
                <w:color w:val="000000"/>
                <w:sz w:val="20"/>
              </w:rPr>
            </w:pPr>
            <w:r w:rsidRPr="00DE7F01">
              <w:rPr>
                <w:rFonts w:eastAsiaTheme="minorEastAsia"/>
                <w:bCs/>
                <w:color w:val="000000"/>
                <w:sz w:val="20"/>
              </w:rPr>
              <w:t>Low-income economies</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39</w:t>
            </w:r>
          </w:p>
        </w:tc>
        <w:tc>
          <w:tcPr>
            <w:tcW w:w="1001"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46</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24</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43</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66</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71</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37</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48</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1</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121</w:t>
            </w:r>
          </w:p>
        </w:tc>
      </w:tr>
      <w:tr w:rsidR="00972987" w:rsidRPr="007B268A">
        <w:trPr>
          <w:trHeight w:val="290"/>
        </w:trPr>
        <w:tc>
          <w:tcPr>
            <w:tcW w:w="2100" w:type="dxa"/>
            <w:vAlign w:val="center"/>
          </w:tcPr>
          <w:p w:rsidR="00972987" w:rsidRPr="00DE7F01" w:rsidRDefault="00972987" w:rsidP="0043092C">
            <w:pPr>
              <w:keepNext/>
              <w:keepLines/>
              <w:autoSpaceDE w:val="0"/>
              <w:autoSpaceDN w:val="0"/>
              <w:adjustRightInd w:val="0"/>
              <w:rPr>
                <w:rFonts w:eastAsiaTheme="minorEastAsia"/>
                <w:bCs/>
                <w:color w:val="000000"/>
                <w:sz w:val="20"/>
              </w:rPr>
            </w:pPr>
            <w:r w:rsidRPr="00DE7F01">
              <w:rPr>
                <w:rFonts w:eastAsiaTheme="minorEastAsia"/>
                <w:bCs/>
                <w:color w:val="000000"/>
                <w:sz w:val="20"/>
              </w:rPr>
              <w:t>Lower-middle-income economies</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69</w:t>
            </w:r>
          </w:p>
        </w:tc>
        <w:tc>
          <w:tcPr>
            <w:tcW w:w="1001"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76</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68</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91</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87</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93</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47</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66</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3</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134</w:t>
            </w:r>
          </w:p>
        </w:tc>
      </w:tr>
      <w:tr w:rsidR="00972987" w:rsidRPr="007B268A">
        <w:trPr>
          <w:trHeight w:val="290"/>
        </w:trPr>
        <w:tc>
          <w:tcPr>
            <w:tcW w:w="2100" w:type="dxa"/>
            <w:vAlign w:val="center"/>
          </w:tcPr>
          <w:p w:rsidR="00972987" w:rsidRPr="00DE7F01" w:rsidRDefault="00972987" w:rsidP="0043092C">
            <w:pPr>
              <w:keepNext/>
              <w:keepLines/>
              <w:autoSpaceDE w:val="0"/>
              <w:autoSpaceDN w:val="0"/>
              <w:adjustRightInd w:val="0"/>
              <w:rPr>
                <w:rFonts w:eastAsiaTheme="minorEastAsia"/>
                <w:bCs/>
                <w:color w:val="000000"/>
                <w:sz w:val="20"/>
              </w:rPr>
            </w:pPr>
            <w:r w:rsidRPr="00DE7F01">
              <w:rPr>
                <w:rFonts w:eastAsiaTheme="minorEastAsia"/>
                <w:bCs/>
                <w:color w:val="000000"/>
                <w:sz w:val="20"/>
              </w:rPr>
              <w:t>Upper-middle-income economies</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89</w:t>
            </w:r>
          </w:p>
        </w:tc>
        <w:tc>
          <w:tcPr>
            <w:tcW w:w="1001"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93</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97</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99</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93</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97</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73</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85</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8</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125</w:t>
            </w:r>
          </w:p>
        </w:tc>
      </w:tr>
      <w:tr w:rsidR="00972987" w:rsidRPr="007B268A">
        <w:trPr>
          <w:trHeight w:val="290"/>
        </w:trPr>
        <w:tc>
          <w:tcPr>
            <w:tcW w:w="2100" w:type="dxa"/>
            <w:vAlign w:val="center"/>
          </w:tcPr>
          <w:p w:rsidR="00972987" w:rsidRPr="00DE7F01" w:rsidRDefault="00972987" w:rsidP="0043092C">
            <w:pPr>
              <w:keepNext/>
              <w:keepLines/>
              <w:autoSpaceDE w:val="0"/>
              <w:autoSpaceDN w:val="0"/>
              <w:adjustRightInd w:val="0"/>
              <w:rPr>
                <w:rFonts w:eastAsiaTheme="minorEastAsia"/>
                <w:bCs/>
                <w:color w:val="000000"/>
                <w:sz w:val="20"/>
              </w:rPr>
            </w:pPr>
            <w:r w:rsidRPr="00DE7F01">
              <w:rPr>
                <w:rFonts w:eastAsiaTheme="minorEastAsia"/>
                <w:bCs/>
                <w:color w:val="000000"/>
                <w:sz w:val="20"/>
              </w:rPr>
              <w:t>High-income economies</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93</w:t>
            </w:r>
          </w:p>
        </w:tc>
        <w:tc>
          <w:tcPr>
            <w:tcW w:w="1001"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97</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98</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98</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99</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99</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99</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97</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57</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149</w:t>
            </w:r>
          </w:p>
        </w:tc>
      </w:tr>
      <w:tr w:rsidR="00972987" w:rsidRPr="007B268A">
        <w:trPr>
          <w:trHeight w:val="290"/>
        </w:trPr>
        <w:tc>
          <w:tcPr>
            <w:tcW w:w="9545" w:type="dxa"/>
            <w:gridSpan w:val="11"/>
            <w:shd w:val="clear" w:color="969696" w:fill="D9D9D9" w:themeFill="background1" w:themeFillShade="D9"/>
            <w:vAlign w:val="center"/>
          </w:tcPr>
          <w:p w:rsidR="00972987" w:rsidRPr="00DE7F01" w:rsidRDefault="00972987" w:rsidP="0043092C">
            <w:pPr>
              <w:keepNext/>
              <w:keepLines/>
              <w:autoSpaceDE w:val="0"/>
              <w:autoSpaceDN w:val="0"/>
              <w:adjustRightInd w:val="0"/>
              <w:jc w:val="center"/>
              <w:rPr>
                <w:rFonts w:eastAsiaTheme="minorEastAsia"/>
                <w:b/>
                <w:bCs/>
                <w:color w:val="000000"/>
                <w:sz w:val="20"/>
              </w:rPr>
            </w:pPr>
            <w:r w:rsidRPr="00DE7F01">
              <w:rPr>
                <w:rFonts w:eastAsiaTheme="minorEastAsia"/>
                <w:b/>
                <w:bCs/>
                <w:color w:val="000000"/>
                <w:sz w:val="20"/>
              </w:rPr>
              <w:t>By region</w:t>
            </w:r>
            <w:r w:rsidRPr="00DE7F01" w:rsidDel="00486C59">
              <w:rPr>
                <w:rFonts w:eastAsiaTheme="minorEastAsia"/>
                <w:b/>
                <w:bCs/>
                <w:color w:val="000000"/>
                <w:sz w:val="20"/>
              </w:rPr>
              <w:t xml:space="preserve"> </w:t>
            </w:r>
          </w:p>
        </w:tc>
      </w:tr>
      <w:tr w:rsidR="00972987" w:rsidRPr="007B268A">
        <w:trPr>
          <w:trHeight w:val="290"/>
        </w:trPr>
        <w:tc>
          <w:tcPr>
            <w:tcW w:w="2100" w:type="dxa"/>
            <w:vAlign w:val="center"/>
          </w:tcPr>
          <w:p w:rsidR="00972987" w:rsidRPr="00DE7F01" w:rsidRDefault="00972987" w:rsidP="0043092C">
            <w:pPr>
              <w:keepNext/>
              <w:keepLines/>
              <w:autoSpaceDE w:val="0"/>
              <w:autoSpaceDN w:val="0"/>
              <w:adjustRightInd w:val="0"/>
              <w:rPr>
                <w:rFonts w:eastAsiaTheme="minorEastAsia"/>
                <w:bCs/>
                <w:color w:val="000000"/>
                <w:sz w:val="20"/>
              </w:rPr>
            </w:pPr>
            <w:r w:rsidRPr="00DE7F01">
              <w:rPr>
                <w:rFonts w:eastAsiaTheme="minorEastAsia"/>
                <w:bCs/>
                <w:color w:val="000000"/>
                <w:sz w:val="20"/>
              </w:rPr>
              <w:t>East Asia and Pacific</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91</w:t>
            </w:r>
          </w:p>
        </w:tc>
        <w:tc>
          <w:tcPr>
            <w:tcW w:w="1001"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94</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91</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96</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90</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96</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66</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81</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3</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121</w:t>
            </w:r>
          </w:p>
        </w:tc>
      </w:tr>
      <w:tr w:rsidR="00972987" w:rsidRPr="007B268A">
        <w:trPr>
          <w:trHeight w:val="290"/>
        </w:trPr>
        <w:tc>
          <w:tcPr>
            <w:tcW w:w="2100" w:type="dxa"/>
            <w:vAlign w:val="center"/>
          </w:tcPr>
          <w:p w:rsidR="00972987" w:rsidRPr="00DE7F01" w:rsidRDefault="00972987" w:rsidP="0043092C">
            <w:pPr>
              <w:keepNext/>
              <w:keepLines/>
              <w:autoSpaceDE w:val="0"/>
              <w:autoSpaceDN w:val="0"/>
              <w:adjustRightInd w:val="0"/>
              <w:rPr>
                <w:rFonts w:eastAsiaTheme="minorEastAsia"/>
                <w:bCs/>
                <w:color w:val="000000"/>
                <w:sz w:val="20"/>
              </w:rPr>
            </w:pPr>
            <w:r w:rsidRPr="00DE7F01">
              <w:rPr>
                <w:rFonts w:eastAsiaTheme="minorEastAsia"/>
                <w:bCs/>
                <w:color w:val="000000"/>
                <w:sz w:val="20"/>
              </w:rPr>
              <w:t>Europe and Central Asia</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79</w:t>
            </w:r>
          </w:p>
        </w:tc>
        <w:tc>
          <w:tcPr>
            <w:tcW w:w="1001"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85</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87</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92</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95</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98</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84</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88</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31</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137</w:t>
            </w:r>
          </w:p>
        </w:tc>
      </w:tr>
      <w:tr w:rsidR="00972987" w:rsidRPr="007B268A">
        <w:trPr>
          <w:trHeight w:val="290"/>
        </w:trPr>
        <w:tc>
          <w:tcPr>
            <w:tcW w:w="2100" w:type="dxa"/>
            <w:vAlign w:val="center"/>
          </w:tcPr>
          <w:p w:rsidR="00972987" w:rsidRPr="00DE7F01" w:rsidRDefault="00972987" w:rsidP="0043092C">
            <w:pPr>
              <w:keepNext/>
              <w:keepLines/>
              <w:autoSpaceDE w:val="0"/>
              <w:autoSpaceDN w:val="0"/>
              <w:adjustRightInd w:val="0"/>
              <w:rPr>
                <w:rFonts w:eastAsiaTheme="minorEastAsia"/>
                <w:bCs/>
                <w:color w:val="000000"/>
                <w:sz w:val="20"/>
              </w:rPr>
            </w:pPr>
            <w:r w:rsidRPr="00DE7F01">
              <w:rPr>
                <w:rFonts w:eastAsiaTheme="minorEastAsia"/>
                <w:bCs/>
                <w:color w:val="000000"/>
                <w:sz w:val="20"/>
              </w:rPr>
              <w:t>Latin America and the Caribbean</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61</w:t>
            </w:r>
          </w:p>
        </w:tc>
        <w:tc>
          <w:tcPr>
            <w:tcW w:w="1001"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71</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94</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97</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94</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96</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80</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85</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6</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124</w:t>
            </w:r>
          </w:p>
        </w:tc>
      </w:tr>
      <w:tr w:rsidR="00972987" w:rsidRPr="007B268A">
        <w:trPr>
          <w:trHeight w:val="290"/>
        </w:trPr>
        <w:tc>
          <w:tcPr>
            <w:tcW w:w="2100" w:type="dxa"/>
            <w:vAlign w:val="center"/>
          </w:tcPr>
          <w:p w:rsidR="00972987" w:rsidRPr="00DE7F01" w:rsidRDefault="00972987" w:rsidP="0043092C">
            <w:pPr>
              <w:keepNext/>
              <w:keepLines/>
              <w:autoSpaceDE w:val="0"/>
              <w:autoSpaceDN w:val="0"/>
              <w:adjustRightInd w:val="0"/>
              <w:rPr>
                <w:rFonts w:eastAsiaTheme="minorEastAsia"/>
                <w:bCs/>
                <w:color w:val="000000"/>
                <w:sz w:val="20"/>
              </w:rPr>
            </w:pPr>
            <w:r w:rsidRPr="00DE7F01">
              <w:rPr>
                <w:rFonts w:eastAsiaTheme="minorEastAsia"/>
                <w:bCs/>
                <w:color w:val="000000"/>
                <w:sz w:val="20"/>
              </w:rPr>
              <w:t>Middle East and North Africa</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62</w:t>
            </w:r>
          </w:p>
        </w:tc>
        <w:tc>
          <w:tcPr>
            <w:tcW w:w="1001"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73</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94</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95</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88</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93</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88</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90</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2</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127</w:t>
            </w:r>
          </w:p>
        </w:tc>
      </w:tr>
      <w:tr w:rsidR="00972987" w:rsidRPr="007B268A">
        <w:trPr>
          <w:trHeight w:val="290"/>
        </w:trPr>
        <w:tc>
          <w:tcPr>
            <w:tcW w:w="2100" w:type="dxa"/>
            <w:vAlign w:val="center"/>
          </w:tcPr>
          <w:p w:rsidR="00972987" w:rsidRPr="00DE7F01" w:rsidRDefault="00972987" w:rsidP="0043092C">
            <w:pPr>
              <w:keepNext/>
              <w:keepLines/>
              <w:autoSpaceDE w:val="0"/>
              <w:autoSpaceDN w:val="0"/>
              <w:adjustRightInd w:val="0"/>
              <w:rPr>
                <w:rFonts w:eastAsiaTheme="minorEastAsia"/>
                <w:bCs/>
                <w:color w:val="000000"/>
                <w:sz w:val="20"/>
              </w:rPr>
            </w:pPr>
            <w:r w:rsidRPr="00DE7F01">
              <w:rPr>
                <w:rFonts w:eastAsiaTheme="minorEastAsia"/>
                <w:bCs/>
                <w:color w:val="000000"/>
                <w:sz w:val="20"/>
              </w:rPr>
              <w:t>South Asia</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65</w:t>
            </w:r>
          </w:p>
        </w:tc>
        <w:tc>
          <w:tcPr>
            <w:tcW w:w="1001"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73</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64</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91</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90</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96</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39</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62</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0</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141</w:t>
            </w:r>
          </w:p>
        </w:tc>
      </w:tr>
      <w:tr w:rsidR="00972987" w:rsidRPr="007B268A">
        <w:trPr>
          <w:trHeight w:val="290"/>
        </w:trPr>
        <w:tc>
          <w:tcPr>
            <w:tcW w:w="2100" w:type="dxa"/>
            <w:vAlign w:val="center"/>
          </w:tcPr>
          <w:p w:rsidR="00972987" w:rsidRPr="00DE7F01" w:rsidRDefault="00972987" w:rsidP="0043092C">
            <w:pPr>
              <w:keepNext/>
              <w:keepLines/>
              <w:autoSpaceDE w:val="0"/>
              <w:autoSpaceDN w:val="0"/>
              <w:adjustRightInd w:val="0"/>
              <w:rPr>
                <w:rFonts w:eastAsiaTheme="minorEastAsia"/>
                <w:bCs/>
                <w:color w:val="000000"/>
                <w:sz w:val="20"/>
              </w:rPr>
            </w:pPr>
            <w:r w:rsidRPr="00DE7F01">
              <w:rPr>
                <w:rFonts w:eastAsiaTheme="minorEastAsia"/>
                <w:bCs/>
                <w:color w:val="000000"/>
                <w:sz w:val="20"/>
              </w:rPr>
              <w:t>Sub-Saharan Africa</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41</w:t>
            </w:r>
          </w:p>
        </w:tc>
        <w:tc>
          <w:tcPr>
            <w:tcW w:w="1001"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47</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29</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51</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61</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70</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30</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45</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3</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122</w:t>
            </w:r>
          </w:p>
        </w:tc>
      </w:tr>
      <w:tr w:rsidR="00972987" w:rsidRPr="007B268A">
        <w:trPr>
          <w:trHeight w:val="290"/>
        </w:trPr>
        <w:tc>
          <w:tcPr>
            <w:tcW w:w="2100" w:type="dxa"/>
            <w:vAlign w:val="center"/>
          </w:tcPr>
          <w:p w:rsidR="00972987" w:rsidRPr="00DE7F01" w:rsidRDefault="00972987" w:rsidP="0043092C">
            <w:pPr>
              <w:keepNext/>
              <w:keepLines/>
              <w:autoSpaceDE w:val="0"/>
              <w:autoSpaceDN w:val="0"/>
              <w:adjustRightInd w:val="0"/>
              <w:rPr>
                <w:rFonts w:eastAsiaTheme="minorEastAsia"/>
                <w:bCs/>
                <w:color w:val="000000"/>
                <w:sz w:val="20"/>
              </w:rPr>
            </w:pPr>
            <w:r w:rsidRPr="00DE7F01">
              <w:rPr>
                <w:rFonts w:eastAsiaTheme="minorEastAsia"/>
                <w:bCs/>
                <w:color w:val="000000"/>
                <w:sz w:val="20"/>
              </w:rPr>
              <w:t>High-income countries</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93</w:t>
            </w:r>
          </w:p>
        </w:tc>
        <w:tc>
          <w:tcPr>
            <w:tcW w:w="1001"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97</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98</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98</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99</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99</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99</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97</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57</w:t>
            </w:r>
          </w:p>
        </w:tc>
        <w:tc>
          <w:tcPr>
            <w:tcW w:w="7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149</w:t>
            </w:r>
          </w:p>
        </w:tc>
      </w:tr>
      <w:tr w:rsidR="00972987" w:rsidRPr="007B268A">
        <w:trPr>
          <w:trHeight w:val="290"/>
        </w:trPr>
        <w:tc>
          <w:tcPr>
            <w:tcW w:w="9545" w:type="dxa"/>
            <w:gridSpan w:val="11"/>
            <w:shd w:val="clear" w:color="969696" w:fill="D9D9D9" w:themeFill="background1" w:themeFillShade="D9"/>
            <w:vAlign w:val="center"/>
          </w:tcPr>
          <w:p w:rsidR="00972987" w:rsidRPr="007B268A" w:rsidRDefault="00972987" w:rsidP="0043092C">
            <w:pPr>
              <w:keepNext/>
              <w:keepLines/>
              <w:autoSpaceDE w:val="0"/>
              <w:autoSpaceDN w:val="0"/>
              <w:adjustRightInd w:val="0"/>
              <w:jc w:val="center"/>
              <w:rPr>
                <w:rFonts w:eastAsiaTheme="minorEastAsia"/>
                <w:b/>
                <w:bCs/>
                <w:color w:val="000000"/>
                <w:sz w:val="20"/>
              </w:rPr>
            </w:pPr>
          </w:p>
        </w:tc>
      </w:tr>
      <w:tr w:rsidR="00972987" w:rsidRPr="007B268A">
        <w:trPr>
          <w:trHeight w:val="305"/>
        </w:trPr>
        <w:tc>
          <w:tcPr>
            <w:tcW w:w="2100" w:type="dxa"/>
            <w:vAlign w:val="center"/>
          </w:tcPr>
          <w:p w:rsidR="00972987" w:rsidRPr="00DE7F01" w:rsidRDefault="00972987" w:rsidP="0043092C">
            <w:pPr>
              <w:autoSpaceDE w:val="0"/>
              <w:autoSpaceDN w:val="0"/>
              <w:adjustRightInd w:val="0"/>
              <w:rPr>
                <w:rFonts w:eastAsiaTheme="minorEastAsia"/>
                <w:bCs/>
                <w:color w:val="000000"/>
                <w:sz w:val="20"/>
              </w:rPr>
            </w:pPr>
            <w:r w:rsidRPr="00DE7F01">
              <w:rPr>
                <w:rFonts w:eastAsiaTheme="minorEastAsia"/>
                <w:bCs/>
                <w:color w:val="000000"/>
                <w:sz w:val="20"/>
              </w:rPr>
              <w:t>World</w:t>
            </w:r>
          </w:p>
        </w:tc>
        <w:tc>
          <w:tcPr>
            <w:tcW w:w="716" w:type="dxa"/>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rFonts w:eastAsiaTheme="minorEastAsia"/>
                <w:color w:val="000000"/>
                <w:sz w:val="20"/>
              </w:rPr>
              <w:t>71</w:t>
            </w:r>
          </w:p>
        </w:tc>
        <w:tc>
          <w:tcPr>
            <w:tcW w:w="1001" w:type="dxa"/>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rFonts w:eastAsiaTheme="minorEastAsia"/>
                <w:color w:val="000000"/>
                <w:sz w:val="20"/>
              </w:rPr>
              <w:t>74</w:t>
            </w:r>
          </w:p>
        </w:tc>
        <w:tc>
          <w:tcPr>
            <w:tcW w:w="716" w:type="dxa"/>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rFonts w:eastAsiaTheme="minorEastAsia"/>
                <w:color w:val="000000"/>
                <w:sz w:val="20"/>
              </w:rPr>
              <w:t>78</w:t>
            </w:r>
          </w:p>
        </w:tc>
        <w:tc>
          <w:tcPr>
            <w:tcW w:w="716" w:type="dxa"/>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rFonts w:eastAsiaTheme="minorEastAsia"/>
                <w:color w:val="000000"/>
                <w:sz w:val="20"/>
              </w:rPr>
              <w:t>87</w:t>
            </w:r>
          </w:p>
        </w:tc>
        <w:tc>
          <w:tcPr>
            <w:tcW w:w="716" w:type="dxa"/>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rFonts w:eastAsiaTheme="minorEastAsia"/>
                <w:color w:val="000000"/>
                <w:sz w:val="20"/>
              </w:rPr>
              <w:t>88</w:t>
            </w:r>
          </w:p>
        </w:tc>
        <w:tc>
          <w:tcPr>
            <w:tcW w:w="716" w:type="dxa"/>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rFonts w:eastAsiaTheme="minorEastAsia"/>
                <w:color w:val="000000"/>
                <w:sz w:val="20"/>
              </w:rPr>
              <w:t>92</w:t>
            </w:r>
          </w:p>
        </w:tc>
        <w:tc>
          <w:tcPr>
            <w:tcW w:w="716" w:type="dxa"/>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rFonts w:eastAsiaTheme="minorEastAsia"/>
                <w:color w:val="000000"/>
                <w:sz w:val="20"/>
              </w:rPr>
              <w:t>64</w:t>
            </w:r>
          </w:p>
        </w:tc>
        <w:tc>
          <w:tcPr>
            <w:tcW w:w="716" w:type="dxa"/>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rFonts w:eastAsiaTheme="minorEastAsia"/>
                <w:color w:val="000000"/>
                <w:sz w:val="20"/>
              </w:rPr>
              <w:t>74</w:t>
            </w:r>
          </w:p>
        </w:tc>
        <w:tc>
          <w:tcPr>
            <w:tcW w:w="716" w:type="dxa"/>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rFonts w:eastAsiaTheme="minorEastAsia"/>
                <w:color w:val="000000"/>
                <w:sz w:val="20"/>
              </w:rPr>
              <w:t>13</w:t>
            </w:r>
          </w:p>
        </w:tc>
        <w:tc>
          <w:tcPr>
            <w:tcW w:w="716" w:type="dxa"/>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rFonts w:eastAsiaTheme="minorEastAsia"/>
                <w:color w:val="000000"/>
                <w:sz w:val="20"/>
              </w:rPr>
              <w:t>131</w:t>
            </w:r>
          </w:p>
        </w:tc>
      </w:tr>
      <w:tr w:rsidR="00972987" w:rsidRPr="007B268A">
        <w:trPr>
          <w:trHeight w:val="305"/>
        </w:trPr>
        <w:tc>
          <w:tcPr>
            <w:tcW w:w="9545" w:type="dxa"/>
            <w:gridSpan w:val="11"/>
            <w:vAlign w:val="center"/>
          </w:tcPr>
          <w:p w:rsidR="00972987" w:rsidRPr="007B268A" w:rsidRDefault="00972987" w:rsidP="0043092C">
            <w:pPr>
              <w:autoSpaceDE w:val="0"/>
              <w:autoSpaceDN w:val="0"/>
              <w:adjustRightInd w:val="0"/>
              <w:rPr>
                <w:rFonts w:eastAsiaTheme="minorEastAsia"/>
                <w:color w:val="000000"/>
                <w:sz w:val="20"/>
              </w:rPr>
            </w:pPr>
            <w:r w:rsidRPr="007B268A">
              <w:rPr>
                <w:i/>
                <w:color w:val="000000"/>
                <w:sz w:val="20"/>
              </w:rPr>
              <w:t>Source</w:t>
            </w:r>
            <w:r w:rsidRPr="007B268A">
              <w:rPr>
                <w:color w:val="000000"/>
                <w:sz w:val="20"/>
              </w:rPr>
              <w:t>: IFs v6.57</w:t>
            </w:r>
          </w:p>
        </w:tc>
      </w:tr>
    </w:tbl>
    <w:p w:rsidR="00972987" w:rsidRPr="007B268A" w:rsidRDefault="00972987" w:rsidP="00972987"/>
    <w:p w:rsidR="00972987" w:rsidRPr="007B268A" w:rsidRDefault="00972987" w:rsidP="00972987">
      <w:r w:rsidRPr="007B268A">
        <w:t xml:space="preserve">The additional development required generally increases as we move from the High- to the Low-income economies, but the size of the challenge becomes most apparent when we look at individual countries (Table 6.2). Chad and Madagascar stand out in ranking among the 10 countries with the largest gaps to overcome in almost all infrastructure categories. Chad would need to provide access to an additional 82, 85, 41, and 75 percent of their population in 2030 compared to the </w:t>
      </w:r>
      <w:r>
        <w:t>b</w:t>
      </w:r>
      <w:r w:rsidRPr="007B268A">
        <w:t xml:space="preserve">ase </w:t>
      </w:r>
      <w:r>
        <w:t>c</w:t>
      </w:r>
      <w:r w:rsidRPr="007B268A">
        <w:t xml:space="preserve">ase to achieve universal access to all-season roads, electricity, water, and sanitation, respectively. For Madagascar, these numbers are 73, 40, 43, and 80 percent. Combine this with the fact that both of these countries, like many, had at least one year in which they were unable to meet the demand for infrastructure even in the </w:t>
      </w:r>
      <w:r>
        <w:t>b</w:t>
      </w:r>
      <w:r w:rsidRPr="007B268A">
        <w:t xml:space="preserve">ase </w:t>
      </w:r>
      <w:r>
        <w:t>c</w:t>
      </w:r>
      <w:r w:rsidRPr="007B268A">
        <w:t>ase, and we may question the viability of the universal targets.</w:t>
      </w:r>
    </w:p>
    <w:p w:rsidR="00972987" w:rsidRPr="007B268A" w:rsidRDefault="00972987" w:rsidP="00972987"/>
    <w:tbl>
      <w:tblPr>
        <w:tblW w:w="927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290"/>
        <w:gridCol w:w="516"/>
        <w:gridCol w:w="1194"/>
        <w:gridCol w:w="516"/>
        <w:gridCol w:w="1374"/>
        <w:gridCol w:w="516"/>
        <w:gridCol w:w="1389"/>
        <w:gridCol w:w="516"/>
        <w:gridCol w:w="1449"/>
        <w:gridCol w:w="516"/>
      </w:tblGrid>
      <w:tr w:rsidR="00972987" w:rsidRPr="007B268A">
        <w:trPr>
          <w:trHeight w:val="290"/>
          <w:jc w:val="center"/>
        </w:trPr>
        <w:tc>
          <w:tcPr>
            <w:tcW w:w="9276" w:type="dxa"/>
            <w:gridSpan w:val="10"/>
            <w:vAlign w:val="center"/>
          </w:tcPr>
          <w:p w:rsidR="00972987" w:rsidRPr="007B268A" w:rsidRDefault="00972987" w:rsidP="0043092C">
            <w:pPr>
              <w:keepNext/>
              <w:keepLines/>
              <w:autoSpaceDE w:val="0"/>
              <w:autoSpaceDN w:val="0"/>
              <w:adjustRightInd w:val="0"/>
              <w:rPr>
                <w:rFonts w:eastAsiaTheme="minorEastAsia"/>
                <w:b/>
                <w:color w:val="000000"/>
                <w:sz w:val="20"/>
              </w:rPr>
            </w:pPr>
            <w:r w:rsidRPr="007B268A">
              <w:rPr>
                <w:rFonts w:eastAsiaTheme="minorEastAsia"/>
                <w:b/>
                <w:color w:val="000000"/>
                <w:sz w:val="20"/>
              </w:rPr>
              <w:t>Table 6.2 Countries with largest gaps to fill for targeted infrastructure</w:t>
            </w:r>
          </w:p>
        </w:tc>
      </w:tr>
      <w:tr w:rsidR="00972987" w:rsidRPr="007B268A">
        <w:trPr>
          <w:trHeight w:val="290"/>
          <w:jc w:val="center"/>
        </w:trPr>
        <w:tc>
          <w:tcPr>
            <w:tcW w:w="9276" w:type="dxa"/>
            <w:gridSpan w:val="10"/>
            <w:vAlign w:val="center"/>
          </w:tcPr>
          <w:p w:rsidR="00972987" w:rsidRPr="007B268A" w:rsidRDefault="00972987" w:rsidP="0043092C">
            <w:pPr>
              <w:keepNext/>
              <w:keepLines/>
              <w:autoSpaceDE w:val="0"/>
              <w:autoSpaceDN w:val="0"/>
              <w:adjustRightInd w:val="0"/>
              <w:jc w:val="center"/>
              <w:rPr>
                <w:color w:val="000000"/>
                <w:sz w:val="20"/>
              </w:rPr>
            </w:pPr>
            <w:r w:rsidRPr="007B268A">
              <w:rPr>
                <w:color w:val="000000"/>
                <w:sz w:val="20"/>
              </w:rPr>
              <w:t xml:space="preserve">Country and access rate in 2030 in </w:t>
            </w:r>
            <w:r>
              <w:rPr>
                <w:color w:val="000000"/>
                <w:sz w:val="20"/>
              </w:rPr>
              <w:t>base case</w:t>
            </w:r>
          </w:p>
        </w:tc>
      </w:tr>
      <w:tr w:rsidR="00972987" w:rsidRPr="007B268A">
        <w:trPr>
          <w:trHeight w:val="290"/>
          <w:jc w:val="center"/>
        </w:trPr>
        <w:tc>
          <w:tcPr>
            <w:tcW w:w="1806" w:type="dxa"/>
            <w:gridSpan w:val="2"/>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rFonts w:eastAsiaTheme="minorEastAsia"/>
                <w:color w:val="000000"/>
                <w:sz w:val="20"/>
              </w:rPr>
              <w:t>Roads</w:t>
            </w:r>
          </w:p>
        </w:tc>
        <w:tc>
          <w:tcPr>
            <w:tcW w:w="1710" w:type="dxa"/>
            <w:gridSpan w:val="2"/>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rFonts w:eastAsiaTheme="minorEastAsia"/>
                <w:color w:val="000000"/>
                <w:sz w:val="20"/>
              </w:rPr>
              <w:t>Electricity</w:t>
            </w:r>
          </w:p>
        </w:tc>
        <w:tc>
          <w:tcPr>
            <w:tcW w:w="1890" w:type="dxa"/>
            <w:gridSpan w:val="2"/>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rFonts w:eastAsiaTheme="minorEastAsia"/>
                <w:color w:val="000000"/>
                <w:sz w:val="20"/>
              </w:rPr>
              <w:t>Water</w:t>
            </w:r>
          </w:p>
        </w:tc>
        <w:tc>
          <w:tcPr>
            <w:tcW w:w="1905" w:type="dxa"/>
            <w:gridSpan w:val="2"/>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rFonts w:eastAsiaTheme="minorEastAsia"/>
                <w:color w:val="000000"/>
                <w:sz w:val="20"/>
              </w:rPr>
              <w:t>Sanitation</w:t>
            </w:r>
          </w:p>
        </w:tc>
        <w:tc>
          <w:tcPr>
            <w:tcW w:w="1965" w:type="dxa"/>
            <w:gridSpan w:val="2"/>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rFonts w:eastAsiaTheme="minorEastAsia"/>
                <w:color w:val="000000"/>
                <w:sz w:val="20"/>
              </w:rPr>
              <w:t>ICT</w:t>
            </w:r>
          </w:p>
        </w:tc>
      </w:tr>
      <w:tr w:rsidR="00972987" w:rsidRPr="007B268A">
        <w:trPr>
          <w:trHeight w:val="290"/>
          <w:jc w:val="center"/>
        </w:trPr>
        <w:tc>
          <w:tcPr>
            <w:tcW w:w="1290"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Chad</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18</w:t>
            </w:r>
          </w:p>
        </w:tc>
        <w:tc>
          <w:tcPr>
            <w:tcW w:w="1194"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color w:val="000000"/>
                <w:sz w:val="20"/>
              </w:rPr>
              <w:t>Burundi</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6</w:t>
            </w:r>
          </w:p>
        </w:tc>
        <w:tc>
          <w:tcPr>
            <w:tcW w:w="1374"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Somalia</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54</w:t>
            </w:r>
          </w:p>
        </w:tc>
        <w:tc>
          <w:tcPr>
            <w:tcW w:w="1389"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Niger</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19</w:t>
            </w:r>
          </w:p>
        </w:tc>
        <w:tc>
          <w:tcPr>
            <w:tcW w:w="1449"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Somalia</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39</w:t>
            </w:r>
          </w:p>
        </w:tc>
      </w:tr>
      <w:tr w:rsidR="00972987" w:rsidRPr="007B268A">
        <w:trPr>
          <w:trHeight w:val="290"/>
          <w:jc w:val="center"/>
        </w:trPr>
        <w:tc>
          <w:tcPr>
            <w:tcW w:w="1290"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Burundi</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24</w:t>
            </w:r>
          </w:p>
        </w:tc>
        <w:tc>
          <w:tcPr>
            <w:tcW w:w="1194"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color w:val="000000"/>
                <w:sz w:val="20"/>
              </w:rPr>
              <w:t>Chad</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15</w:t>
            </w:r>
          </w:p>
        </w:tc>
        <w:tc>
          <w:tcPr>
            <w:tcW w:w="1374"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Madagascar</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57</w:t>
            </w:r>
          </w:p>
        </w:tc>
        <w:tc>
          <w:tcPr>
            <w:tcW w:w="1389"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Togo</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20</w:t>
            </w:r>
          </w:p>
        </w:tc>
        <w:tc>
          <w:tcPr>
            <w:tcW w:w="1449"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Myanmar</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44</w:t>
            </w:r>
          </w:p>
        </w:tc>
      </w:tr>
      <w:tr w:rsidR="00972987" w:rsidRPr="007B268A">
        <w:trPr>
          <w:trHeight w:val="290"/>
          <w:jc w:val="center"/>
        </w:trPr>
        <w:tc>
          <w:tcPr>
            <w:tcW w:w="1290"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Mali</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24</w:t>
            </w:r>
          </w:p>
        </w:tc>
        <w:tc>
          <w:tcPr>
            <w:tcW w:w="1194"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color w:val="000000"/>
                <w:sz w:val="20"/>
              </w:rPr>
              <w:t>Central AfR</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16</w:t>
            </w:r>
          </w:p>
        </w:tc>
        <w:tc>
          <w:tcPr>
            <w:tcW w:w="1374"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Ethiopia</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57</w:t>
            </w:r>
          </w:p>
        </w:tc>
        <w:tc>
          <w:tcPr>
            <w:tcW w:w="1389"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Madagascar</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20</w:t>
            </w:r>
          </w:p>
        </w:tc>
        <w:tc>
          <w:tcPr>
            <w:tcW w:w="1449"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Eritrea</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60</w:t>
            </w:r>
          </w:p>
        </w:tc>
      </w:tr>
      <w:tr w:rsidR="00972987" w:rsidRPr="007B268A">
        <w:trPr>
          <w:trHeight w:val="290"/>
          <w:jc w:val="center"/>
        </w:trPr>
        <w:tc>
          <w:tcPr>
            <w:tcW w:w="1290"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Togo</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27</w:t>
            </w:r>
          </w:p>
        </w:tc>
        <w:tc>
          <w:tcPr>
            <w:tcW w:w="1194"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color w:val="000000"/>
                <w:sz w:val="20"/>
              </w:rPr>
              <w:t>Comoros</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18</w:t>
            </w:r>
          </w:p>
        </w:tc>
        <w:tc>
          <w:tcPr>
            <w:tcW w:w="1374"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Papua NG</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58</w:t>
            </w:r>
          </w:p>
        </w:tc>
        <w:tc>
          <w:tcPr>
            <w:tcW w:w="1389"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Haiti</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21</w:t>
            </w:r>
          </w:p>
        </w:tc>
        <w:tc>
          <w:tcPr>
            <w:tcW w:w="1449"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Korea North</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73</w:t>
            </w:r>
          </w:p>
        </w:tc>
      </w:tr>
      <w:tr w:rsidR="00972987" w:rsidRPr="007B268A">
        <w:trPr>
          <w:trHeight w:val="290"/>
          <w:jc w:val="center"/>
        </w:trPr>
        <w:tc>
          <w:tcPr>
            <w:tcW w:w="1290"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Madagascar</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27</w:t>
            </w:r>
          </w:p>
        </w:tc>
        <w:tc>
          <w:tcPr>
            <w:tcW w:w="1194"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color w:val="000000"/>
                <w:sz w:val="20"/>
              </w:rPr>
              <w:t>GuineaBiss</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19</w:t>
            </w:r>
          </w:p>
        </w:tc>
        <w:tc>
          <w:tcPr>
            <w:tcW w:w="1374"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Chad</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59</w:t>
            </w:r>
          </w:p>
        </w:tc>
        <w:tc>
          <w:tcPr>
            <w:tcW w:w="1389"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Eritrea</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23</w:t>
            </w:r>
          </w:p>
        </w:tc>
        <w:tc>
          <w:tcPr>
            <w:tcW w:w="1449"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Solomon Islands</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81</w:t>
            </w:r>
          </w:p>
        </w:tc>
      </w:tr>
      <w:tr w:rsidR="00972987" w:rsidRPr="007B268A">
        <w:trPr>
          <w:trHeight w:val="290"/>
          <w:jc w:val="center"/>
        </w:trPr>
        <w:tc>
          <w:tcPr>
            <w:tcW w:w="1290"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Guinea</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28</w:t>
            </w:r>
          </w:p>
        </w:tc>
        <w:tc>
          <w:tcPr>
            <w:tcW w:w="1194"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color w:val="000000"/>
                <w:sz w:val="20"/>
              </w:rPr>
              <w:t>Malawi</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20</w:t>
            </w:r>
          </w:p>
        </w:tc>
        <w:tc>
          <w:tcPr>
            <w:tcW w:w="1374"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Niger</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59</w:t>
            </w:r>
          </w:p>
        </w:tc>
        <w:tc>
          <w:tcPr>
            <w:tcW w:w="1389"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Chad</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25</w:t>
            </w:r>
          </w:p>
        </w:tc>
        <w:tc>
          <w:tcPr>
            <w:tcW w:w="1449"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Madagascar</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83</w:t>
            </w:r>
          </w:p>
        </w:tc>
      </w:tr>
      <w:tr w:rsidR="00972987" w:rsidRPr="007B268A">
        <w:trPr>
          <w:trHeight w:val="290"/>
          <w:jc w:val="center"/>
        </w:trPr>
        <w:tc>
          <w:tcPr>
            <w:tcW w:w="1290"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Cameroon</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29</w:t>
            </w:r>
          </w:p>
        </w:tc>
        <w:tc>
          <w:tcPr>
            <w:tcW w:w="1194"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color w:val="000000"/>
                <w:sz w:val="20"/>
              </w:rPr>
              <w:t>Niger</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21</w:t>
            </w:r>
          </w:p>
        </w:tc>
        <w:tc>
          <w:tcPr>
            <w:tcW w:w="1374"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Haiti</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60</w:t>
            </w:r>
          </w:p>
        </w:tc>
        <w:tc>
          <w:tcPr>
            <w:tcW w:w="1389"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GuineaBiss</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25</w:t>
            </w:r>
          </w:p>
        </w:tc>
        <w:tc>
          <w:tcPr>
            <w:tcW w:w="1449"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St. Vincent and the Grenadines</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86</w:t>
            </w:r>
          </w:p>
        </w:tc>
      </w:tr>
      <w:tr w:rsidR="00972987" w:rsidRPr="007B268A">
        <w:trPr>
          <w:trHeight w:val="290"/>
          <w:jc w:val="center"/>
        </w:trPr>
        <w:tc>
          <w:tcPr>
            <w:tcW w:w="1290"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Yemen</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31</w:t>
            </w:r>
          </w:p>
        </w:tc>
        <w:tc>
          <w:tcPr>
            <w:tcW w:w="1194"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color w:val="000000"/>
                <w:sz w:val="20"/>
              </w:rPr>
              <w:t>Somalia</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21</w:t>
            </w:r>
          </w:p>
        </w:tc>
        <w:tc>
          <w:tcPr>
            <w:tcW w:w="1374"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Afghanistan</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61</w:t>
            </w:r>
          </w:p>
        </w:tc>
        <w:tc>
          <w:tcPr>
            <w:tcW w:w="1389"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Burkina Faso</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27</w:t>
            </w:r>
          </w:p>
        </w:tc>
        <w:tc>
          <w:tcPr>
            <w:tcW w:w="1449"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Sao Tome and Principe</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87</w:t>
            </w:r>
          </w:p>
        </w:tc>
      </w:tr>
      <w:tr w:rsidR="00972987" w:rsidRPr="007B268A">
        <w:trPr>
          <w:trHeight w:val="290"/>
          <w:jc w:val="center"/>
        </w:trPr>
        <w:tc>
          <w:tcPr>
            <w:tcW w:w="1290"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Congo, Democratic Republic of</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32</w:t>
            </w:r>
          </w:p>
        </w:tc>
        <w:tc>
          <w:tcPr>
            <w:tcW w:w="1194"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color w:val="000000"/>
                <w:sz w:val="20"/>
              </w:rPr>
              <w:t>Burkina Faso</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22</w:t>
            </w:r>
          </w:p>
        </w:tc>
        <w:tc>
          <w:tcPr>
            <w:tcW w:w="1374"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Mozambique</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62</w:t>
            </w:r>
          </w:p>
        </w:tc>
        <w:tc>
          <w:tcPr>
            <w:tcW w:w="1389"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Benin</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28</w:t>
            </w:r>
          </w:p>
        </w:tc>
        <w:tc>
          <w:tcPr>
            <w:tcW w:w="1449"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St. Lucia</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87</w:t>
            </w:r>
          </w:p>
        </w:tc>
      </w:tr>
      <w:tr w:rsidR="00972987" w:rsidRPr="007B268A">
        <w:trPr>
          <w:trHeight w:val="290"/>
          <w:jc w:val="center"/>
        </w:trPr>
        <w:tc>
          <w:tcPr>
            <w:tcW w:w="1290"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Eritrea</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32</w:t>
            </w:r>
          </w:p>
        </w:tc>
        <w:tc>
          <w:tcPr>
            <w:tcW w:w="1194"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color w:val="000000"/>
                <w:sz w:val="20"/>
              </w:rPr>
              <w:t>Rwanda</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22</w:t>
            </w:r>
          </w:p>
        </w:tc>
        <w:tc>
          <w:tcPr>
            <w:tcW w:w="1374"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Congo, Democratic Republic of</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63</w:t>
            </w:r>
          </w:p>
        </w:tc>
        <w:tc>
          <w:tcPr>
            <w:tcW w:w="1389"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SierraLeo</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29</w:t>
            </w:r>
          </w:p>
        </w:tc>
        <w:tc>
          <w:tcPr>
            <w:tcW w:w="1449" w:type="dxa"/>
            <w:vAlign w:val="center"/>
          </w:tcPr>
          <w:p w:rsidR="00972987" w:rsidRPr="007B268A" w:rsidRDefault="00972987" w:rsidP="0043092C">
            <w:pPr>
              <w:keepNext/>
              <w:keepLines/>
              <w:autoSpaceDE w:val="0"/>
              <w:autoSpaceDN w:val="0"/>
              <w:adjustRightInd w:val="0"/>
              <w:rPr>
                <w:rFonts w:eastAsiaTheme="minorEastAsia"/>
                <w:color w:val="000000"/>
                <w:sz w:val="20"/>
              </w:rPr>
            </w:pPr>
            <w:r w:rsidRPr="007B268A">
              <w:rPr>
                <w:rFonts w:eastAsiaTheme="minorEastAsia"/>
                <w:color w:val="000000"/>
                <w:sz w:val="20"/>
              </w:rPr>
              <w:t>Malawi</w:t>
            </w:r>
          </w:p>
        </w:tc>
        <w:tc>
          <w:tcPr>
            <w:tcW w:w="516" w:type="dxa"/>
            <w:vAlign w:val="center"/>
          </w:tcPr>
          <w:p w:rsidR="00972987" w:rsidRPr="007B268A" w:rsidRDefault="00972987" w:rsidP="0043092C">
            <w:pPr>
              <w:keepNext/>
              <w:keepLines/>
              <w:autoSpaceDE w:val="0"/>
              <w:autoSpaceDN w:val="0"/>
              <w:adjustRightInd w:val="0"/>
              <w:jc w:val="center"/>
              <w:rPr>
                <w:rFonts w:eastAsiaTheme="minorEastAsia"/>
                <w:color w:val="000000"/>
                <w:sz w:val="20"/>
              </w:rPr>
            </w:pPr>
            <w:r w:rsidRPr="007B268A">
              <w:rPr>
                <w:color w:val="000000"/>
                <w:sz w:val="20"/>
              </w:rPr>
              <w:t>90</w:t>
            </w:r>
          </w:p>
        </w:tc>
      </w:tr>
      <w:tr w:rsidR="00972987" w:rsidRPr="007B268A">
        <w:trPr>
          <w:trHeight w:val="290"/>
          <w:jc w:val="center"/>
        </w:trPr>
        <w:tc>
          <w:tcPr>
            <w:tcW w:w="9276" w:type="dxa"/>
            <w:gridSpan w:val="10"/>
            <w:vAlign w:val="center"/>
          </w:tcPr>
          <w:p w:rsidR="00972987" w:rsidRPr="007B268A" w:rsidRDefault="00972987" w:rsidP="0043092C">
            <w:pPr>
              <w:autoSpaceDE w:val="0"/>
              <w:autoSpaceDN w:val="0"/>
              <w:adjustRightInd w:val="0"/>
              <w:rPr>
                <w:color w:val="000000"/>
                <w:sz w:val="20"/>
              </w:rPr>
            </w:pPr>
            <w:r w:rsidRPr="007B268A">
              <w:rPr>
                <w:i/>
                <w:color w:val="000000"/>
                <w:sz w:val="20"/>
              </w:rPr>
              <w:t>Source</w:t>
            </w:r>
            <w:r w:rsidRPr="007B268A">
              <w:rPr>
                <w:color w:val="000000"/>
                <w:sz w:val="20"/>
              </w:rPr>
              <w:t xml:space="preserve">: </w:t>
            </w:r>
            <w:r w:rsidRPr="007B268A">
              <w:rPr>
                <w:i/>
                <w:color w:val="000000"/>
                <w:sz w:val="20"/>
              </w:rPr>
              <w:t>IFs v6.57, 23 May 2012</w:t>
            </w:r>
          </w:p>
        </w:tc>
      </w:tr>
    </w:tbl>
    <w:p w:rsidR="00972987" w:rsidRPr="007B268A" w:rsidRDefault="00972987" w:rsidP="00972987"/>
    <w:p w:rsidR="00972987" w:rsidRPr="007B268A" w:rsidRDefault="00972987" w:rsidP="00972987">
      <w:r w:rsidRPr="007B268A">
        <w:t>Why are many countries likely to fail to meet infrastructure targets given our current paths?</w:t>
      </w:r>
      <w:r>
        <w:t xml:space="preserve"> </w:t>
      </w:r>
      <w:r w:rsidRPr="007B268A">
        <w:t>Some reasons could simply be artifacts of our modeling and forecasting.</w:t>
      </w:r>
      <w:r>
        <w:t xml:space="preserve"> </w:t>
      </w:r>
      <w:r w:rsidRPr="007B268A">
        <w:t>For instance:</w:t>
      </w:r>
    </w:p>
    <w:p w:rsidR="00972987" w:rsidRPr="007B268A" w:rsidRDefault="00972987" w:rsidP="00972987"/>
    <w:p w:rsidR="00972987" w:rsidRPr="007B268A" w:rsidRDefault="00972987" w:rsidP="00972987">
      <w:pPr>
        <w:pStyle w:val="ListParagraph"/>
        <w:numPr>
          <w:ilvl w:val="0"/>
          <w:numId w:val="26"/>
        </w:numPr>
      </w:pPr>
      <w:r w:rsidRPr="007B268A">
        <w:rPr>
          <w:i/>
        </w:rPr>
        <w:t>Conservatism in the model’s demand equations</w:t>
      </w:r>
      <w:r w:rsidRPr="007B268A">
        <w:t>: In Chapter 4, we cautioned the reader about the proper interpretation of our infrastructure demand equations. These are based upon historical levels of infrastructure, which reflect both the actual underlying demand for infrastructure and the ability to provide this infrastructure. To the extent that the historical levels were limited by financial constraints, then the equations underestimate these "actual" demands.</w:t>
      </w:r>
      <w:r w:rsidRPr="007B268A">
        <w:rPr>
          <w:rStyle w:val="FootnoteReference"/>
        </w:rPr>
        <w:footnoteReference w:id="98"/>
      </w:r>
      <w:r w:rsidRPr="007B268A">
        <w:t xml:space="preserve"> In our </w:t>
      </w:r>
      <w:r>
        <w:t>Base case</w:t>
      </w:r>
      <w:r w:rsidRPr="007B268A">
        <w:t xml:space="preserve">, we saw that some countries face larger financial constraints in the future than in the past, i.e., it was not possible to meet even the level of demand estimated in that </w:t>
      </w:r>
      <w:r>
        <w:t>Base case</w:t>
      </w:r>
      <w:r w:rsidRPr="007B268A">
        <w:t xml:space="preserve">. For other countries, this did not occur, which could imply a relaxation of the financial constraints compared to the historical period. Without being able to specify the actual demand, however, we had no basis upon which to estimate the amount of increase in the provision of infrastructure. Thus, our </w:t>
      </w:r>
      <w:r>
        <w:t>Base case</w:t>
      </w:r>
      <w:r w:rsidRPr="007B268A">
        <w:t xml:space="preserve"> forecasts of infrastructure and access may be biased downward and away from targets for these countries.</w:t>
      </w:r>
    </w:p>
    <w:p w:rsidR="00972987" w:rsidRPr="007B268A" w:rsidRDefault="00972987" w:rsidP="00972987"/>
    <w:p w:rsidR="00972987" w:rsidRPr="007B268A" w:rsidRDefault="00972987" w:rsidP="00972987">
      <w:pPr>
        <w:pStyle w:val="ListParagraph"/>
        <w:numPr>
          <w:ilvl w:val="0"/>
          <w:numId w:val="26"/>
        </w:numPr>
      </w:pPr>
      <w:r w:rsidRPr="007B268A">
        <w:rPr>
          <w:i/>
        </w:rPr>
        <w:t>Fixed assumptions related to ODA, FDI, and private sector contributions to infrastructure</w:t>
      </w:r>
      <w:r w:rsidRPr="007B268A">
        <w:t>:</w:t>
      </w:r>
      <w:r w:rsidRPr="007B268A">
        <w:rPr>
          <w:i/>
        </w:rPr>
        <w:t xml:space="preserve"> </w:t>
      </w:r>
      <w:r w:rsidRPr="007B268A">
        <w:t xml:space="preserve">The </w:t>
      </w:r>
      <w:r>
        <w:t>base case</w:t>
      </w:r>
      <w:r w:rsidRPr="007B268A">
        <w:t xml:space="preserve"> assumes that the official development assistance, foreign direct investment, and the contribution of the domestic private sector to infrastructure spending follow historical patterns in their relationship to public spending. It is possible that these relationships are also conservative, although we believe them not to be. </w:t>
      </w:r>
    </w:p>
    <w:p w:rsidR="00972987" w:rsidRPr="007B268A" w:rsidRDefault="00972987" w:rsidP="00972987"/>
    <w:p w:rsidR="00972987" w:rsidRPr="007B268A" w:rsidRDefault="00972987" w:rsidP="00972987">
      <w:r w:rsidRPr="007B268A">
        <w:t xml:space="preserve">Other reasons for missing targets in the </w:t>
      </w:r>
      <w:r>
        <w:t>base case</w:t>
      </w:r>
      <w:r w:rsidRPr="007B268A">
        <w:t xml:space="preserve"> could, however, be related to constraints that countries may have fundamental difficulties overcoming:</w:t>
      </w:r>
    </w:p>
    <w:p w:rsidR="00972987" w:rsidRPr="007B268A" w:rsidRDefault="00972987" w:rsidP="00972987"/>
    <w:p w:rsidR="00972987" w:rsidRPr="007B268A" w:rsidRDefault="00972987" w:rsidP="00972987">
      <w:pPr>
        <w:pStyle w:val="ListParagraph"/>
        <w:numPr>
          <w:ilvl w:val="0"/>
          <w:numId w:val="26"/>
        </w:numPr>
      </w:pPr>
      <w:r w:rsidRPr="007B268A">
        <w:rPr>
          <w:i/>
        </w:rPr>
        <w:t>Insufficient public resources in light of competing priorities</w:t>
      </w:r>
      <w:r w:rsidRPr="007B268A">
        <w:t xml:space="preserve">: We can and will in this chapter eliminate the potential conservatism seen in the </w:t>
      </w:r>
      <w:r>
        <w:t>base case</w:t>
      </w:r>
      <w:r w:rsidRPr="007B268A">
        <w:t xml:space="preserve"> by tying the infrastructure demands directly to the universal targets. This does not guarantee, however, that the targets will be met. Public spending for infrastructure, which finances a significant portion of infrastructure development (see Figures 5.7-5.10), must compete with public spending on security, education, health, etc. Even if these other expenditures were to be reduced to a bare minimum, countries may not have adequate funds to achieve the infrastructure targets. They may also face other resource constraints, e.g., from government's resource mobilization capability and the society's economic strength.</w:t>
      </w:r>
    </w:p>
    <w:p w:rsidR="00972987" w:rsidRPr="007B268A" w:rsidRDefault="00972987" w:rsidP="00972987">
      <w:pPr>
        <w:pStyle w:val="ListParagraph"/>
      </w:pPr>
    </w:p>
    <w:p w:rsidR="00972987" w:rsidRPr="007B268A" w:rsidRDefault="00972987" w:rsidP="00972987">
      <w:pPr>
        <w:pStyle w:val="ListParagraph"/>
        <w:numPr>
          <w:ilvl w:val="0"/>
          <w:numId w:val="26"/>
        </w:numPr>
      </w:pPr>
      <w:r w:rsidRPr="007B268A">
        <w:rPr>
          <w:i/>
        </w:rPr>
        <w:t xml:space="preserve">Insufficient benefits to achieving the targets to justify the costs. </w:t>
      </w:r>
      <w:r w:rsidRPr="007B268A">
        <w:t xml:space="preserve">Chapter 3 reviewed a number of the potential positive and negative effects of infrastructure. Achieving the targets would certainly </w:t>
      </w:r>
      <w:r w:rsidRPr="007B268A">
        <w:rPr>
          <w:rFonts w:cstheme="minorBidi"/>
          <w:i/>
        </w:rPr>
        <w:t>bring increased benefits, but at the same time their pursuit would have direct and indirect</w:t>
      </w:r>
      <w:r w:rsidRPr="007B268A">
        <w:t xml:space="preserve"> costs. Potential direct costs include the financial costs of increased spending on infrastructure, but also the social and environmental costs associated with the increased infrastructure footprint. Indirect costs include the loss of potential benefits as a result of diverting funds from other expenditures to infrastructure. Because of the complexity of the systems involved, policy makers could not be certain beforehand what the net effect of achieving the infrastructure targets would be, and it is at least feasible that some might believe, rightly or wrongly it in their best interest not to pursue them. In fact, that analysis of net benefits is one of the aims of this chapter.</w:t>
      </w:r>
    </w:p>
    <w:p w:rsidR="00972987" w:rsidRPr="007B268A" w:rsidRDefault="00972987" w:rsidP="00972987"/>
    <w:p w:rsidR="00972987" w:rsidRPr="007B268A" w:rsidRDefault="00972987" w:rsidP="00972987">
      <w:r w:rsidRPr="007B268A">
        <w:t xml:space="preserve">The rest of this chapter explores a number of these issues by comparing a small set of alternative scenarios against our </w:t>
      </w:r>
      <w:r>
        <w:t>base case</w:t>
      </w:r>
      <w:r w:rsidRPr="007B268A">
        <w:t xml:space="preserve"> scenario. In an initial scenario, the Universal Targets scenario, we modify the demand equations for those forms of infrastructure with targets as discussed in Box 5.1.</w:t>
      </w:r>
      <w:r w:rsidRPr="007B268A">
        <w:rPr>
          <w:rStyle w:val="FootnoteReference"/>
        </w:rPr>
        <w:footnoteReference w:id="99"/>
      </w:r>
      <w:r w:rsidRPr="007B268A">
        <w:t xml:space="preserve"> For access to electricity, improved water and sanitation, and information and communications, these are for universal access by the year 2030. For access to all-season roads, the target is to reduce by half the share of the rural population that does not live within 2 kilometers of an all-season road.</w:t>
      </w:r>
      <w:r>
        <w:t xml:space="preserve"> </w:t>
      </w:r>
      <w:r w:rsidRPr="007B268A">
        <w:t xml:space="preserve">Furthermore, because our analysis of the limited historical data on access to all-season roads showed that the amount of roads required to increase access at the highest levels increased at an unreasonable rate, we set a cap of 90 percent access as a maximum target. Otherwise, the assumptions of the scenario are identical to those of the </w:t>
      </w:r>
      <w:r>
        <w:t>base case</w:t>
      </w:r>
      <w:r w:rsidRPr="007B268A">
        <w:t>. For forms of infrastructure without targets, we continue to use the standard demand functions.</w:t>
      </w:r>
      <w:r w:rsidRPr="007B268A">
        <w:rPr>
          <w:rStyle w:val="FootnoteReference"/>
        </w:rPr>
        <w:t xml:space="preserve"> </w:t>
      </w:r>
      <w:r w:rsidRPr="007B268A">
        <w:rPr>
          <w:rStyle w:val="FootnoteReference"/>
        </w:rPr>
        <w:footnoteReference w:id="100"/>
      </w:r>
    </w:p>
    <w:p w:rsidR="00972987" w:rsidRPr="007B268A" w:rsidRDefault="00972987" w:rsidP="00972987"/>
    <w:p w:rsidR="00972987" w:rsidRPr="007B268A" w:rsidRDefault="00972987" w:rsidP="00972987">
      <w:r w:rsidRPr="007B268A">
        <w:t>The effort to achieve universal access is unlikely to succeed in many countries because of financial constraints even after diverting resources from other sectors. As already noted, there is also the possibility that pursuing these infrastructure targets may not be in the best interest of all countries in that the negative impacts of diverting resources from other investments that also contribute to development will be greater than the benefits of the additional infrastructure. Therefore after exploring this initial scenario, we consider if there might not be an alternative set of still aggressive, but more reasonable targets that should guide infrastructure development into the future.</w:t>
      </w:r>
    </w:p>
    <w:p w:rsidR="00972987" w:rsidRPr="007B268A" w:rsidRDefault="00972987" w:rsidP="00972987"/>
    <w:p w:rsidR="00972987" w:rsidRPr="007B268A" w:rsidRDefault="00972987" w:rsidP="0012772B">
      <w:pPr>
        <w:pStyle w:val="Heading2"/>
        <w:numPr>
          <w:ilvl w:val="0"/>
          <w:numId w:val="0"/>
        </w:numPr>
      </w:pPr>
      <w:bookmarkStart w:id="176" w:name="_Toc199925073"/>
      <w:bookmarkStart w:id="177" w:name="_Toc200095329"/>
      <w:r w:rsidRPr="007B268A">
        <w:t>6.2 A Universal Targets Scenario</w:t>
      </w:r>
      <w:bookmarkEnd w:id="176"/>
      <w:bookmarkEnd w:id="177"/>
    </w:p>
    <w:p w:rsidR="00972987" w:rsidRPr="007B268A" w:rsidRDefault="0012772B" w:rsidP="0012772B">
      <w:pPr>
        <w:pStyle w:val="Heading3"/>
        <w:numPr>
          <w:ilvl w:val="0"/>
          <w:numId w:val="0"/>
        </w:numPr>
      </w:pPr>
      <w:bookmarkStart w:id="178" w:name="_Toc199925074"/>
      <w:bookmarkStart w:id="179" w:name="_Toc200095330"/>
      <w:r>
        <w:t>6.2.1</w:t>
      </w:r>
      <w:r>
        <w:tab/>
      </w:r>
      <w:r w:rsidR="00972987" w:rsidRPr="007B268A">
        <w:t>Changes in access and target achievement</w:t>
      </w:r>
      <w:bookmarkEnd w:id="178"/>
      <w:bookmarkEnd w:id="179"/>
    </w:p>
    <w:p w:rsidR="00972987" w:rsidRPr="007B268A" w:rsidRDefault="00972987" w:rsidP="00972987">
      <w:r w:rsidRPr="007B268A">
        <w:t xml:space="preserve">The pursuit of the universal targets does increase access to the targeted infrastructures compared to the </w:t>
      </w:r>
      <w:r>
        <w:t>base case</w:t>
      </w:r>
      <w:r w:rsidRPr="007B268A">
        <w:t xml:space="preserve">, but other than for ICT, it does not achieve universal access (Figure 6.1). Global access to the other targeted infrastructure ranges from just under 80 percent for rural roads to over 95 percent for improved water, with access to electricity and improved sanitation a bit above 90 percent. These represent a narrowing of the gaps between 2010 levels and the universal targets by 64, 64, 70, and 70 percent for roads, electricity, water, and sanitation, respectively. The </w:t>
      </w:r>
      <w:r>
        <w:t>base case</w:t>
      </w:r>
      <w:r w:rsidRPr="007B268A">
        <w:t xml:space="preserve"> narrowed the gaps for those infrastructure forms by only 21, 42, 32, and 28 percent, respectively (86 percent for ICT).</w:t>
      </w:r>
    </w:p>
    <w:p w:rsidR="00972987" w:rsidRPr="007B268A" w:rsidRDefault="00972987" w:rsidP="00972987"/>
    <w:p w:rsidR="00972987" w:rsidRDefault="00972987" w:rsidP="00972987">
      <w:pPr>
        <w:jc w:val="center"/>
        <w:rPr>
          <w:b/>
        </w:rPr>
      </w:pPr>
      <w:r w:rsidRPr="007D020E">
        <w:rPr>
          <w:b/>
          <w:noProof/>
        </w:rPr>
        <w:drawing>
          <wp:inline distT="0" distB="0" distL="0" distR="0">
            <wp:extent cx="5486400" cy="3484880"/>
            <wp:effectExtent l="25400" t="25400" r="0" b="0"/>
            <wp:docPr id="86" name="C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972987" w:rsidRPr="007B268A" w:rsidRDefault="00972987" w:rsidP="00972987">
      <w:r w:rsidRPr="007B268A">
        <w:rPr>
          <w:b/>
        </w:rPr>
        <w:t xml:space="preserve">Figure 6.1 Global access to targeted infrastructure in 2010 and 2030 in </w:t>
      </w:r>
      <w:r>
        <w:rPr>
          <w:b/>
        </w:rPr>
        <w:t>base case</w:t>
      </w:r>
      <w:r w:rsidRPr="007B268A">
        <w:rPr>
          <w:b/>
        </w:rPr>
        <w:t xml:space="preserve"> and Universal Targets scenario</w:t>
      </w:r>
    </w:p>
    <w:p w:rsidR="00972987" w:rsidRPr="007B268A" w:rsidRDefault="00972987" w:rsidP="00972987">
      <w:r w:rsidRPr="007B268A">
        <w:rPr>
          <w:i/>
        </w:rPr>
        <w:t>Source:</w:t>
      </w:r>
      <w:r w:rsidRPr="007B268A">
        <w:t xml:space="preserve"> </w:t>
      </w:r>
      <w:r w:rsidRPr="007B268A">
        <w:rPr>
          <w:i/>
        </w:rPr>
        <w:t xml:space="preserve">IFs v6.57 </w:t>
      </w:r>
    </w:p>
    <w:p w:rsidR="00972987" w:rsidRPr="007B268A" w:rsidRDefault="00972987" w:rsidP="00972987">
      <w:pPr>
        <w:rPr>
          <w:i/>
        </w:rPr>
      </w:pPr>
      <w:r w:rsidRPr="007B268A">
        <w:rPr>
          <w:i/>
        </w:rPr>
        <w:t>Note: Road access is the percentage of rural population living within 2 km. of an all-season road; electricity, improved water, and improved sanitation are the percentages of total population with access to the respective infrastructure; ICT is subscriptions per 150 persons scaled to 0-100. Axes range from 0 in the center to 100.</w:t>
      </w:r>
    </w:p>
    <w:p w:rsidR="00972987" w:rsidRPr="007B268A" w:rsidRDefault="00972987" w:rsidP="00972987"/>
    <w:p w:rsidR="00972987" w:rsidRDefault="00972987" w:rsidP="00972987">
      <w:r w:rsidRPr="007B268A">
        <w:t>There is a clear relationship between income and improved access, whether this is measured by the level of access (Figure 6.2, panel 1) or the number of countries that do not meet the specified targets (Table 6.3). Very few high- and upper-middle-income countries fail to meet the targets, while more than half of the lower-middle-income and nearly all of the low-income countries fail to do so. On a regional basis (Figure 6.2, panel 2), sub-Saharan Africa stands out with significantly lower levels of access and relatively few countries achieving the targets. In sharp contrast, access rates to all forms of targeted infrastructure approach universality in East Asia and the Pacific. Although South Asia also falls somewhat short of reaching the targets, it is clearly sub-Saharan Africa that brings down the global averages and that simply does not have the resources that allow most of the continent's countries to reach universal targets.</w:t>
      </w:r>
    </w:p>
    <w:p w:rsidR="00DE7F01" w:rsidRDefault="00DE7F01" w:rsidP="00972987"/>
    <w:p w:rsidR="00DE7F01" w:rsidRDefault="00DE7F01" w:rsidP="00972987"/>
    <w:p w:rsidR="00DE7F01" w:rsidRDefault="00DE7F01" w:rsidP="00972987"/>
    <w:p w:rsidR="00DE7F01" w:rsidRDefault="00DE7F01" w:rsidP="00972987"/>
    <w:p w:rsidR="00DE7F01" w:rsidRDefault="00DE7F01" w:rsidP="00972987"/>
    <w:p w:rsidR="00DE7F01" w:rsidRDefault="00DE7F01" w:rsidP="00972987"/>
    <w:p w:rsidR="00DE7F01" w:rsidRDefault="00DE7F01" w:rsidP="00972987"/>
    <w:p w:rsidR="00DE7F01" w:rsidRDefault="00DE7F01" w:rsidP="00972987"/>
    <w:p w:rsidR="00DE7F01" w:rsidRDefault="00DE7F01" w:rsidP="00972987"/>
    <w:p w:rsidR="00DE7F01" w:rsidRDefault="00DE7F01" w:rsidP="00972987"/>
    <w:p w:rsidR="00DE7F01" w:rsidRDefault="00DE7F01" w:rsidP="00972987"/>
    <w:p w:rsidR="00DE7F01" w:rsidRDefault="00DE7F01" w:rsidP="00972987"/>
    <w:p w:rsidR="00DE7F01" w:rsidRDefault="00DE7F01" w:rsidP="00972987"/>
    <w:p w:rsidR="00DE7F01" w:rsidRDefault="00DE7F01" w:rsidP="00972987"/>
    <w:p w:rsidR="00DE7F01" w:rsidRDefault="00DE7F01" w:rsidP="00972987"/>
    <w:p w:rsidR="00DE7F01" w:rsidRDefault="00DE7F01" w:rsidP="00972987"/>
    <w:p w:rsidR="00DE7F01" w:rsidRDefault="00DE7F01" w:rsidP="00972987"/>
    <w:p w:rsidR="00DE7F01" w:rsidRDefault="00DE7F01" w:rsidP="00972987"/>
    <w:p w:rsidR="00DE7F01" w:rsidRDefault="00DE7F01" w:rsidP="00972987"/>
    <w:p w:rsidR="00972987" w:rsidRDefault="00972987" w:rsidP="00972987"/>
    <w:p w:rsidR="00972987" w:rsidRDefault="00972987" w:rsidP="00972987">
      <w:pPr>
        <w:jc w:val="center"/>
      </w:pPr>
      <w:r w:rsidRPr="007D020E">
        <w:rPr>
          <w:noProof/>
        </w:rPr>
        <w:drawing>
          <wp:inline distT="0" distB="0" distL="0" distR="0">
            <wp:extent cx="5461000" cy="2946400"/>
            <wp:effectExtent l="25400" t="25400" r="0" b="0"/>
            <wp:docPr id="87" name="C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972987" w:rsidRDefault="00972987" w:rsidP="00972987">
      <w:pPr>
        <w:jc w:val="center"/>
      </w:pPr>
      <w:r w:rsidRPr="007D020E">
        <w:rPr>
          <w:noProof/>
        </w:rPr>
        <w:drawing>
          <wp:inline distT="0" distB="0" distL="0" distR="0">
            <wp:extent cx="5461000" cy="2834640"/>
            <wp:effectExtent l="25400" t="25400" r="0" b="10160"/>
            <wp:docPr id="88" name="C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972987" w:rsidRPr="007B268A" w:rsidRDefault="00972987" w:rsidP="00972987"/>
    <w:p w:rsidR="00972987" w:rsidRPr="007B268A" w:rsidRDefault="00972987" w:rsidP="00972987">
      <w:pPr>
        <w:rPr>
          <w:b/>
        </w:rPr>
      </w:pPr>
      <w:r w:rsidRPr="007B268A">
        <w:rPr>
          <w:b/>
        </w:rPr>
        <w:t>Figure 6.2 Access to targeted infrastructure in 2030 in Universal Targets scenario, by WB region and Income Group</w:t>
      </w:r>
    </w:p>
    <w:p w:rsidR="00972987" w:rsidRPr="007B268A" w:rsidRDefault="00972987" w:rsidP="00972987">
      <w:r w:rsidRPr="007B268A">
        <w:rPr>
          <w:i/>
        </w:rPr>
        <w:t>Source:</w:t>
      </w:r>
      <w:r w:rsidRPr="007B268A">
        <w:t xml:space="preserve"> </w:t>
      </w:r>
      <w:r w:rsidRPr="007B268A">
        <w:rPr>
          <w:i/>
        </w:rPr>
        <w:t xml:space="preserve">IFs v6.57 </w:t>
      </w:r>
    </w:p>
    <w:p w:rsidR="00972987" w:rsidRPr="007B268A" w:rsidRDefault="00972987" w:rsidP="00972987">
      <w:r w:rsidRPr="007B268A">
        <w:rPr>
          <w:i/>
        </w:rPr>
        <w:t>Note: Road access is the percentage of rural population living within 2 km. of an all-season road; electricity, improved water, and improved sanitation are the percentages of total population with access to the respective infrastructure; ICT is subscriptions per 150 persons scaled to 0-100. Axes range from 0 in the center to 100.</w:t>
      </w:r>
    </w:p>
    <w:p w:rsidR="00972987" w:rsidRDefault="00972987" w:rsidP="00972987"/>
    <w:p w:rsidR="00972987" w:rsidRDefault="00972987" w:rsidP="00972987"/>
    <w:p w:rsidR="00972987" w:rsidRDefault="00972987" w:rsidP="00972987"/>
    <w:p w:rsidR="00972987" w:rsidRDefault="00972987" w:rsidP="00972987"/>
    <w:p w:rsidR="00972987" w:rsidRPr="007B268A" w:rsidRDefault="00972987" w:rsidP="00972987"/>
    <w:tbl>
      <w:tblPr>
        <w:tblStyle w:val="TableGrid"/>
        <w:tblW w:w="9420" w:type="dxa"/>
        <w:jc w:val="center"/>
        <w:tblInd w:w="-50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3000"/>
        <w:gridCol w:w="1260"/>
        <w:gridCol w:w="900"/>
        <w:gridCol w:w="1350"/>
        <w:gridCol w:w="900"/>
        <w:gridCol w:w="1350"/>
        <w:gridCol w:w="660"/>
      </w:tblGrid>
      <w:tr w:rsidR="00972987" w:rsidRPr="007B268A">
        <w:trPr>
          <w:trHeight w:val="300"/>
          <w:jc w:val="center"/>
        </w:trPr>
        <w:tc>
          <w:tcPr>
            <w:tcW w:w="9420" w:type="dxa"/>
            <w:gridSpan w:val="7"/>
            <w:noWrap/>
            <w:vAlign w:val="center"/>
          </w:tcPr>
          <w:p w:rsidR="00972987" w:rsidRPr="007B268A" w:rsidRDefault="00972987" w:rsidP="0043092C">
            <w:pPr>
              <w:rPr>
                <w:b/>
                <w:bCs/>
              </w:rPr>
            </w:pPr>
            <w:r w:rsidRPr="007B268A">
              <w:rPr>
                <w:b/>
                <w:bCs/>
              </w:rPr>
              <w:t>Table 6.3 Number of countries falling short of target levels in 2030</w:t>
            </w:r>
          </w:p>
        </w:tc>
      </w:tr>
      <w:tr w:rsidR="00972987" w:rsidRPr="007B268A">
        <w:trPr>
          <w:trHeight w:val="300"/>
          <w:jc w:val="center"/>
        </w:trPr>
        <w:tc>
          <w:tcPr>
            <w:tcW w:w="3000" w:type="dxa"/>
            <w:noWrap/>
            <w:vAlign w:val="bottom"/>
          </w:tcPr>
          <w:p w:rsidR="00972987" w:rsidRPr="00DE7F01" w:rsidRDefault="00972987" w:rsidP="0043092C">
            <w:pPr>
              <w:jc w:val="center"/>
            </w:pPr>
          </w:p>
        </w:tc>
        <w:tc>
          <w:tcPr>
            <w:tcW w:w="1260" w:type="dxa"/>
            <w:noWrap/>
            <w:vAlign w:val="bottom"/>
          </w:tcPr>
          <w:p w:rsidR="00972987" w:rsidRPr="00DE7F01" w:rsidRDefault="00972987" w:rsidP="0043092C">
            <w:pPr>
              <w:jc w:val="center"/>
              <w:rPr>
                <w:bCs/>
              </w:rPr>
            </w:pPr>
            <w:r w:rsidRPr="00DE7F01">
              <w:rPr>
                <w:bCs/>
              </w:rPr>
              <w:t>Total # of countries</w:t>
            </w:r>
          </w:p>
        </w:tc>
        <w:tc>
          <w:tcPr>
            <w:tcW w:w="900" w:type="dxa"/>
            <w:noWrap/>
            <w:vAlign w:val="bottom"/>
          </w:tcPr>
          <w:p w:rsidR="00972987" w:rsidRPr="00DE7F01" w:rsidRDefault="00972987" w:rsidP="0043092C">
            <w:pPr>
              <w:jc w:val="center"/>
              <w:rPr>
                <w:bCs/>
              </w:rPr>
            </w:pPr>
            <w:r w:rsidRPr="00DE7F01">
              <w:rPr>
                <w:bCs/>
              </w:rPr>
              <w:t>Roads</w:t>
            </w:r>
            <w:r w:rsidRPr="00DE7F01" w:rsidDel="00554A71">
              <w:rPr>
                <w:bCs/>
              </w:rPr>
              <w:t xml:space="preserve"> </w:t>
            </w:r>
          </w:p>
        </w:tc>
        <w:tc>
          <w:tcPr>
            <w:tcW w:w="1350" w:type="dxa"/>
            <w:noWrap/>
            <w:vAlign w:val="bottom"/>
          </w:tcPr>
          <w:p w:rsidR="00972987" w:rsidRPr="00DE7F01" w:rsidRDefault="00972987" w:rsidP="0043092C">
            <w:pPr>
              <w:jc w:val="center"/>
              <w:rPr>
                <w:bCs/>
              </w:rPr>
            </w:pPr>
            <w:r w:rsidRPr="00DE7F01">
              <w:rPr>
                <w:bCs/>
              </w:rPr>
              <w:t xml:space="preserve">Electricity </w:t>
            </w:r>
          </w:p>
        </w:tc>
        <w:tc>
          <w:tcPr>
            <w:tcW w:w="900" w:type="dxa"/>
            <w:noWrap/>
            <w:vAlign w:val="bottom"/>
          </w:tcPr>
          <w:p w:rsidR="00972987" w:rsidRPr="00DE7F01" w:rsidRDefault="00972987" w:rsidP="0043092C">
            <w:pPr>
              <w:jc w:val="center"/>
              <w:rPr>
                <w:bCs/>
              </w:rPr>
            </w:pPr>
            <w:r w:rsidRPr="00DE7F01">
              <w:rPr>
                <w:bCs/>
              </w:rPr>
              <w:t>Water</w:t>
            </w:r>
          </w:p>
        </w:tc>
        <w:tc>
          <w:tcPr>
            <w:tcW w:w="1350" w:type="dxa"/>
            <w:noWrap/>
            <w:vAlign w:val="bottom"/>
          </w:tcPr>
          <w:p w:rsidR="00972987" w:rsidRPr="00DE7F01" w:rsidRDefault="00972987" w:rsidP="0043092C">
            <w:pPr>
              <w:jc w:val="center"/>
              <w:rPr>
                <w:bCs/>
              </w:rPr>
            </w:pPr>
            <w:r w:rsidRPr="00DE7F01">
              <w:rPr>
                <w:bCs/>
              </w:rPr>
              <w:t>Sanitation</w:t>
            </w:r>
          </w:p>
        </w:tc>
        <w:tc>
          <w:tcPr>
            <w:tcW w:w="660" w:type="dxa"/>
            <w:noWrap/>
            <w:vAlign w:val="bottom"/>
          </w:tcPr>
          <w:p w:rsidR="00972987" w:rsidRPr="00DE7F01" w:rsidRDefault="00972987" w:rsidP="0043092C">
            <w:pPr>
              <w:jc w:val="center"/>
              <w:rPr>
                <w:bCs/>
              </w:rPr>
            </w:pPr>
            <w:r w:rsidRPr="00DE7F01">
              <w:rPr>
                <w:bCs/>
              </w:rPr>
              <w:t>ICT</w:t>
            </w:r>
          </w:p>
        </w:tc>
      </w:tr>
      <w:tr w:rsidR="00972987" w:rsidRPr="007B268A">
        <w:trPr>
          <w:trHeight w:val="300"/>
          <w:jc w:val="center"/>
        </w:trPr>
        <w:tc>
          <w:tcPr>
            <w:tcW w:w="9420" w:type="dxa"/>
            <w:gridSpan w:val="7"/>
            <w:shd w:val="clear" w:color="auto" w:fill="D9D9D9" w:themeFill="background1" w:themeFillShade="D9"/>
            <w:noWrap/>
            <w:vAlign w:val="center"/>
          </w:tcPr>
          <w:p w:rsidR="00972987" w:rsidRPr="007B268A" w:rsidRDefault="00972987" w:rsidP="0043092C">
            <w:pPr>
              <w:jc w:val="center"/>
              <w:rPr>
                <w:b/>
                <w:bCs/>
              </w:rPr>
            </w:pPr>
            <w:r w:rsidRPr="007B268A">
              <w:rPr>
                <w:b/>
                <w:bCs/>
              </w:rPr>
              <w:t>By income class</w:t>
            </w:r>
          </w:p>
        </w:tc>
      </w:tr>
      <w:tr w:rsidR="00972987" w:rsidRPr="007B268A">
        <w:trPr>
          <w:trHeight w:val="300"/>
          <w:jc w:val="center"/>
        </w:trPr>
        <w:tc>
          <w:tcPr>
            <w:tcW w:w="3000" w:type="dxa"/>
            <w:noWrap/>
            <w:vAlign w:val="center"/>
          </w:tcPr>
          <w:p w:rsidR="00972987" w:rsidRPr="00DE7F01" w:rsidRDefault="00972987" w:rsidP="0043092C">
            <w:pPr>
              <w:rPr>
                <w:bCs/>
              </w:rPr>
            </w:pPr>
            <w:r w:rsidRPr="00DE7F01">
              <w:rPr>
                <w:bCs/>
              </w:rPr>
              <w:t xml:space="preserve">Low-income </w:t>
            </w:r>
          </w:p>
        </w:tc>
        <w:tc>
          <w:tcPr>
            <w:tcW w:w="1260" w:type="dxa"/>
            <w:noWrap/>
            <w:vAlign w:val="center"/>
          </w:tcPr>
          <w:p w:rsidR="00972987" w:rsidRPr="007B268A" w:rsidRDefault="00972987" w:rsidP="0043092C">
            <w:pPr>
              <w:jc w:val="center"/>
            </w:pPr>
            <w:r w:rsidRPr="007B268A">
              <w:t>35</w:t>
            </w:r>
          </w:p>
        </w:tc>
        <w:tc>
          <w:tcPr>
            <w:tcW w:w="900" w:type="dxa"/>
            <w:noWrap/>
            <w:vAlign w:val="center"/>
          </w:tcPr>
          <w:p w:rsidR="00972987" w:rsidRPr="007B268A" w:rsidRDefault="00972987" w:rsidP="0043092C">
            <w:pPr>
              <w:jc w:val="center"/>
            </w:pPr>
            <w:r w:rsidRPr="007B268A">
              <w:rPr>
                <w:color w:val="000000"/>
              </w:rPr>
              <w:t>33</w:t>
            </w:r>
          </w:p>
        </w:tc>
        <w:tc>
          <w:tcPr>
            <w:tcW w:w="1350" w:type="dxa"/>
            <w:noWrap/>
            <w:vAlign w:val="center"/>
          </w:tcPr>
          <w:p w:rsidR="00972987" w:rsidRPr="007B268A" w:rsidRDefault="00972987" w:rsidP="0043092C">
            <w:pPr>
              <w:jc w:val="center"/>
            </w:pPr>
            <w:r w:rsidRPr="007B268A">
              <w:rPr>
                <w:color w:val="000000"/>
              </w:rPr>
              <w:t>34</w:t>
            </w:r>
          </w:p>
        </w:tc>
        <w:tc>
          <w:tcPr>
            <w:tcW w:w="900" w:type="dxa"/>
            <w:noWrap/>
            <w:vAlign w:val="center"/>
          </w:tcPr>
          <w:p w:rsidR="00972987" w:rsidRPr="007B268A" w:rsidRDefault="00972987" w:rsidP="0043092C">
            <w:pPr>
              <w:jc w:val="center"/>
            </w:pPr>
            <w:r w:rsidRPr="007B268A">
              <w:rPr>
                <w:color w:val="000000"/>
              </w:rPr>
              <w:t>30</w:t>
            </w:r>
          </w:p>
        </w:tc>
        <w:tc>
          <w:tcPr>
            <w:tcW w:w="1350" w:type="dxa"/>
            <w:noWrap/>
            <w:vAlign w:val="center"/>
          </w:tcPr>
          <w:p w:rsidR="00972987" w:rsidRPr="007B268A" w:rsidRDefault="00972987" w:rsidP="0043092C">
            <w:pPr>
              <w:jc w:val="center"/>
            </w:pPr>
            <w:r w:rsidRPr="007B268A">
              <w:rPr>
                <w:color w:val="000000"/>
              </w:rPr>
              <w:t>34</w:t>
            </w:r>
          </w:p>
        </w:tc>
        <w:tc>
          <w:tcPr>
            <w:tcW w:w="660" w:type="dxa"/>
            <w:noWrap/>
            <w:vAlign w:val="center"/>
          </w:tcPr>
          <w:p w:rsidR="00972987" w:rsidRPr="007B268A" w:rsidRDefault="00972987" w:rsidP="0043092C">
            <w:pPr>
              <w:jc w:val="center"/>
            </w:pPr>
            <w:r w:rsidRPr="007B268A">
              <w:rPr>
                <w:color w:val="000000"/>
              </w:rPr>
              <w:t>0</w:t>
            </w:r>
          </w:p>
        </w:tc>
      </w:tr>
      <w:tr w:rsidR="00972987" w:rsidRPr="007B268A">
        <w:trPr>
          <w:trHeight w:val="300"/>
          <w:jc w:val="center"/>
        </w:trPr>
        <w:tc>
          <w:tcPr>
            <w:tcW w:w="3000" w:type="dxa"/>
            <w:noWrap/>
            <w:vAlign w:val="center"/>
          </w:tcPr>
          <w:p w:rsidR="00972987" w:rsidRPr="00DE7F01" w:rsidRDefault="00972987" w:rsidP="0043092C">
            <w:pPr>
              <w:rPr>
                <w:bCs/>
              </w:rPr>
            </w:pPr>
            <w:r w:rsidRPr="00DE7F01">
              <w:rPr>
                <w:bCs/>
              </w:rPr>
              <w:t>Lower-middle-income</w:t>
            </w:r>
          </w:p>
        </w:tc>
        <w:tc>
          <w:tcPr>
            <w:tcW w:w="1260" w:type="dxa"/>
            <w:noWrap/>
            <w:vAlign w:val="center"/>
          </w:tcPr>
          <w:p w:rsidR="00972987" w:rsidRPr="007B268A" w:rsidRDefault="00972987" w:rsidP="0043092C">
            <w:pPr>
              <w:jc w:val="center"/>
            </w:pPr>
            <w:r w:rsidRPr="007B268A">
              <w:t>52</w:t>
            </w:r>
          </w:p>
        </w:tc>
        <w:tc>
          <w:tcPr>
            <w:tcW w:w="900" w:type="dxa"/>
            <w:noWrap/>
            <w:vAlign w:val="center"/>
          </w:tcPr>
          <w:p w:rsidR="00972987" w:rsidRPr="007B268A" w:rsidRDefault="00972987" w:rsidP="0043092C">
            <w:pPr>
              <w:jc w:val="center"/>
            </w:pPr>
            <w:r w:rsidRPr="007B268A">
              <w:rPr>
                <w:color w:val="000000"/>
              </w:rPr>
              <w:t>16</w:t>
            </w:r>
          </w:p>
        </w:tc>
        <w:tc>
          <w:tcPr>
            <w:tcW w:w="1350" w:type="dxa"/>
            <w:noWrap/>
            <w:vAlign w:val="center"/>
          </w:tcPr>
          <w:p w:rsidR="00972987" w:rsidRPr="007B268A" w:rsidRDefault="00972987" w:rsidP="0043092C">
            <w:pPr>
              <w:jc w:val="center"/>
            </w:pPr>
            <w:r w:rsidRPr="007B268A">
              <w:rPr>
                <w:color w:val="000000"/>
              </w:rPr>
              <w:t>19</w:t>
            </w:r>
          </w:p>
        </w:tc>
        <w:tc>
          <w:tcPr>
            <w:tcW w:w="900" w:type="dxa"/>
            <w:noWrap/>
            <w:vAlign w:val="center"/>
          </w:tcPr>
          <w:p w:rsidR="00972987" w:rsidRPr="007B268A" w:rsidRDefault="00972987" w:rsidP="0043092C">
            <w:pPr>
              <w:jc w:val="center"/>
            </w:pPr>
            <w:r w:rsidRPr="007B268A">
              <w:rPr>
                <w:color w:val="000000"/>
              </w:rPr>
              <w:t>11</w:t>
            </w:r>
          </w:p>
        </w:tc>
        <w:tc>
          <w:tcPr>
            <w:tcW w:w="1350" w:type="dxa"/>
            <w:noWrap/>
            <w:vAlign w:val="center"/>
          </w:tcPr>
          <w:p w:rsidR="00972987" w:rsidRPr="007B268A" w:rsidRDefault="00972987" w:rsidP="0043092C">
            <w:pPr>
              <w:jc w:val="center"/>
            </w:pPr>
            <w:r w:rsidRPr="007B268A">
              <w:rPr>
                <w:color w:val="000000"/>
              </w:rPr>
              <w:t>22</w:t>
            </w:r>
          </w:p>
        </w:tc>
        <w:tc>
          <w:tcPr>
            <w:tcW w:w="660" w:type="dxa"/>
            <w:noWrap/>
            <w:vAlign w:val="center"/>
          </w:tcPr>
          <w:p w:rsidR="00972987" w:rsidRPr="007B268A" w:rsidRDefault="00972987" w:rsidP="0043092C">
            <w:pPr>
              <w:jc w:val="center"/>
            </w:pPr>
            <w:r w:rsidRPr="007B268A">
              <w:rPr>
                <w:color w:val="000000"/>
              </w:rPr>
              <w:t>0</w:t>
            </w:r>
          </w:p>
        </w:tc>
      </w:tr>
      <w:tr w:rsidR="00972987" w:rsidRPr="007B268A">
        <w:trPr>
          <w:trHeight w:val="300"/>
          <w:jc w:val="center"/>
        </w:trPr>
        <w:tc>
          <w:tcPr>
            <w:tcW w:w="3000" w:type="dxa"/>
            <w:noWrap/>
            <w:vAlign w:val="center"/>
          </w:tcPr>
          <w:p w:rsidR="00972987" w:rsidRPr="00DE7F01" w:rsidRDefault="00972987" w:rsidP="0043092C">
            <w:pPr>
              <w:rPr>
                <w:bCs/>
              </w:rPr>
            </w:pPr>
            <w:r w:rsidRPr="00DE7F01">
              <w:rPr>
                <w:bCs/>
              </w:rPr>
              <w:t>Upper-middle-income</w:t>
            </w:r>
          </w:p>
        </w:tc>
        <w:tc>
          <w:tcPr>
            <w:tcW w:w="1260" w:type="dxa"/>
            <w:noWrap/>
            <w:vAlign w:val="center"/>
          </w:tcPr>
          <w:p w:rsidR="00972987" w:rsidRPr="007B268A" w:rsidRDefault="00972987" w:rsidP="0043092C">
            <w:pPr>
              <w:jc w:val="center"/>
            </w:pPr>
            <w:r w:rsidRPr="007B268A">
              <w:t>47</w:t>
            </w:r>
          </w:p>
        </w:tc>
        <w:tc>
          <w:tcPr>
            <w:tcW w:w="900" w:type="dxa"/>
            <w:noWrap/>
            <w:vAlign w:val="center"/>
          </w:tcPr>
          <w:p w:rsidR="00972987" w:rsidRPr="007B268A" w:rsidRDefault="00972987" w:rsidP="0043092C">
            <w:pPr>
              <w:jc w:val="center"/>
            </w:pPr>
            <w:r w:rsidRPr="007B268A">
              <w:rPr>
                <w:color w:val="000000"/>
              </w:rPr>
              <w:t>0</w:t>
            </w:r>
          </w:p>
        </w:tc>
        <w:tc>
          <w:tcPr>
            <w:tcW w:w="1350" w:type="dxa"/>
            <w:noWrap/>
            <w:vAlign w:val="center"/>
          </w:tcPr>
          <w:p w:rsidR="00972987" w:rsidRPr="007B268A" w:rsidRDefault="00972987" w:rsidP="0043092C">
            <w:pPr>
              <w:jc w:val="center"/>
            </w:pPr>
            <w:r w:rsidRPr="007B268A">
              <w:rPr>
                <w:color w:val="000000"/>
              </w:rPr>
              <w:t>1</w:t>
            </w:r>
          </w:p>
        </w:tc>
        <w:tc>
          <w:tcPr>
            <w:tcW w:w="900" w:type="dxa"/>
            <w:noWrap/>
            <w:vAlign w:val="center"/>
          </w:tcPr>
          <w:p w:rsidR="00972987" w:rsidRPr="007B268A" w:rsidRDefault="00972987" w:rsidP="0043092C">
            <w:pPr>
              <w:jc w:val="center"/>
            </w:pPr>
            <w:r w:rsidRPr="007B268A">
              <w:rPr>
                <w:color w:val="000000"/>
              </w:rPr>
              <w:t>1</w:t>
            </w:r>
          </w:p>
        </w:tc>
        <w:tc>
          <w:tcPr>
            <w:tcW w:w="1350" w:type="dxa"/>
            <w:noWrap/>
            <w:vAlign w:val="center"/>
          </w:tcPr>
          <w:p w:rsidR="00972987" w:rsidRPr="007B268A" w:rsidRDefault="00972987" w:rsidP="0043092C">
            <w:pPr>
              <w:jc w:val="center"/>
            </w:pPr>
            <w:r w:rsidRPr="007B268A">
              <w:rPr>
                <w:color w:val="000000"/>
              </w:rPr>
              <w:t>8</w:t>
            </w:r>
          </w:p>
        </w:tc>
        <w:tc>
          <w:tcPr>
            <w:tcW w:w="660" w:type="dxa"/>
            <w:noWrap/>
            <w:vAlign w:val="center"/>
          </w:tcPr>
          <w:p w:rsidR="00972987" w:rsidRPr="007B268A" w:rsidRDefault="00972987" w:rsidP="0043092C">
            <w:pPr>
              <w:jc w:val="center"/>
            </w:pPr>
            <w:r w:rsidRPr="007B268A">
              <w:rPr>
                <w:color w:val="000000"/>
              </w:rPr>
              <w:t>0</w:t>
            </w:r>
          </w:p>
        </w:tc>
      </w:tr>
      <w:tr w:rsidR="00972987" w:rsidRPr="007B268A">
        <w:trPr>
          <w:trHeight w:val="300"/>
          <w:jc w:val="center"/>
        </w:trPr>
        <w:tc>
          <w:tcPr>
            <w:tcW w:w="3000" w:type="dxa"/>
            <w:noWrap/>
            <w:vAlign w:val="center"/>
          </w:tcPr>
          <w:p w:rsidR="00972987" w:rsidRPr="00DE7F01" w:rsidRDefault="00972987" w:rsidP="0043092C">
            <w:pPr>
              <w:rPr>
                <w:bCs/>
              </w:rPr>
            </w:pPr>
            <w:r w:rsidRPr="00DE7F01">
              <w:rPr>
                <w:bCs/>
              </w:rPr>
              <w:t>High-income</w:t>
            </w:r>
          </w:p>
        </w:tc>
        <w:tc>
          <w:tcPr>
            <w:tcW w:w="1260" w:type="dxa"/>
            <w:noWrap/>
            <w:vAlign w:val="center"/>
          </w:tcPr>
          <w:p w:rsidR="00972987" w:rsidRPr="007B268A" w:rsidRDefault="00972987" w:rsidP="0043092C">
            <w:pPr>
              <w:jc w:val="center"/>
            </w:pPr>
            <w:r w:rsidRPr="007B268A">
              <w:t>49</w:t>
            </w:r>
          </w:p>
        </w:tc>
        <w:tc>
          <w:tcPr>
            <w:tcW w:w="900" w:type="dxa"/>
            <w:noWrap/>
            <w:vAlign w:val="center"/>
          </w:tcPr>
          <w:p w:rsidR="00972987" w:rsidRPr="007B268A" w:rsidRDefault="00972987" w:rsidP="0043092C">
            <w:pPr>
              <w:jc w:val="center"/>
            </w:pPr>
            <w:r w:rsidRPr="007B268A">
              <w:rPr>
                <w:color w:val="000000"/>
              </w:rPr>
              <w:t>0</w:t>
            </w:r>
          </w:p>
        </w:tc>
        <w:tc>
          <w:tcPr>
            <w:tcW w:w="1350" w:type="dxa"/>
            <w:noWrap/>
            <w:vAlign w:val="center"/>
          </w:tcPr>
          <w:p w:rsidR="00972987" w:rsidRPr="007B268A" w:rsidRDefault="00972987" w:rsidP="0043092C">
            <w:pPr>
              <w:jc w:val="center"/>
            </w:pPr>
            <w:r w:rsidRPr="007B268A">
              <w:rPr>
                <w:color w:val="000000"/>
              </w:rPr>
              <w:t>1</w:t>
            </w:r>
          </w:p>
        </w:tc>
        <w:tc>
          <w:tcPr>
            <w:tcW w:w="900" w:type="dxa"/>
            <w:noWrap/>
            <w:vAlign w:val="center"/>
          </w:tcPr>
          <w:p w:rsidR="00972987" w:rsidRPr="007B268A" w:rsidRDefault="00972987" w:rsidP="0043092C">
            <w:pPr>
              <w:jc w:val="center"/>
            </w:pPr>
            <w:r w:rsidRPr="007B268A">
              <w:rPr>
                <w:color w:val="000000"/>
              </w:rPr>
              <w:t>0</w:t>
            </w:r>
          </w:p>
        </w:tc>
        <w:tc>
          <w:tcPr>
            <w:tcW w:w="1350" w:type="dxa"/>
            <w:noWrap/>
            <w:vAlign w:val="center"/>
          </w:tcPr>
          <w:p w:rsidR="00972987" w:rsidRPr="007B268A" w:rsidRDefault="00972987" w:rsidP="0043092C">
            <w:pPr>
              <w:jc w:val="center"/>
            </w:pPr>
            <w:r w:rsidRPr="007B268A">
              <w:rPr>
                <w:color w:val="000000"/>
              </w:rPr>
              <w:t>4</w:t>
            </w:r>
          </w:p>
        </w:tc>
        <w:tc>
          <w:tcPr>
            <w:tcW w:w="660" w:type="dxa"/>
            <w:noWrap/>
            <w:vAlign w:val="center"/>
          </w:tcPr>
          <w:p w:rsidR="00972987" w:rsidRPr="007B268A" w:rsidRDefault="00972987" w:rsidP="0043092C">
            <w:pPr>
              <w:jc w:val="center"/>
            </w:pPr>
            <w:r w:rsidRPr="007B268A">
              <w:rPr>
                <w:color w:val="000000"/>
              </w:rPr>
              <w:t>0</w:t>
            </w:r>
          </w:p>
        </w:tc>
      </w:tr>
      <w:tr w:rsidR="00972987" w:rsidRPr="007B268A">
        <w:trPr>
          <w:trHeight w:val="300"/>
          <w:jc w:val="center"/>
        </w:trPr>
        <w:tc>
          <w:tcPr>
            <w:tcW w:w="9420" w:type="dxa"/>
            <w:gridSpan w:val="7"/>
            <w:shd w:val="clear" w:color="auto" w:fill="D9D9D9" w:themeFill="background1" w:themeFillShade="D9"/>
            <w:noWrap/>
            <w:vAlign w:val="center"/>
          </w:tcPr>
          <w:p w:rsidR="00972987" w:rsidRPr="00DE7F01" w:rsidRDefault="00972987" w:rsidP="0043092C">
            <w:pPr>
              <w:jc w:val="center"/>
              <w:rPr>
                <w:b/>
                <w:bCs/>
              </w:rPr>
            </w:pPr>
            <w:r w:rsidRPr="00DE7F01">
              <w:rPr>
                <w:b/>
                <w:bCs/>
              </w:rPr>
              <w:t>By region</w:t>
            </w:r>
          </w:p>
        </w:tc>
      </w:tr>
      <w:tr w:rsidR="00972987" w:rsidRPr="007B268A">
        <w:trPr>
          <w:trHeight w:val="300"/>
          <w:jc w:val="center"/>
        </w:trPr>
        <w:tc>
          <w:tcPr>
            <w:tcW w:w="3000" w:type="dxa"/>
            <w:noWrap/>
            <w:vAlign w:val="center"/>
          </w:tcPr>
          <w:p w:rsidR="00972987" w:rsidRPr="00DE7F01" w:rsidRDefault="00972987" w:rsidP="0043092C">
            <w:pPr>
              <w:rPr>
                <w:bCs/>
              </w:rPr>
            </w:pPr>
            <w:r w:rsidRPr="00DE7F01">
              <w:rPr>
                <w:bCs/>
              </w:rPr>
              <w:t>East Asia and Pacific</w:t>
            </w:r>
          </w:p>
        </w:tc>
        <w:tc>
          <w:tcPr>
            <w:tcW w:w="1260" w:type="dxa"/>
            <w:noWrap/>
            <w:vAlign w:val="center"/>
          </w:tcPr>
          <w:p w:rsidR="00972987" w:rsidRPr="007B268A" w:rsidRDefault="00972987" w:rsidP="0043092C">
            <w:pPr>
              <w:jc w:val="center"/>
            </w:pPr>
            <w:r w:rsidRPr="007B268A">
              <w:t>19</w:t>
            </w:r>
          </w:p>
        </w:tc>
        <w:tc>
          <w:tcPr>
            <w:tcW w:w="900" w:type="dxa"/>
            <w:noWrap/>
            <w:vAlign w:val="center"/>
          </w:tcPr>
          <w:p w:rsidR="00972987" w:rsidRPr="007B268A" w:rsidRDefault="00972987" w:rsidP="0043092C">
            <w:pPr>
              <w:jc w:val="center"/>
            </w:pPr>
            <w:r w:rsidRPr="007B268A">
              <w:rPr>
                <w:color w:val="000000"/>
              </w:rPr>
              <w:t>2</w:t>
            </w:r>
          </w:p>
        </w:tc>
        <w:tc>
          <w:tcPr>
            <w:tcW w:w="1350" w:type="dxa"/>
            <w:noWrap/>
            <w:vAlign w:val="center"/>
          </w:tcPr>
          <w:p w:rsidR="00972987" w:rsidRPr="007B268A" w:rsidRDefault="00972987" w:rsidP="0043092C">
            <w:pPr>
              <w:jc w:val="center"/>
            </w:pPr>
            <w:r w:rsidRPr="007B268A">
              <w:rPr>
                <w:color w:val="000000"/>
              </w:rPr>
              <w:t>7</w:t>
            </w:r>
          </w:p>
        </w:tc>
        <w:tc>
          <w:tcPr>
            <w:tcW w:w="900" w:type="dxa"/>
            <w:noWrap/>
            <w:vAlign w:val="center"/>
          </w:tcPr>
          <w:p w:rsidR="00972987" w:rsidRPr="007B268A" w:rsidRDefault="00972987" w:rsidP="0043092C">
            <w:pPr>
              <w:jc w:val="center"/>
            </w:pPr>
            <w:r w:rsidRPr="007B268A">
              <w:rPr>
                <w:color w:val="000000"/>
              </w:rPr>
              <w:t>2</w:t>
            </w:r>
          </w:p>
        </w:tc>
        <w:tc>
          <w:tcPr>
            <w:tcW w:w="1350" w:type="dxa"/>
            <w:noWrap/>
            <w:vAlign w:val="center"/>
          </w:tcPr>
          <w:p w:rsidR="00972987" w:rsidRPr="007B268A" w:rsidRDefault="00972987" w:rsidP="0043092C">
            <w:pPr>
              <w:jc w:val="center"/>
            </w:pPr>
            <w:r w:rsidRPr="007B268A">
              <w:rPr>
                <w:color w:val="000000"/>
              </w:rPr>
              <w:t>7</w:t>
            </w:r>
          </w:p>
        </w:tc>
        <w:tc>
          <w:tcPr>
            <w:tcW w:w="660" w:type="dxa"/>
            <w:noWrap/>
            <w:vAlign w:val="center"/>
          </w:tcPr>
          <w:p w:rsidR="00972987" w:rsidRPr="007B268A" w:rsidRDefault="00972987" w:rsidP="0043092C">
            <w:pPr>
              <w:jc w:val="center"/>
            </w:pPr>
            <w:r w:rsidRPr="007B268A">
              <w:rPr>
                <w:color w:val="000000"/>
              </w:rPr>
              <w:t>0</w:t>
            </w:r>
          </w:p>
        </w:tc>
      </w:tr>
      <w:tr w:rsidR="00972987" w:rsidRPr="007B268A">
        <w:trPr>
          <w:trHeight w:val="300"/>
          <w:jc w:val="center"/>
        </w:trPr>
        <w:tc>
          <w:tcPr>
            <w:tcW w:w="3000" w:type="dxa"/>
            <w:noWrap/>
            <w:vAlign w:val="center"/>
          </w:tcPr>
          <w:p w:rsidR="00972987" w:rsidRPr="00DE7F01" w:rsidRDefault="00972987" w:rsidP="0043092C">
            <w:pPr>
              <w:rPr>
                <w:bCs/>
              </w:rPr>
            </w:pPr>
            <w:r w:rsidRPr="00DE7F01">
              <w:rPr>
                <w:bCs/>
              </w:rPr>
              <w:t>Europe and Central Asia</w:t>
            </w:r>
          </w:p>
        </w:tc>
        <w:tc>
          <w:tcPr>
            <w:tcW w:w="1260" w:type="dxa"/>
            <w:noWrap/>
            <w:vAlign w:val="center"/>
          </w:tcPr>
          <w:p w:rsidR="00972987" w:rsidRPr="007B268A" w:rsidRDefault="00972987" w:rsidP="0043092C">
            <w:pPr>
              <w:jc w:val="center"/>
            </w:pPr>
            <w:r w:rsidRPr="007B268A">
              <w:t>22</w:t>
            </w:r>
          </w:p>
        </w:tc>
        <w:tc>
          <w:tcPr>
            <w:tcW w:w="900" w:type="dxa"/>
            <w:noWrap/>
            <w:vAlign w:val="center"/>
          </w:tcPr>
          <w:p w:rsidR="00972987" w:rsidRPr="007B268A" w:rsidRDefault="00972987" w:rsidP="0043092C">
            <w:pPr>
              <w:jc w:val="center"/>
            </w:pPr>
            <w:r w:rsidRPr="007B268A">
              <w:rPr>
                <w:color w:val="000000"/>
              </w:rPr>
              <w:t>3</w:t>
            </w:r>
          </w:p>
        </w:tc>
        <w:tc>
          <w:tcPr>
            <w:tcW w:w="1350" w:type="dxa"/>
            <w:vAlign w:val="center"/>
          </w:tcPr>
          <w:p w:rsidR="00972987" w:rsidRPr="007B268A" w:rsidRDefault="00972987" w:rsidP="0043092C">
            <w:pPr>
              <w:jc w:val="center"/>
            </w:pPr>
            <w:r w:rsidRPr="007B268A">
              <w:rPr>
                <w:color w:val="000000"/>
              </w:rPr>
              <w:t>3</w:t>
            </w:r>
          </w:p>
        </w:tc>
        <w:tc>
          <w:tcPr>
            <w:tcW w:w="900" w:type="dxa"/>
            <w:vAlign w:val="center"/>
          </w:tcPr>
          <w:p w:rsidR="00972987" w:rsidRPr="007B268A" w:rsidRDefault="00972987" w:rsidP="0043092C">
            <w:pPr>
              <w:jc w:val="center"/>
            </w:pPr>
            <w:r w:rsidRPr="007B268A">
              <w:rPr>
                <w:color w:val="000000"/>
              </w:rPr>
              <w:t>2</w:t>
            </w:r>
          </w:p>
        </w:tc>
        <w:tc>
          <w:tcPr>
            <w:tcW w:w="1350" w:type="dxa"/>
            <w:vAlign w:val="center"/>
          </w:tcPr>
          <w:p w:rsidR="00972987" w:rsidRPr="007B268A" w:rsidRDefault="00972987" w:rsidP="0043092C">
            <w:pPr>
              <w:jc w:val="center"/>
            </w:pPr>
            <w:r w:rsidRPr="007B268A">
              <w:rPr>
                <w:color w:val="000000"/>
              </w:rPr>
              <w:t>5</w:t>
            </w:r>
          </w:p>
        </w:tc>
        <w:tc>
          <w:tcPr>
            <w:tcW w:w="660" w:type="dxa"/>
            <w:noWrap/>
            <w:vAlign w:val="center"/>
          </w:tcPr>
          <w:p w:rsidR="00972987" w:rsidRPr="007B268A" w:rsidRDefault="00972987" w:rsidP="0043092C">
            <w:pPr>
              <w:jc w:val="center"/>
            </w:pPr>
            <w:r w:rsidRPr="007B268A">
              <w:rPr>
                <w:color w:val="000000"/>
              </w:rPr>
              <w:t>0</w:t>
            </w:r>
          </w:p>
        </w:tc>
      </w:tr>
      <w:tr w:rsidR="00972987" w:rsidRPr="007B268A">
        <w:trPr>
          <w:trHeight w:val="300"/>
          <w:jc w:val="center"/>
        </w:trPr>
        <w:tc>
          <w:tcPr>
            <w:tcW w:w="3000" w:type="dxa"/>
            <w:noWrap/>
            <w:vAlign w:val="center"/>
          </w:tcPr>
          <w:p w:rsidR="00972987" w:rsidRPr="00DE7F01" w:rsidRDefault="00972987" w:rsidP="0043092C">
            <w:pPr>
              <w:rPr>
                <w:bCs/>
              </w:rPr>
            </w:pPr>
            <w:r w:rsidRPr="00DE7F01">
              <w:rPr>
                <w:bCs/>
              </w:rPr>
              <w:t>Latin America and the Caribbean</w:t>
            </w:r>
          </w:p>
        </w:tc>
        <w:tc>
          <w:tcPr>
            <w:tcW w:w="1260" w:type="dxa"/>
            <w:noWrap/>
            <w:vAlign w:val="center"/>
          </w:tcPr>
          <w:p w:rsidR="00972987" w:rsidRPr="007B268A" w:rsidRDefault="00972987" w:rsidP="0043092C">
            <w:pPr>
              <w:jc w:val="center"/>
            </w:pPr>
            <w:r w:rsidRPr="007B268A">
              <w:t>27</w:t>
            </w:r>
          </w:p>
        </w:tc>
        <w:tc>
          <w:tcPr>
            <w:tcW w:w="900" w:type="dxa"/>
            <w:noWrap/>
            <w:vAlign w:val="center"/>
          </w:tcPr>
          <w:p w:rsidR="00972987" w:rsidRPr="007B268A" w:rsidRDefault="00972987" w:rsidP="0043092C">
            <w:pPr>
              <w:jc w:val="center"/>
            </w:pPr>
            <w:r w:rsidRPr="007B268A">
              <w:rPr>
                <w:color w:val="000000"/>
              </w:rPr>
              <w:t>4</w:t>
            </w:r>
          </w:p>
        </w:tc>
        <w:tc>
          <w:tcPr>
            <w:tcW w:w="1350" w:type="dxa"/>
            <w:noWrap/>
            <w:vAlign w:val="center"/>
          </w:tcPr>
          <w:p w:rsidR="00972987" w:rsidRPr="007B268A" w:rsidRDefault="00972987" w:rsidP="0043092C">
            <w:pPr>
              <w:jc w:val="center"/>
            </w:pPr>
            <w:r w:rsidRPr="007B268A">
              <w:rPr>
                <w:color w:val="000000"/>
              </w:rPr>
              <w:t>3</w:t>
            </w:r>
          </w:p>
        </w:tc>
        <w:tc>
          <w:tcPr>
            <w:tcW w:w="900" w:type="dxa"/>
            <w:noWrap/>
            <w:vAlign w:val="center"/>
          </w:tcPr>
          <w:p w:rsidR="00972987" w:rsidRPr="007B268A" w:rsidRDefault="00972987" w:rsidP="0043092C">
            <w:pPr>
              <w:jc w:val="center"/>
            </w:pPr>
            <w:r w:rsidRPr="007B268A">
              <w:rPr>
                <w:color w:val="000000"/>
              </w:rPr>
              <w:t>3</w:t>
            </w:r>
          </w:p>
        </w:tc>
        <w:tc>
          <w:tcPr>
            <w:tcW w:w="1350" w:type="dxa"/>
            <w:noWrap/>
            <w:vAlign w:val="center"/>
          </w:tcPr>
          <w:p w:rsidR="00972987" w:rsidRPr="007B268A" w:rsidRDefault="00972987" w:rsidP="0043092C">
            <w:pPr>
              <w:jc w:val="center"/>
            </w:pPr>
            <w:r w:rsidRPr="007B268A">
              <w:rPr>
                <w:color w:val="000000"/>
              </w:rPr>
              <w:t>6</w:t>
            </w:r>
          </w:p>
        </w:tc>
        <w:tc>
          <w:tcPr>
            <w:tcW w:w="660" w:type="dxa"/>
            <w:noWrap/>
            <w:vAlign w:val="center"/>
          </w:tcPr>
          <w:p w:rsidR="00972987" w:rsidRPr="007B268A" w:rsidRDefault="00972987" w:rsidP="0043092C">
            <w:pPr>
              <w:jc w:val="center"/>
            </w:pPr>
            <w:r w:rsidRPr="007B268A">
              <w:rPr>
                <w:color w:val="000000"/>
              </w:rPr>
              <w:t>0</w:t>
            </w:r>
          </w:p>
        </w:tc>
      </w:tr>
      <w:tr w:rsidR="00972987" w:rsidRPr="007B268A">
        <w:trPr>
          <w:trHeight w:val="300"/>
          <w:jc w:val="center"/>
        </w:trPr>
        <w:tc>
          <w:tcPr>
            <w:tcW w:w="3000" w:type="dxa"/>
            <w:noWrap/>
            <w:vAlign w:val="center"/>
          </w:tcPr>
          <w:p w:rsidR="00972987" w:rsidRPr="00DE7F01" w:rsidRDefault="00972987" w:rsidP="0043092C">
            <w:pPr>
              <w:rPr>
                <w:bCs/>
              </w:rPr>
            </w:pPr>
            <w:r w:rsidRPr="00DE7F01">
              <w:rPr>
                <w:bCs/>
              </w:rPr>
              <w:t>Middle East and North Africa</w:t>
            </w:r>
          </w:p>
        </w:tc>
        <w:tc>
          <w:tcPr>
            <w:tcW w:w="1260" w:type="dxa"/>
            <w:noWrap/>
            <w:vAlign w:val="center"/>
          </w:tcPr>
          <w:p w:rsidR="00972987" w:rsidRPr="007B268A" w:rsidRDefault="00972987" w:rsidP="0043092C">
            <w:pPr>
              <w:jc w:val="center"/>
            </w:pPr>
            <w:r w:rsidRPr="007B268A">
              <w:t>13</w:t>
            </w:r>
          </w:p>
        </w:tc>
        <w:tc>
          <w:tcPr>
            <w:tcW w:w="900" w:type="dxa"/>
            <w:noWrap/>
            <w:vAlign w:val="center"/>
          </w:tcPr>
          <w:p w:rsidR="00972987" w:rsidRPr="007B268A" w:rsidRDefault="00972987" w:rsidP="0043092C">
            <w:pPr>
              <w:jc w:val="center"/>
            </w:pPr>
            <w:r w:rsidRPr="007B268A">
              <w:rPr>
                <w:color w:val="000000"/>
              </w:rPr>
              <w:t>2</w:t>
            </w:r>
          </w:p>
        </w:tc>
        <w:tc>
          <w:tcPr>
            <w:tcW w:w="1350" w:type="dxa"/>
            <w:noWrap/>
            <w:vAlign w:val="center"/>
          </w:tcPr>
          <w:p w:rsidR="00972987" w:rsidRPr="007B268A" w:rsidRDefault="00972987" w:rsidP="0043092C">
            <w:pPr>
              <w:jc w:val="center"/>
            </w:pPr>
            <w:r w:rsidRPr="007B268A">
              <w:rPr>
                <w:color w:val="000000"/>
              </w:rPr>
              <w:t>2</w:t>
            </w:r>
          </w:p>
        </w:tc>
        <w:tc>
          <w:tcPr>
            <w:tcW w:w="900" w:type="dxa"/>
            <w:noWrap/>
            <w:vAlign w:val="center"/>
          </w:tcPr>
          <w:p w:rsidR="00972987" w:rsidRPr="007B268A" w:rsidRDefault="00972987" w:rsidP="0043092C">
            <w:pPr>
              <w:jc w:val="center"/>
            </w:pPr>
            <w:r w:rsidRPr="007B268A">
              <w:rPr>
                <w:color w:val="000000"/>
              </w:rPr>
              <w:t>2</w:t>
            </w:r>
          </w:p>
        </w:tc>
        <w:tc>
          <w:tcPr>
            <w:tcW w:w="1350" w:type="dxa"/>
            <w:noWrap/>
            <w:vAlign w:val="center"/>
          </w:tcPr>
          <w:p w:rsidR="00972987" w:rsidRPr="007B268A" w:rsidRDefault="00972987" w:rsidP="0043092C">
            <w:pPr>
              <w:jc w:val="center"/>
            </w:pPr>
            <w:r w:rsidRPr="007B268A">
              <w:rPr>
                <w:color w:val="000000"/>
              </w:rPr>
              <w:t>4</w:t>
            </w:r>
          </w:p>
        </w:tc>
        <w:tc>
          <w:tcPr>
            <w:tcW w:w="660" w:type="dxa"/>
            <w:noWrap/>
            <w:vAlign w:val="center"/>
          </w:tcPr>
          <w:p w:rsidR="00972987" w:rsidRPr="007B268A" w:rsidRDefault="00972987" w:rsidP="0043092C">
            <w:pPr>
              <w:jc w:val="center"/>
            </w:pPr>
            <w:r w:rsidRPr="007B268A">
              <w:rPr>
                <w:color w:val="000000"/>
              </w:rPr>
              <w:t>0</w:t>
            </w:r>
          </w:p>
        </w:tc>
      </w:tr>
      <w:tr w:rsidR="00972987" w:rsidRPr="007B268A">
        <w:trPr>
          <w:trHeight w:val="300"/>
          <w:jc w:val="center"/>
        </w:trPr>
        <w:tc>
          <w:tcPr>
            <w:tcW w:w="3000" w:type="dxa"/>
            <w:noWrap/>
            <w:vAlign w:val="center"/>
          </w:tcPr>
          <w:p w:rsidR="00972987" w:rsidRPr="00DE7F01" w:rsidRDefault="00972987" w:rsidP="0043092C">
            <w:pPr>
              <w:rPr>
                <w:bCs/>
              </w:rPr>
            </w:pPr>
            <w:r w:rsidRPr="00DE7F01">
              <w:rPr>
                <w:bCs/>
              </w:rPr>
              <w:t>South Asia</w:t>
            </w:r>
          </w:p>
        </w:tc>
        <w:tc>
          <w:tcPr>
            <w:tcW w:w="1260" w:type="dxa"/>
            <w:noWrap/>
            <w:vAlign w:val="center"/>
          </w:tcPr>
          <w:p w:rsidR="00972987" w:rsidRPr="007B268A" w:rsidRDefault="00972987" w:rsidP="0043092C">
            <w:pPr>
              <w:jc w:val="center"/>
            </w:pPr>
            <w:r w:rsidRPr="007B268A">
              <w:t>8</w:t>
            </w:r>
          </w:p>
        </w:tc>
        <w:tc>
          <w:tcPr>
            <w:tcW w:w="900" w:type="dxa"/>
            <w:noWrap/>
            <w:vAlign w:val="center"/>
          </w:tcPr>
          <w:p w:rsidR="00972987" w:rsidRPr="007B268A" w:rsidRDefault="00972987" w:rsidP="0043092C">
            <w:pPr>
              <w:jc w:val="center"/>
            </w:pPr>
            <w:r w:rsidRPr="007B268A">
              <w:rPr>
                <w:color w:val="000000"/>
              </w:rPr>
              <w:t>4</w:t>
            </w:r>
          </w:p>
        </w:tc>
        <w:tc>
          <w:tcPr>
            <w:tcW w:w="1350" w:type="dxa"/>
            <w:noWrap/>
            <w:vAlign w:val="center"/>
          </w:tcPr>
          <w:p w:rsidR="00972987" w:rsidRPr="007B268A" w:rsidRDefault="00972987" w:rsidP="0043092C">
            <w:pPr>
              <w:jc w:val="center"/>
            </w:pPr>
            <w:r w:rsidRPr="007B268A">
              <w:rPr>
                <w:color w:val="000000"/>
              </w:rPr>
              <w:t>4</w:t>
            </w:r>
          </w:p>
        </w:tc>
        <w:tc>
          <w:tcPr>
            <w:tcW w:w="900" w:type="dxa"/>
            <w:noWrap/>
            <w:vAlign w:val="center"/>
          </w:tcPr>
          <w:p w:rsidR="00972987" w:rsidRPr="007B268A" w:rsidRDefault="00972987" w:rsidP="0043092C">
            <w:pPr>
              <w:jc w:val="center"/>
            </w:pPr>
            <w:r w:rsidRPr="007B268A">
              <w:rPr>
                <w:color w:val="000000"/>
              </w:rPr>
              <w:t>2</w:t>
            </w:r>
          </w:p>
        </w:tc>
        <w:tc>
          <w:tcPr>
            <w:tcW w:w="1350" w:type="dxa"/>
            <w:noWrap/>
            <w:vAlign w:val="center"/>
          </w:tcPr>
          <w:p w:rsidR="00972987" w:rsidRPr="007B268A" w:rsidRDefault="00972987" w:rsidP="0043092C">
            <w:pPr>
              <w:jc w:val="center"/>
            </w:pPr>
            <w:r w:rsidRPr="007B268A">
              <w:rPr>
                <w:color w:val="000000"/>
              </w:rPr>
              <w:t>5</w:t>
            </w:r>
          </w:p>
        </w:tc>
        <w:tc>
          <w:tcPr>
            <w:tcW w:w="660" w:type="dxa"/>
            <w:noWrap/>
            <w:vAlign w:val="center"/>
          </w:tcPr>
          <w:p w:rsidR="00972987" w:rsidRPr="007B268A" w:rsidRDefault="00972987" w:rsidP="0043092C">
            <w:pPr>
              <w:jc w:val="center"/>
            </w:pPr>
            <w:r w:rsidRPr="007B268A">
              <w:rPr>
                <w:color w:val="000000"/>
              </w:rPr>
              <w:t>0</w:t>
            </w:r>
          </w:p>
        </w:tc>
      </w:tr>
      <w:tr w:rsidR="00972987" w:rsidRPr="007B268A">
        <w:trPr>
          <w:trHeight w:val="300"/>
          <w:jc w:val="center"/>
        </w:trPr>
        <w:tc>
          <w:tcPr>
            <w:tcW w:w="3000" w:type="dxa"/>
            <w:noWrap/>
            <w:vAlign w:val="center"/>
          </w:tcPr>
          <w:p w:rsidR="00972987" w:rsidRPr="00DE7F01" w:rsidRDefault="00972987" w:rsidP="0043092C">
            <w:pPr>
              <w:rPr>
                <w:bCs/>
              </w:rPr>
            </w:pPr>
            <w:r w:rsidRPr="00DE7F01">
              <w:rPr>
                <w:bCs/>
              </w:rPr>
              <w:t>Sub-Saharan Africa</w:t>
            </w:r>
          </w:p>
        </w:tc>
        <w:tc>
          <w:tcPr>
            <w:tcW w:w="1260" w:type="dxa"/>
            <w:noWrap/>
            <w:vAlign w:val="center"/>
          </w:tcPr>
          <w:p w:rsidR="00972987" w:rsidRPr="007B268A" w:rsidRDefault="00972987" w:rsidP="0043092C">
            <w:pPr>
              <w:jc w:val="center"/>
            </w:pPr>
            <w:r w:rsidRPr="007B268A">
              <w:t>45</w:t>
            </w:r>
          </w:p>
        </w:tc>
        <w:tc>
          <w:tcPr>
            <w:tcW w:w="900" w:type="dxa"/>
            <w:noWrap/>
            <w:vAlign w:val="center"/>
          </w:tcPr>
          <w:p w:rsidR="00972987" w:rsidRPr="007B268A" w:rsidRDefault="00972987" w:rsidP="0043092C">
            <w:pPr>
              <w:jc w:val="center"/>
            </w:pPr>
            <w:r w:rsidRPr="007B268A">
              <w:rPr>
                <w:color w:val="000000"/>
              </w:rPr>
              <w:t>34</w:t>
            </w:r>
          </w:p>
        </w:tc>
        <w:tc>
          <w:tcPr>
            <w:tcW w:w="1350" w:type="dxa"/>
            <w:noWrap/>
            <w:vAlign w:val="center"/>
          </w:tcPr>
          <w:p w:rsidR="00972987" w:rsidRPr="007B268A" w:rsidRDefault="00972987" w:rsidP="0043092C">
            <w:pPr>
              <w:jc w:val="center"/>
            </w:pPr>
            <w:r w:rsidRPr="007B268A">
              <w:rPr>
                <w:color w:val="000000"/>
              </w:rPr>
              <w:t>35</w:t>
            </w:r>
          </w:p>
        </w:tc>
        <w:tc>
          <w:tcPr>
            <w:tcW w:w="900" w:type="dxa"/>
            <w:noWrap/>
            <w:vAlign w:val="center"/>
          </w:tcPr>
          <w:p w:rsidR="00972987" w:rsidRPr="007B268A" w:rsidRDefault="00972987" w:rsidP="0043092C">
            <w:pPr>
              <w:jc w:val="center"/>
            </w:pPr>
            <w:r w:rsidRPr="007B268A">
              <w:rPr>
                <w:color w:val="000000"/>
              </w:rPr>
              <w:t>31</w:t>
            </w:r>
          </w:p>
        </w:tc>
        <w:tc>
          <w:tcPr>
            <w:tcW w:w="1350" w:type="dxa"/>
            <w:noWrap/>
            <w:vAlign w:val="center"/>
          </w:tcPr>
          <w:p w:rsidR="00972987" w:rsidRPr="007B268A" w:rsidRDefault="00972987" w:rsidP="0043092C">
            <w:pPr>
              <w:jc w:val="center"/>
            </w:pPr>
            <w:r w:rsidRPr="007B268A">
              <w:rPr>
                <w:color w:val="000000"/>
              </w:rPr>
              <w:t>37</w:t>
            </w:r>
          </w:p>
        </w:tc>
        <w:tc>
          <w:tcPr>
            <w:tcW w:w="660" w:type="dxa"/>
            <w:noWrap/>
            <w:vAlign w:val="center"/>
          </w:tcPr>
          <w:p w:rsidR="00972987" w:rsidRPr="007B268A" w:rsidRDefault="00972987" w:rsidP="0043092C">
            <w:pPr>
              <w:jc w:val="center"/>
            </w:pPr>
            <w:r w:rsidRPr="007B268A">
              <w:rPr>
                <w:color w:val="000000"/>
              </w:rPr>
              <w:t>0</w:t>
            </w:r>
          </w:p>
        </w:tc>
      </w:tr>
      <w:tr w:rsidR="00972987" w:rsidRPr="007B268A">
        <w:trPr>
          <w:trHeight w:val="300"/>
          <w:jc w:val="center"/>
        </w:trPr>
        <w:tc>
          <w:tcPr>
            <w:tcW w:w="3000" w:type="dxa"/>
            <w:noWrap/>
            <w:vAlign w:val="center"/>
          </w:tcPr>
          <w:p w:rsidR="00972987" w:rsidRPr="00DE7F01" w:rsidRDefault="00972987" w:rsidP="0043092C">
            <w:pPr>
              <w:rPr>
                <w:bCs/>
              </w:rPr>
            </w:pPr>
            <w:r w:rsidRPr="00DE7F01">
              <w:rPr>
                <w:bCs/>
              </w:rPr>
              <w:t>High-income countries</w:t>
            </w:r>
          </w:p>
        </w:tc>
        <w:tc>
          <w:tcPr>
            <w:tcW w:w="1260" w:type="dxa"/>
            <w:noWrap/>
            <w:vAlign w:val="center"/>
          </w:tcPr>
          <w:p w:rsidR="00972987" w:rsidRPr="007B268A" w:rsidRDefault="00972987" w:rsidP="0043092C">
            <w:pPr>
              <w:jc w:val="center"/>
            </w:pPr>
            <w:r w:rsidRPr="007B268A">
              <w:t>49</w:t>
            </w:r>
          </w:p>
        </w:tc>
        <w:tc>
          <w:tcPr>
            <w:tcW w:w="900" w:type="dxa"/>
            <w:noWrap/>
            <w:vAlign w:val="center"/>
          </w:tcPr>
          <w:p w:rsidR="00972987" w:rsidRPr="007B268A" w:rsidRDefault="00972987" w:rsidP="0043092C">
            <w:pPr>
              <w:jc w:val="center"/>
            </w:pPr>
            <w:r w:rsidRPr="007B268A">
              <w:rPr>
                <w:color w:val="000000"/>
              </w:rPr>
              <w:t>0</w:t>
            </w:r>
          </w:p>
        </w:tc>
        <w:tc>
          <w:tcPr>
            <w:tcW w:w="1350" w:type="dxa"/>
            <w:noWrap/>
            <w:vAlign w:val="center"/>
          </w:tcPr>
          <w:p w:rsidR="00972987" w:rsidRPr="007B268A" w:rsidRDefault="00972987" w:rsidP="0043092C">
            <w:pPr>
              <w:jc w:val="center"/>
            </w:pPr>
            <w:r w:rsidRPr="007B268A">
              <w:rPr>
                <w:color w:val="000000"/>
              </w:rPr>
              <w:t>7</w:t>
            </w:r>
          </w:p>
        </w:tc>
        <w:tc>
          <w:tcPr>
            <w:tcW w:w="900" w:type="dxa"/>
            <w:noWrap/>
            <w:vAlign w:val="center"/>
          </w:tcPr>
          <w:p w:rsidR="00972987" w:rsidRPr="007B268A" w:rsidRDefault="00972987" w:rsidP="0043092C">
            <w:pPr>
              <w:jc w:val="center"/>
            </w:pPr>
            <w:r w:rsidRPr="007B268A">
              <w:rPr>
                <w:color w:val="000000"/>
              </w:rPr>
              <w:t>0</w:t>
            </w:r>
          </w:p>
        </w:tc>
        <w:tc>
          <w:tcPr>
            <w:tcW w:w="1350" w:type="dxa"/>
            <w:noWrap/>
            <w:vAlign w:val="center"/>
          </w:tcPr>
          <w:p w:rsidR="00972987" w:rsidRPr="007B268A" w:rsidRDefault="00972987" w:rsidP="0043092C">
            <w:pPr>
              <w:jc w:val="center"/>
            </w:pPr>
            <w:r w:rsidRPr="007B268A">
              <w:rPr>
                <w:color w:val="000000"/>
              </w:rPr>
              <w:t>4</w:t>
            </w:r>
          </w:p>
        </w:tc>
        <w:tc>
          <w:tcPr>
            <w:tcW w:w="660" w:type="dxa"/>
            <w:noWrap/>
            <w:vAlign w:val="center"/>
          </w:tcPr>
          <w:p w:rsidR="00972987" w:rsidRPr="007B268A" w:rsidRDefault="00972987" w:rsidP="0043092C">
            <w:pPr>
              <w:jc w:val="center"/>
            </w:pPr>
            <w:r w:rsidRPr="007B268A">
              <w:rPr>
                <w:color w:val="000000"/>
              </w:rPr>
              <w:t>0</w:t>
            </w:r>
          </w:p>
        </w:tc>
      </w:tr>
      <w:tr w:rsidR="00972987" w:rsidRPr="007B268A">
        <w:trPr>
          <w:trHeight w:val="315"/>
          <w:jc w:val="center"/>
        </w:trPr>
        <w:tc>
          <w:tcPr>
            <w:tcW w:w="9420" w:type="dxa"/>
            <w:gridSpan w:val="7"/>
            <w:shd w:val="clear" w:color="auto" w:fill="D9D9D9" w:themeFill="background1" w:themeFillShade="D9"/>
            <w:noWrap/>
            <w:vAlign w:val="center"/>
          </w:tcPr>
          <w:p w:rsidR="00972987" w:rsidRPr="00DE7F01" w:rsidRDefault="00972987" w:rsidP="0043092C">
            <w:pPr>
              <w:jc w:val="center"/>
              <w:rPr>
                <w:color w:val="000000"/>
              </w:rPr>
            </w:pPr>
          </w:p>
        </w:tc>
      </w:tr>
      <w:tr w:rsidR="00972987" w:rsidRPr="007B268A">
        <w:trPr>
          <w:trHeight w:val="315"/>
          <w:jc w:val="center"/>
        </w:trPr>
        <w:tc>
          <w:tcPr>
            <w:tcW w:w="3000" w:type="dxa"/>
            <w:noWrap/>
            <w:vAlign w:val="center"/>
          </w:tcPr>
          <w:p w:rsidR="00972987" w:rsidRPr="00DE7F01" w:rsidRDefault="00972987" w:rsidP="0043092C">
            <w:pPr>
              <w:rPr>
                <w:bCs/>
              </w:rPr>
            </w:pPr>
            <w:r w:rsidRPr="00DE7F01">
              <w:rPr>
                <w:bCs/>
              </w:rPr>
              <w:t>World</w:t>
            </w:r>
          </w:p>
        </w:tc>
        <w:tc>
          <w:tcPr>
            <w:tcW w:w="1260" w:type="dxa"/>
            <w:noWrap/>
            <w:vAlign w:val="center"/>
          </w:tcPr>
          <w:p w:rsidR="00972987" w:rsidRPr="007B268A" w:rsidRDefault="00972987" w:rsidP="0043092C">
            <w:pPr>
              <w:jc w:val="center"/>
            </w:pPr>
            <w:r w:rsidRPr="007B268A">
              <w:t>183</w:t>
            </w:r>
          </w:p>
        </w:tc>
        <w:tc>
          <w:tcPr>
            <w:tcW w:w="900" w:type="dxa"/>
            <w:noWrap/>
            <w:vAlign w:val="center"/>
          </w:tcPr>
          <w:p w:rsidR="00972987" w:rsidRPr="007B268A" w:rsidRDefault="00972987" w:rsidP="0043092C">
            <w:pPr>
              <w:jc w:val="center"/>
              <w:rPr>
                <w:color w:val="000000"/>
              </w:rPr>
            </w:pPr>
            <w:r w:rsidRPr="007B268A">
              <w:rPr>
                <w:color w:val="000000"/>
              </w:rPr>
              <w:t>49</w:t>
            </w:r>
          </w:p>
        </w:tc>
        <w:tc>
          <w:tcPr>
            <w:tcW w:w="1350" w:type="dxa"/>
            <w:vAlign w:val="center"/>
          </w:tcPr>
          <w:p w:rsidR="00972987" w:rsidRPr="007B268A" w:rsidRDefault="00972987" w:rsidP="0043092C">
            <w:pPr>
              <w:jc w:val="center"/>
              <w:rPr>
                <w:color w:val="000000"/>
              </w:rPr>
            </w:pPr>
            <w:r w:rsidRPr="007B268A">
              <w:rPr>
                <w:color w:val="000000"/>
              </w:rPr>
              <w:t>55</w:t>
            </w:r>
          </w:p>
        </w:tc>
        <w:tc>
          <w:tcPr>
            <w:tcW w:w="900" w:type="dxa"/>
            <w:vAlign w:val="center"/>
          </w:tcPr>
          <w:p w:rsidR="00972987" w:rsidRPr="007B268A" w:rsidRDefault="00972987" w:rsidP="0043092C">
            <w:pPr>
              <w:jc w:val="center"/>
            </w:pPr>
            <w:r w:rsidRPr="007B268A">
              <w:rPr>
                <w:color w:val="000000"/>
              </w:rPr>
              <w:t>42</w:t>
            </w:r>
          </w:p>
        </w:tc>
        <w:tc>
          <w:tcPr>
            <w:tcW w:w="1350" w:type="dxa"/>
            <w:vAlign w:val="center"/>
          </w:tcPr>
          <w:p w:rsidR="00972987" w:rsidRPr="007B268A" w:rsidRDefault="00972987" w:rsidP="0043092C">
            <w:pPr>
              <w:jc w:val="center"/>
            </w:pPr>
            <w:r w:rsidRPr="007B268A">
              <w:rPr>
                <w:color w:val="000000"/>
              </w:rPr>
              <w:t>68</w:t>
            </w:r>
          </w:p>
        </w:tc>
        <w:tc>
          <w:tcPr>
            <w:tcW w:w="660" w:type="dxa"/>
            <w:noWrap/>
            <w:vAlign w:val="center"/>
          </w:tcPr>
          <w:p w:rsidR="00972987" w:rsidRPr="007B268A" w:rsidRDefault="00972987" w:rsidP="0043092C">
            <w:pPr>
              <w:jc w:val="center"/>
            </w:pPr>
            <w:r w:rsidRPr="007B268A">
              <w:rPr>
                <w:color w:val="000000"/>
              </w:rPr>
              <w:t>0</w:t>
            </w:r>
          </w:p>
        </w:tc>
      </w:tr>
      <w:tr w:rsidR="00972987" w:rsidRPr="007B268A">
        <w:trPr>
          <w:trHeight w:val="315"/>
          <w:jc w:val="center"/>
        </w:trPr>
        <w:tc>
          <w:tcPr>
            <w:tcW w:w="9420" w:type="dxa"/>
            <w:gridSpan w:val="7"/>
            <w:noWrap/>
            <w:vAlign w:val="center"/>
          </w:tcPr>
          <w:p w:rsidR="00972987" w:rsidRPr="007B268A" w:rsidRDefault="00972987" w:rsidP="0043092C">
            <w:r w:rsidRPr="007B268A">
              <w:rPr>
                <w:i/>
              </w:rPr>
              <w:t>Source:</w:t>
            </w:r>
            <w:r w:rsidRPr="007B268A">
              <w:t xml:space="preserve"> </w:t>
            </w:r>
            <w:r w:rsidRPr="007B268A">
              <w:rPr>
                <w:i/>
              </w:rPr>
              <w:t>IFs v6.57 23 May 2012</w:t>
            </w:r>
          </w:p>
          <w:p w:rsidR="00972987" w:rsidRPr="007B268A" w:rsidRDefault="00972987" w:rsidP="0043092C">
            <w:pPr>
              <w:rPr>
                <w:i/>
              </w:rPr>
            </w:pPr>
            <w:r w:rsidRPr="007B268A">
              <w:rPr>
                <w:i/>
              </w:rPr>
              <w:t>Note: A country is defined as falling short of the target level if it is more than 2.5 percent from the target level.</w:t>
            </w:r>
          </w:p>
        </w:tc>
      </w:tr>
    </w:tbl>
    <w:p w:rsidR="00972987" w:rsidRPr="007B268A" w:rsidRDefault="00972987" w:rsidP="00972987"/>
    <w:p w:rsidR="00972987" w:rsidRPr="007B268A" w:rsidRDefault="00972987" w:rsidP="00972987">
      <w:r w:rsidRPr="007B268A">
        <w:t xml:space="preserve">We can translate these increases into the absolute number of additional persons with access to infrastructure (Figure 6.3). The largest gains are in access to mobile broadband and improved sanitation, with increases of more than 1.6 and 1.2 billion persons, respectively. There were fewer persons without access to electricity and improved water in the </w:t>
      </w:r>
      <w:r>
        <w:t>Base case</w:t>
      </w:r>
      <w:r w:rsidRPr="007B268A">
        <w:t>, so the increases in persons with access in the Universal Targets scenario are somewhat less. As for rural roads, the smaller number is primarily due to the fact that only the rural population is considered.</w:t>
      </w:r>
    </w:p>
    <w:p w:rsidR="00972987" w:rsidRDefault="00972987" w:rsidP="00972987"/>
    <w:p w:rsidR="00972987" w:rsidRPr="007B268A" w:rsidRDefault="00972987" w:rsidP="00972987">
      <w:r w:rsidRPr="007D020E">
        <w:rPr>
          <w:noProof/>
        </w:rPr>
        <w:drawing>
          <wp:inline distT="0" distB="0" distL="0" distR="0">
            <wp:extent cx="2926080" cy="2678021"/>
            <wp:effectExtent l="25400" t="25400" r="20320" b="0"/>
            <wp:docPr id="89" name="C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sidRPr="004A3632">
        <w:rPr>
          <w:noProof/>
        </w:rPr>
        <w:drawing>
          <wp:inline distT="0" distB="0" distL="0" distR="0">
            <wp:extent cx="2926080" cy="2677160"/>
            <wp:effectExtent l="25400" t="25400" r="20320" b="0"/>
            <wp:docPr id="90" name="C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972987" w:rsidRPr="007B268A" w:rsidRDefault="00972987" w:rsidP="00972987">
      <w:pPr>
        <w:rPr>
          <w:b/>
        </w:rPr>
      </w:pPr>
      <w:r w:rsidRPr="007B268A">
        <w:rPr>
          <w:b/>
        </w:rPr>
        <w:t xml:space="preserve">Figure 6.3 Additional population with access to targeted infrastructure in 2030 in the Universal Targets scenario versus the </w:t>
      </w:r>
      <w:r>
        <w:rPr>
          <w:b/>
        </w:rPr>
        <w:t>base case</w:t>
      </w:r>
      <w:r w:rsidRPr="007B268A">
        <w:rPr>
          <w:b/>
        </w:rPr>
        <w:t>, by region and Income Class</w:t>
      </w:r>
    </w:p>
    <w:p w:rsidR="00972987" w:rsidRPr="007D020E" w:rsidRDefault="00972987" w:rsidP="00972987">
      <w:pPr>
        <w:autoSpaceDE w:val="0"/>
        <w:autoSpaceDN w:val="0"/>
        <w:adjustRightInd w:val="0"/>
        <w:rPr>
          <w:rFonts w:eastAsiaTheme="minorEastAsia"/>
          <w:color w:val="000000"/>
        </w:rPr>
      </w:pPr>
      <w:r w:rsidRPr="007D020E">
        <w:rPr>
          <w:rFonts w:eastAsiaTheme="minorEastAsia"/>
          <w:i/>
          <w:color w:val="000000"/>
        </w:rPr>
        <w:t>Source</w:t>
      </w:r>
      <w:r w:rsidRPr="007D020E">
        <w:rPr>
          <w:rFonts w:eastAsiaTheme="minorEastAsia"/>
          <w:color w:val="000000"/>
        </w:rPr>
        <w:t xml:space="preserve">: </w:t>
      </w:r>
      <w:r w:rsidRPr="007D020E">
        <w:rPr>
          <w:rFonts w:eastAsiaTheme="minorEastAsia"/>
          <w:i/>
          <w:color w:val="000000"/>
        </w:rPr>
        <w:t>IFs v6.57</w:t>
      </w:r>
    </w:p>
    <w:p w:rsidR="00972987" w:rsidRPr="007D020E" w:rsidRDefault="00972987" w:rsidP="00972987">
      <w:r w:rsidRPr="007D020E">
        <w:rPr>
          <w:rFonts w:eastAsiaTheme="minorEastAsia"/>
          <w:i/>
          <w:color w:val="000000"/>
        </w:rPr>
        <w:t>Note: the global population in 2030 is approximately 40 million persons larger in the Universal Targets scenario than in the Base case.</w:t>
      </w:r>
    </w:p>
    <w:p w:rsidR="00972987" w:rsidRPr="007B268A" w:rsidRDefault="0012772B" w:rsidP="0012772B">
      <w:pPr>
        <w:pStyle w:val="Heading3"/>
        <w:numPr>
          <w:ilvl w:val="0"/>
          <w:numId w:val="0"/>
        </w:numPr>
      </w:pPr>
      <w:bookmarkStart w:id="180" w:name="_Toc199925075"/>
      <w:bookmarkStart w:id="181" w:name="_Toc200095331"/>
      <w:r>
        <w:t>6.2.2</w:t>
      </w:r>
      <w:r>
        <w:tab/>
      </w:r>
      <w:r w:rsidR="00972987" w:rsidRPr="007B268A">
        <w:t>The economic benefits and costs of pursuing universal targets</w:t>
      </w:r>
      <w:bookmarkEnd w:id="180"/>
      <w:bookmarkEnd w:id="181"/>
    </w:p>
    <w:p w:rsidR="00972987" w:rsidRPr="007B268A" w:rsidRDefault="00972987" w:rsidP="00972987">
      <w:r w:rsidRPr="007B268A">
        <w:t xml:space="preserve">We begin our analysis with a look at the economic differences between the </w:t>
      </w:r>
      <w:r>
        <w:t>base case</w:t>
      </w:r>
      <w:r w:rsidRPr="007B268A">
        <w:t xml:space="preserve"> and the Universal Targets scenario.</w:t>
      </w:r>
      <w:r w:rsidRPr="007B268A" w:rsidDel="00493380">
        <w:t xml:space="preserve"> </w:t>
      </w:r>
      <w:r w:rsidRPr="007B268A">
        <w:t xml:space="preserve">The global public funding devoted to infrastructure in the Universal Targets scenario compared to the </w:t>
      </w:r>
      <w:r>
        <w:t>base case</w:t>
      </w:r>
      <w:r w:rsidRPr="007B268A">
        <w:t xml:space="preserve"> increases immediately, eventually growing to more than $300 billion annually around the target year of 2030 (Figure 6.4). This is followed by a short-term drop as a number of countries achieve the targets, and then a continued rise as other countries continue to try to reach the targets and all countries need to spend more in order to maintain the additional infrastructure they have compared to the </w:t>
      </w:r>
      <w:r>
        <w:t>base case</w:t>
      </w:r>
      <w:r w:rsidRPr="007B268A">
        <w:t xml:space="preserve">. The cumulative additional spending is 3.6 trillion dollars between 2010 and 2030 and a further 9.6 trillion dollars between 2030 and 2060, amounts which represent increases of 8 and 9 percent over the spending in the </w:t>
      </w:r>
      <w:r>
        <w:t>base case</w:t>
      </w:r>
      <w:r w:rsidRPr="007B268A">
        <w:t xml:space="preserve"> for these periods.</w:t>
      </w:r>
    </w:p>
    <w:p w:rsidR="00972987" w:rsidRPr="007B268A" w:rsidRDefault="00972987" w:rsidP="00972987"/>
    <w:p w:rsidR="00972987" w:rsidRPr="007B268A" w:rsidRDefault="00972987" w:rsidP="00972987">
      <w:r w:rsidRPr="007B268A">
        <w:t>If we measure this incremental spending as a percentage of global GDP, the same pattern is followed up until the target year, with a peak value of around 0.4 percent of GDP. After the target year, though, the additional spending is increasingly outweighed by additional economic activity, so the increment as a percentage of GDP falls in the later years.</w:t>
      </w:r>
    </w:p>
    <w:p w:rsidR="00972987" w:rsidRPr="007B268A" w:rsidRDefault="00972987" w:rsidP="00972987"/>
    <w:p w:rsidR="00972987" w:rsidRDefault="00972987" w:rsidP="00972987">
      <w:pPr>
        <w:jc w:val="center"/>
        <w:rPr>
          <w:b/>
        </w:rPr>
      </w:pPr>
      <w:r w:rsidRPr="004A3632">
        <w:rPr>
          <w:b/>
          <w:noProof/>
        </w:rPr>
        <w:drawing>
          <wp:inline distT="0" distB="0" distL="0" distR="0">
            <wp:extent cx="5486400" cy="3588385"/>
            <wp:effectExtent l="25400" t="25400" r="0" b="0"/>
            <wp:docPr id="91" name="C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972987" w:rsidRPr="007B268A" w:rsidRDefault="00972987" w:rsidP="00972987">
      <w:pPr>
        <w:rPr>
          <w:b/>
        </w:rPr>
      </w:pPr>
      <w:r w:rsidRPr="007B268A">
        <w:rPr>
          <w:b/>
        </w:rPr>
        <w:t xml:space="preserve">Figure 6.4 Annual additional global spending on infrastructure in the Universal Targets scenario compared to the </w:t>
      </w:r>
      <w:r>
        <w:rPr>
          <w:b/>
        </w:rPr>
        <w:t>base case</w:t>
      </w:r>
    </w:p>
    <w:p w:rsidR="00972987" w:rsidRPr="007B268A" w:rsidRDefault="00972987" w:rsidP="00972987">
      <w:r w:rsidRPr="007B268A">
        <w:rPr>
          <w:i/>
        </w:rPr>
        <w:t>Source:</w:t>
      </w:r>
      <w:r w:rsidRPr="007B268A">
        <w:t xml:space="preserve"> </w:t>
      </w:r>
      <w:r w:rsidRPr="007B268A">
        <w:rPr>
          <w:i/>
        </w:rPr>
        <w:t>IFs v6.57</w:t>
      </w:r>
    </w:p>
    <w:p w:rsidR="00972987" w:rsidRPr="007B268A" w:rsidRDefault="00972987" w:rsidP="00972987"/>
    <w:p w:rsidR="00972987" w:rsidRPr="007B268A" w:rsidRDefault="00972987" w:rsidP="00972987">
      <w:r w:rsidRPr="007B268A">
        <w:t>These global numbers mask significant differences across regions and countries. Figure 6.5 compares the annual additional spending on infrastructure as a percentage of their GDP in the Universal Targets scenario for four African countries: Botswana, Tanzania, Kenya, and Guinea. All of these countries achieve the ICT target by 2030. Botswana is also able to achieve the other targets by 2030; Tanzania does so around 2040; Kenya around 2050; and Mauritania is unable to do so even by the end of our horizon. There is an immediate increase in the amount allocated to infrastructure in each country as they start to pursue the targets, but this differs from a little over 1 percent of GDP in Botswana to more than 4 percent in Tanzania, reflecting a number of factors including how far they start from the targets and the size of their initial GDP. Botswana is able to bring this back down fairly quickly as it progresses towards and achieves the targets. Tanzania maintains it additional spending until around the time it also achieves the targets. Kenya actually has to allocate even more funds in later years, but also sees a sharp drop once it achieves the targets. Mauritania experiences some fluctuations, but generally maintains and even increases its extra spending throughout the horizon as it continues to work to meet the targets. The variation in incremental spending of countries over time reflects many factors, including their changing ability to mobilize revenues, which in turn is influenced by factors such as trade patterns that drive the economic health of countries; remember, IFs is a highly integrated modeling system</w:t>
      </w:r>
    </w:p>
    <w:p w:rsidR="00972987" w:rsidRPr="007B268A" w:rsidRDefault="00972987" w:rsidP="00972987"/>
    <w:p w:rsidR="00972987" w:rsidRDefault="00972987" w:rsidP="00972987">
      <w:pPr>
        <w:jc w:val="center"/>
        <w:rPr>
          <w:b/>
        </w:rPr>
      </w:pPr>
      <w:r w:rsidRPr="004A3632">
        <w:rPr>
          <w:b/>
          <w:noProof/>
        </w:rPr>
        <w:drawing>
          <wp:inline distT="0" distB="0" distL="0" distR="0">
            <wp:extent cx="5491480" cy="3289300"/>
            <wp:effectExtent l="25400" t="25400" r="20320" b="0"/>
            <wp:docPr id="92" name="C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972987" w:rsidRPr="007B268A" w:rsidRDefault="00972987" w:rsidP="00972987">
      <w:pPr>
        <w:rPr>
          <w:b/>
        </w:rPr>
      </w:pPr>
      <w:r w:rsidRPr="007B268A">
        <w:rPr>
          <w:b/>
        </w:rPr>
        <w:t xml:space="preserve">Figure 6.5 Annual additional spending on infrastructure as a percentage of GDP in the Universal Targets scenario compared to the </w:t>
      </w:r>
      <w:r>
        <w:rPr>
          <w:b/>
        </w:rPr>
        <w:t>base case</w:t>
      </w:r>
      <w:r w:rsidRPr="007B268A">
        <w:rPr>
          <w:b/>
        </w:rPr>
        <w:t xml:space="preserve"> for selected countries</w:t>
      </w:r>
    </w:p>
    <w:p w:rsidR="00972987" w:rsidRPr="007B268A" w:rsidRDefault="00972987" w:rsidP="00972987">
      <w:r w:rsidRPr="007B268A">
        <w:rPr>
          <w:i/>
        </w:rPr>
        <w:t>Source:</w:t>
      </w:r>
      <w:r w:rsidRPr="007B268A">
        <w:t xml:space="preserve"> </w:t>
      </w:r>
      <w:r w:rsidRPr="007B268A">
        <w:rPr>
          <w:i/>
        </w:rPr>
        <w:t>IFs v6.57</w:t>
      </w:r>
    </w:p>
    <w:p w:rsidR="00972987" w:rsidRPr="007B268A" w:rsidRDefault="00972987" w:rsidP="00972987"/>
    <w:p w:rsidR="00972987" w:rsidRPr="007B268A" w:rsidRDefault="00972987" w:rsidP="00972987">
      <w:r w:rsidRPr="007B268A">
        <w:t>The hope is, of course, that these monetary costs are more than compensated for by economic gains. Since these accrue over different time frames, i.e. the costs tend to occur before the benefits, Table 6.4 compares the cumulative additional public funds allocated to infrastructure against the changes in GDP, discounted back to the year 2010. If we adopt a time horizon out to 2030, all of the income groups except the Low-income economies experience net monetary benefits from the additional investments in infrastructure in the Universal Targets scenario, with the benefit-cost ratio increasing as we move from the low- to the high-income economies. A number of the developing regions do not break even. The Middle East and North Africa, Europe and Central Asia, and sub-Saharan Africa have benefit-cost ratio of 0.1, 0.5, and 0.7, respectively. Meanwhile East Asia and the Pacific benefits substantially, with a benefit-cost ratio approaching 3. Even though the world as a whole experiences a net benefit, further analysis shows that only about 40 percent of all countries do so using the 2030 time horizon. With a longer time-horizon, i.e. to 2060, this rises to 90 percent of all countries, and all income groups and regions see net benefits. Furthermore, these grow significantly as the increases in GDP increasingly outpace the costs over time.</w:t>
      </w:r>
    </w:p>
    <w:p w:rsidR="00972987" w:rsidRPr="007B268A" w:rsidRDefault="00972987" w:rsidP="00972987"/>
    <w:p w:rsidR="00972987" w:rsidRPr="007B268A" w:rsidRDefault="00972987" w:rsidP="00972987">
      <w:pPr>
        <w:spacing w:after="200" w:line="276" w:lineRule="auto"/>
      </w:pPr>
      <w:r w:rsidRPr="007B268A">
        <w:br w:type="page"/>
      </w:r>
    </w:p>
    <w:p w:rsidR="00972987" w:rsidRPr="007B268A" w:rsidRDefault="00972987" w:rsidP="00972987"/>
    <w:tbl>
      <w:tblPr>
        <w:tblW w:w="9570"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0"/>
        <w:gridCol w:w="1215"/>
        <w:gridCol w:w="1215"/>
        <w:gridCol w:w="1215"/>
        <w:gridCol w:w="1215"/>
        <w:gridCol w:w="1215"/>
        <w:gridCol w:w="1215"/>
      </w:tblGrid>
      <w:tr w:rsidR="00972987" w:rsidRPr="007B268A">
        <w:trPr>
          <w:trHeight w:val="290"/>
        </w:trPr>
        <w:tc>
          <w:tcPr>
            <w:tcW w:w="9570" w:type="dxa"/>
            <w:gridSpan w:val="7"/>
            <w:vAlign w:val="center"/>
          </w:tcPr>
          <w:p w:rsidR="00972987" w:rsidRPr="007B268A" w:rsidRDefault="00972987" w:rsidP="0043092C">
            <w:pPr>
              <w:autoSpaceDE w:val="0"/>
              <w:autoSpaceDN w:val="0"/>
              <w:adjustRightInd w:val="0"/>
              <w:rPr>
                <w:rFonts w:eastAsiaTheme="minorEastAsia"/>
                <w:b/>
                <w:color w:val="000000"/>
                <w:sz w:val="20"/>
              </w:rPr>
            </w:pPr>
            <w:r w:rsidRPr="007B268A">
              <w:rPr>
                <w:rFonts w:eastAsiaTheme="minorEastAsia"/>
                <w:b/>
                <w:color w:val="000000"/>
                <w:sz w:val="20"/>
              </w:rPr>
              <w:t xml:space="preserve">Table 6.4 Cumulative additional spending on infrastructure and GDP, Universal Targets scenario relative to </w:t>
            </w:r>
            <w:r>
              <w:rPr>
                <w:rFonts w:eastAsiaTheme="minorEastAsia"/>
                <w:b/>
                <w:color w:val="000000"/>
                <w:sz w:val="20"/>
              </w:rPr>
              <w:t>base case</w:t>
            </w:r>
          </w:p>
        </w:tc>
      </w:tr>
      <w:tr w:rsidR="00972987" w:rsidRPr="007B268A">
        <w:trPr>
          <w:trHeight w:val="290"/>
        </w:trPr>
        <w:tc>
          <w:tcPr>
            <w:tcW w:w="2280" w:type="dxa"/>
            <w:vAlign w:val="center"/>
          </w:tcPr>
          <w:p w:rsidR="00972987" w:rsidRPr="007B268A" w:rsidRDefault="00972987" w:rsidP="0043092C">
            <w:pPr>
              <w:autoSpaceDE w:val="0"/>
              <w:autoSpaceDN w:val="0"/>
              <w:adjustRightInd w:val="0"/>
              <w:jc w:val="center"/>
              <w:rPr>
                <w:rFonts w:eastAsiaTheme="minorEastAsia"/>
                <w:color w:val="000000"/>
                <w:sz w:val="20"/>
              </w:rPr>
            </w:pPr>
          </w:p>
        </w:tc>
        <w:tc>
          <w:tcPr>
            <w:tcW w:w="3645" w:type="dxa"/>
            <w:gridSpan w:val="3"/>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rFonts w:eastAsiaTheme="minorEastAsia"/>
                <w:color w:val="000000"/>
                <w:sz w:val="20"/>
              </w:rPr>
              <w:t>2030 Time Horizon</w:t>
            </w:r>
          </w:p>
        </w:tc>
        <w:tc>
          <w:tcPr>
            <w:tcW w:w="3645" w:type="dxa"/>
            <w:gridSpan w:val="3"/>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rFonts w:eastAsiaTheme="minorEastAsia"/>
                <w:color w:val="000000"/>
                <w:sz w:val="20"/>
              </w:rPr>
              <w:t>2060 Time Horizon</w:t>
            </w:r>
          </w:p>
        </w:tc>
      </w:tr>
      <w:tr w:rsidR="00972987" w:rsidRPr="007B268A">
        <w:trPr>
          <w:trHeight w:val="290"/>
        </w:trPr>
        <w:tc>
          <w:tcPr>
            <w:tcW w:w="2280" w:type="dxa"/>
          </w:tcPr>
          <w:p w:rsidR="00972987" w:rsidRPr="007B268A" w:rsidRDefault="00972987">
            <w:pPr>
              <w:autoSpaceDE w:val="0"/>
              <w:autoSpaceDN w:val="0"/>
              <w:adjustRightInd w:val="0"/>
              <w:jc w:val="right"/>
              <w:rPr>
                <w:rFonts w:eastAsiaTheme="minorEastAsia"/>
                <w:color w:val="000000"/>
                <w:sz w:val="20"/>
              </w:rPr>
            </w:pPr>
          </w:p>
        </w:tc>
        <w:tc>
          <w:tcPr>
            <w:tcW w:w="1215" w:type="dxa"/>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rFonts w:eastAsiaTheme="minorEastAsia"/>
                <w:color w:val="000000"/>
                <w:sz w:val="20"/>
              </w:rPr>
              <w:t>Incremental funds</w:t>
            </w:r>
          </w:p>
        </w:tc>
        <w:tc>
          <w:tcPr>
            <w:tcW w:w="1215" w:type="dxa"/>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rFonts w:eastAsiaTheme="minorEastAsia"/>
                <w:color w:val="000000"/>
                <w:sz w:val="20"/>
              </w:rPr>
              <w:t>Incremental GDP</w:t>
            </w:r>
          </w:p>
        </w:tc>
        <w:tc>
          <w:tcPr>
            <w:tcW w:w="1215" w:type="dxa"/>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rFonts w:eastAsiaTheme="minorEastAsia"/>
                <w:color w:val="000000"/>
                <w:sz w:val="20"/>
              </w:rPr>
              <w:t>GDP/</w:t>
            </w:r>
          </w:p>
          <w:p w:rsidR="00972987" w:rsidRPr="007B268A" w:rsidRDefault="00972987" w:rsidP="0043092C">
            <w:pPr>
              <w:autoSpaceDE w:val="0"/>
              <w:autoSpaceDN w:val="0"/>
              <w:adjustRightInd w:val="0"/>
              <w:jc w:val="center"/>
              <w:rPr>
                <w:rFonts w:eastAsiaTheme="minorEastAsia"/>
                <w:color w:val="000000"/>
                <w:sz w:val="20"/>
              </w:rPr>
            </w:pPr>
            <w:r w:rsidRPr="007B268A">
              <w:rPr>
                <w:rFonts w:eastAsiaTheme="minorEastAsia"/>
                <w:color w:val="000000"/>
                <w:sz w:val="20"/>
              </w:rPr>
              <w:t>funds</w:t>
            </w:r>
          </w:p>
        </w:tc>
        <w:tc>
          <w:tcPr>
            <w:tcW w:w="1215" w:type="dxa"/>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rFonts w:eastAsiaTheme="minorEastAsia"/>
                <w:color w:val="000000"/>
                <w:sz w:val="20"/>
              </w:rPr>
              <w:t>Incremental funds</w:t>
            </w:r>
          </w:p>
        </w:tc>
        <w:tc>
          <w:tcPr>
            <w:tcW w:w="1215" w:type="dxa"/>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rFonts w:eastAsiaTheme="minorEastAsia"/>
                <w:color w:val="000000"/>
                <w:sz w:val="20"/>
              </w:rPr>
              <w:t>Incremental GDP</w:t>
            </w:r>
          </w:p>
        </w:tc>
        <w:tc>
          <w:tcPr>
            <w:tcW w:w="1215" w:type="dxa"/>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rFonts w:eastAsiaTheme="minorEastAsia"/>
                <w:color w:val="000000"/>
                <w:sz w:val="20"/>
              </w:rPr>
              <w:t>GDP/</w:t>
            </w:r>
          </w:p>
          <w:p w:rsidR="00972987" w:rsidRPr="007B268A" w:rsidRDefault="00972987" w:rsidP="0043092C">
            <w:pPr>
              <w:autoSpaceDE w:val="0"/>
              <w:autoSpaceDN w:val="0"/>
              <w:adjustRightInd w:val="0"/>
              <w:jc w:val="center"/>
              <w:rPr>
                <w:rFonts w:eastAsiaTheme="minorEastAsia"/>
                <w:color w:val="000000"/>
                <w:sz w:val="20"/>
              </w:rPr>
            </w:pPr>
            <w:r w:rsidRPr="007B268A">
              <w:rPr>
                <w:rFonts w:eastAsiaTheme="minorEastAsia"/>
                <w:color w:val="000000"/>
                <w:sz w:val="20"/>
              </w:rPr>
              <w:t>funds</w:t>
            </w:r>
          </w:p>
        </w:tc>
      </w:tr>
      <w:tr w:rsidR="00972987" w:rsidRPr="007B268A">
        <w:trPr>
          <w:trHeight w:val="290"/>
        </w:trPr>
        <w:tc>
          <w:tcPr>
            <w:tcW w:w="2280" w:type="dxa"/>
          </w:tcPr>
          <w:p w:rsidR="00972987" w:rsidRPr="007B268A" w:rsidRDefault="00972987">
            <w:pPr>
              <w:autoSpaceDE w:val="0"/>
              <w:autoSpaceDN w:val="0"/>
              <w:adjustRightInd w:val="0"/>
              <w:rPr>
                <w:rFonts w:eastAsiaTheme="minorEastAsia"/>
                <w:color w:val="000000"/>
                <w:sz w:val="20"/>
              </w:rPr>
            </w:pPr>
            <w:r w:rsidRPr="007B268A">
              <w:rPr>
                <w:rFonts w:eastAsiaTheme="minorEastAsia"/>
                <w:color w:val="000000"/>
                <w:sz w:val="20"/>
              </w:rPr>
              <w:t xml:space="preserve">Low-income </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276</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219</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0.8</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1,204</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7,170</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6.0</w:t>
            </w:r>
          </w:p>
        </w:tc>
      </w:tr>
      <w:tr w:rsidR="00972987" w:rsidRPr="007B268A">
        <w:trPr>
          <w:trHeight w:val="290"/>
        </w:trPr>
        <w:tc>
          <w:tcPr>
            <w:tcW w:w="2280" w:type="dxa"/>
          </w:tcPr>
          <w:p w:rsidR="00972987" w:rsidRPr="007B268A" w:rsidRDefault="00972987">
            <w:pPr>
              <w:autoSpaceDE w:val="0"/>
              <w:autoSpaceDN w:val="0"/>
              <w:adjustRightInd w:val="0"/>
              <w:rPr>
                <w:rFonts w:eastAsiaTheme="minorEastAsia"/>
                <w:color w:val="000000"/>
                <w:sz w:val="20"/>
              </w:rPr>
            </w:pPr>
            <w:r w:rsidRPr="007B268A">
              <w:rPr>
                <w:rFonts w:eastAsiaTheme="minorEastAsia"/>
                <w:color w:val="000000"/>
                <w:sz w:val="20"/>
              </w:rPr>
              <w:t>Lower-middle-income</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1,234</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1,379</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1.1</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2,576</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35,712</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13.9</w:t>
            </w:r>
          </w:p>
        </w:tc>
      </w:tr>
      <w:tr w:rsidR="00972987" w:rsidRPr="007B268A">
        <w:trPr>
          <w:trHeight w:val="290"/>
        </w:trPr>
        <w:tc>
          <w:tcPr>
            <w:tcW w:w="2280" w:type="dxa"/>
          </w:tcPr>
          <w:p w:rsidR="00972987" w:rsidRPr="007B268A" w:rsidRDefault="00972987">
            <w:pPr>
              <w:autoSpaceDE w:val="0"/>
              <w:autoSpaceDN w:val="0"/>
              <w:adjustRightInd w:val="0"/>
              <w:rPr>
                <w:rFonts w:eastAsiaTheme="minorEastAsia"/>
                <w:color w:val="000000"/>
                <w:sz w:val="20"/>
              </w:rPr>
            </w:pPr>
            <w:r w:rsidRPr="007B268A">
              <w:rPr>
                <w:rFonts w:eastAsiaTheme="minorEastAsia"/>
                <w:color w:val="000000"/>
                <w:sz w:val="20"/>
              </w:rPr>
              <w:t>Upper-middle-income</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1,009</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1,685</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1.7</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1,806</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15,405</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8.5</w:t>
            </w:r>
          </w:p>
        </w:tc>
      </w:tr>
      <w:tr w:rsidR="00972987" w:rsidRPr="007B268A">
        <w:trPr>
          <w:trHeight w:val="290"/>
        </w:trPr>
        <w:tc>
          <w:tcPr>
            <w:tcW w:w="2280" w:type="dxa"/>
          </w:tcPr>
          <w:p w:rsidR="00972987" w:rsidRPr="007B268A" w:rsidRDefault="00972987">
            <w:pPr>
              <w:autoSpaceDE w:val="0"/>
              <w:autoSpaceDN w:val="0"/>
              <w:adjustRightInd w:val="0"/>
              <w:rPr>
                <w:rFonts w:eastAsiaTheme="minorEastAsia"/>
                <w:color w:val="000000"/>
                <w:sz w:val="20"/>
              </w:rPr>
            </w:pPr>
            <w:r w:rsidRPr="007B268A">
              <w:rPr>
                <w:rFonts w:eastAsiaTheme="minorEastAsia"/>
                <w:color w:val="000000"/>
                <w:sz w:val="20"/>
              </w:rPr>
              <w:t>High-income</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157</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1,322</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8.4</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228</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2,852</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12.5</w:t>
            </w:r>
          </w:p>
        </w:tc>
      </w:tr>
      <w:tr w:rsidR="00972987" w:rsidRPr="007B268A">
        <w:trPr>
          <w:trHeight w:val="290"/>
        </w:trPr>
        <w:tc>
          <w:tcPr>
            <w:tcW w:w="9570" w:type="dxa"/>
            <w:gridSpan w:val="7"/>
            <w:shd w:val="clear" w:color="auto" w:fill="D9D9D9" w:themeFill="background1" w:themeFillShade="D9"/>
            <w:vAlign w:val="center"/>
          </w:tcPr>
          <w:p w:rsidR="00972987" w:rsidRPr="007B268A" w:rsidRDefault="00972987" w:rsidP="0043092C">
            <w:pPr>
              <w:autoSpaceDE w:val="0"/>
              <w:autoSpaceDN w:val="0"/>
              <w:adjustRightInd w:val="0"/>
              <w:jc w:val="center"/>
              <w:rPr>
                <w:rFonts w:eastAsiaTheme="minorEastAsia"/>
                <w:color w:val="000000"/>
                <w:sz w:val="20"/>
              </w:rPr>
            </w:pPr>
          </w:p>
        </w:tc>
      </w:tr>
      <w:tr w:rsidR="00972987" w:rsidRPr="007B268A">
        <w:trPr>
          <w:trHeight w:val="290"/>
        </w:trPr>
        <w:tc>
          <w:tcPr>
            <w:tcW w:w="2280" w:type="dxa"/>
          </w:tcPr>
          <w:p w:rsidR="00972987" w:rsidRPr="007B268A" w:rsidRDefault="00972987">
            <w:pPr>
              <w:autoSpaceDE w:val="0"/>
              <w:autoSpaceDN w:val="0"/>
              <w:adjustRightInd w:val="0"/>
              <w:rPr>
                <w:rFonts w:eastAsiaTheme="minorEastAsia"/>
                <w:color w:val="000000"/>
                <w:sz w:val="20"/>
              </w:rPr>
            </w:pPr>
            <w:r w:rsidRPr="007B268A">
              <w:rPr>
                <w:rFonts w:eastAsiaTheme="minorEastAsia"/>
                <w:color w:val="000000"/>
                <w:sz w:val="20"/>
              </w:rPr>
              <w:t>East Asia and Pacific</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372</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1,061</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2.8</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639</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9,658</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15.1</w:t>
            </w:r>
          </w:p>
        </w:tc>
      </w:tr>
      <w:tr w:rsidR="00972987" w:rsidRPr="007B268A">
        <w:trPr>
          <w:trHeight w:val="290"/>
        </w:trPr>
        <w:tc>
          <w:tcPr>
            <w:tcW w:w="2280" w:type="dxa"/>
          </w:tcPr>
          <w:p w:rsidR="00972987" w:rsidRPr="007B268A" w:rsidRDefault="00972987">
            <w:pPr>
              <w:autoSpaceDE w:val="0"/>
              <w:autoSpaceDN w:val="0"/>
              <w:adjustRightInd w:val="0"/>
              <w:rPr>
                <w:rFonts w:eastAsiaTheme="minorEastAsia"/>
                <w:color w:val="000000"/>
                <w:sz w:val="20"/>
              </w:rPr>
            </w:pPr>
            <w:r w:rsidRPr="007B268A">
              <w:rPr>
                <w:rFonts w:eastAsiaTheme="minorEastAsia"/>
                <w:color w:val="000000"/>
                <w:sz w:val="20"/>
              </w:rPr>
              <w:t>Europe and Central Asia</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222</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107</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0.5</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306</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1,348</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4.4</w:t>
            </w:r>
          </w:p>
        </w:tc>
      </w:tr>
      <w:tr w:rsidR="00972987" w:rsidRPr="007B268A">
        <w:trPr>
          <w:trHeight w:val="290"/>
        </w:trPr>
        <w:tc>
          <w:tcPr>
            <w:tcW w:w="2280" w:type="dxa"/>
          </w:tcPr>
          <w:p w:rsidR="00972987" w:rsidRPr="007B268A" w:rsidRDefault="00972987">
            <w:pPr>
              <w:autoSpaceDE w:val="0"/>
              <w:autoSpaceDN w:val="0"/>
              <w:adjustRightInd w:val="0"/>
              <w:rPr>
                <w:rFonts w:eastAsiaTheme="minorEastAsia"/>
                <w:color w:val="000000"/>
                <w:sz w:val="20"/>
              </w:rPr>
            </w:pPr>
            <w:r w:rsidRPr="007B268A">
              <w:rPr>
                <w:rFonts w:eastAsiaTheme="minorEastAsia"/>
                <w:color w:val="000000"/>
                <w:sz w:val="20"/>
              </w:rPr>
              <w:t>Latin America and the Caribbean</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535</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656</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1.2</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1,148</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6,413</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5.6</w:t>
            </w:r>
          </w:p>
        </w:tc>
      </w:tr>
      <w:tr w:rsidR="00972987" w:rsidRPr="007B268A">
        <w:trPr>
          <w:trHeight w:val="290"/>
        </w:trPr>
        <w:tc>
          <w:tcPr>
            <w:tcW w:w="2280" w:type="dxa"/>
          </w:tcPr>
          <w:p w:rsidR="00972987" w:rsidRPr="007B268A" w:rsidRDefault="00972987">
            <w:pPr>
              <w:autoSpaceDE w:val="0"/>
              <w:autoSpaceDN w:val="0"/>
              <w:adjustRightInd w:val="0"/>
              <w:rPr>
                <w:rFonts w:eastAsiaTheme="minorEastAsia"/>
                <w:color w:val="000000"/>
                <w:sz w:val="20"/>
              </w:rPr>
            </w:pPr>
            <w:r w:rsidRPr="007B268A">
              <w:rPr>
                <w:rFonts w:eastAsiaTheme="minorEastAsia"/>
                <w:color w:val="000000"/>
                <w:sz w:val="20"/>
              </w:rPr>
              <w:t>Middle East and North Africa</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280</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38</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0.1</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370</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871</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2.4</w:t>
            </w:r>
          </w:p>
        </w:tc>
      </w:tr>
      <w:tr w:rsidR="00972987" w:rsidRPr="007B268A">
        <w:trPr>
          <w:trHeight w:val="290"/>
        </w:trPr>
        <w:tc>
          <w:tcPr>
            <w:tcW w:w="2280" w:type="dxa"/>
          </w:tcPr>
          <w:p w:rsidR="00972987" w:rsidRPr="007B268A" w:rsidRDefault="00972987">
            <w:pPr>
              <w:autoSpaceDE w:val="0"/>
              <w:autoSpaceDN w:val="0"/>
              <w:adjustRightInd w:val="0"/>
              <w:rPr>
                <w:rFonts w:eastAsiaTheme="minorEastAsia"/>
                <w:color w:val="000000"/>
                <w:sz w:val="20"/>
              </w:rPr>
            </w:pPr>
            <w:r w:rsidRPr="007B268A">
              <w:rPr>
                <w:rFonts w:eastAsiaTheme="minorEastAsia"/>
                <w:color w:val="000000"/>
                <w:sz w:val="20"/>
              </w:rPr>
              <w:t>South Asia</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652</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1,102</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1.7</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1,539</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28,500</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18.5</w:t>
            </w:r>
          </w:p>
        </w:tc>
      </w:tr>
      <w:tr w:rsidR="00972987" w:rsidRPr="007B268A">
        <w:trPr>
          <w:trHeight w:val="290"/>
        </w:trPr>
        <w:tc>
          <w:tcPr>
            <w:tcW w:w="2280" w:type="dxa"/>
          </w:tcPr>
          <w:p w:rsidR="00972987" w:rsidRPr="007B268A" w:rsidRDefault="00972987">
            <w:pPr>
              <w:autoSpaceDE w:val="0"/>
              <w:autoSpaceDN w:val="0"/>
              <w:adjustRightInd w:val="0"/>
              <w:rPr>
                <w:rFonts w:eastAsiaTheme="minorEastAsia"/>
                <w:color w:val="000000"/>
                <w:sz w:val="20"/>
              </w:rPr>
            </w:pPr>
            <w:r w:rsidRPr="007B268A">
              <w:rPr>
                <w:rFonts w:eastAsiaTheme="minorEastAsia"/>
                <w:color w:val="000000"/>
                <w:sz w:val="20"/>
              </w:rPr>
              <w:t>Sub-Saharan Africa</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458</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318</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0.7</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1,586</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11,498</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7.2</w:t>
            </w:r>
          </w:p>
        </w:tc>
      </w:tr>
      <w:tr w:rsidR="00972987" w:rsidRPr="007B268A">
        <w:trPr>
          <w:trHeight w:val="290"/>
        </w:trPr>
        <w:tc>
          <w:tcPr>
            <w:tcW w:w="2280" w:type="dxa"/>
          </w:tcPr>
          <w:p w:rsidR="00972987" w:rsidRPr="007B268A" w:rsidRDefault="00972987">
            <w:pPr>
              <w:autoSpaceDE w:val="0"/>
              <w:autoSpaceDN w:val="0"/>
              <w:adjustRightInd w:val="0"/>
              <w:rPr>
                <w:rFonts w:eastAsiaTheme="minorEastAsia"/>
                <w:color w:val="000000"/>
                <w:sz w:val="20"/>
              </w:rPr>
            </w:pPr>
            <w:r w:rsidRPr="007B268A">
              <w:rPr>
                <w:rFonts w:eastAsiaTheme="minorEastAsia"/>
                <w:color w:val="000000"/>
                <w:sz w:val="20"/>
              </w:rPr>
              <w:t>High-income countries</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157</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1,322</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8.4</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228</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2,852</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12.5</w:t>
            </w:r>
          </w:p>
        </w:tc>
      </w:tr>
      <w:tr w:rsidR="00972987" w:rsidRPr="007B268A">
        <w:trPr>
          <w:trHeight w:val="290"/>
        </w:trPr>
        <w:tc>
          <w:tcPr>
            <w:tcW w:w="9570" w:type="dxa"/>
            <w:gridSpan w:val="7"/>
            <w:shd w:val="clear" w:color="auto" w:fill="D9D9D9" w:themeFill="background1" w:themeFillShade="D9"/>
            <w:vAlign w:val="center"/>
          </w:tcPr>
          <w:p w:rsidR="00972987" w:rsidRPr="007B268A" w:rsidRDefault="00972987" w:rsidP="0043092C">
            <w:pPr>
              <w:autoSpaceDE w:val="0"/>
              <w:autoSpaceDN w:val="0"/>
              <w:adjustRightInd w:val="0"/>
              <w:jc w:val="center"/>
              <w:rPr>
                <w:rFonts w:eastAsiaTheme="minorEastAsia"/>
                <w:color w:val="000000"/>
                <w:sz w:val="20"/>
              </w:rPr>
            </w:pPr>
          </w:p>
        </w:tc>
      </w:tr>
      <w:tr w:rsidR="00972987" w:rsidRPr="007B268A">
        <w:trPr>
          <w:trHeight w:val="290"/>
        </w:trPr>
        <w:tc>
          <w:tcPr>
            <w:tcW w:w="2280" w:type="dxa"/>
          </w:tcPr>
          <w:p w:rsidR="00972987" w:rsidRPr="007B268A" w:rsidRDefault="00972987">
            <w:pPr>
              <w:autoSpaceDE w:val="0"/>
              <w:autoSpaceDN w:val="0"/>
              <w:adjustRightInd w:val="0"/>
              <w:rPr>
                <w:rFonts w:eastAsiaTheme="minorEastAsia"/>
                <w:color w:val="000000"/>
                <w:sz w:val="20"/>
              </w:rPr>
            </w:pPr>
            <w:r w:rsidRPr="007B268A">
              <w:rPr>
                <w:rFonts w:eastAsiaTheme="minorEastAsia"/>
                <w:color w:val="000000"/>
                <w:sz w:val="20"/>
              </w:rPr>
              <w:t>World</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2,675</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4,605</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1.7</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5,814</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61,139</w:t>
            </w:r>
          </w:p>
        </w:tc>
        <w:tc>
          <w:tcPr>
            <w:tcW w:w="1215" w:type="dxa"/>
            <w:vAlign w:val="bottom"/>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10.5</w:t>
            </w:r>
          </w:p>
        </w:tc>
      </w:tr>
      <w:tr w:rsidR="00972987" w:rsidRPr="007B268A">
        <w:trPr>
          <w:trHeight w:val="290"/>
        </w:trPr>
        <w:tc>
          <w:tcPr>
            <w:tcW w:w="9570" w:type="dxa"/>
            <w:gridSpan w:val="7"/>
            <w:vAlign w:val="center"/>
          </w:tcPr>
          <w:p w:rsidR="00972987" w:rsidRPr="007B268A" w:rsidRDefault="00972987" w:rsidP="0043092C">
            <w:pPr>
              <w:autoSpaceDE w:val="0"/>
              <w:autoSpaceDN w:val="0"/>
              <w:adjustRightInd w:val="0"/>
              <w:rPr>
                <w:rFonts w:eastAsiaTheme="minorEastAsia"/>
                <w:color w:val="000000"/>
                <w:sz w:val="20"/>
              </w:rPr>
            </w:pPr>
            <w:r w:rsidRPr="007B268A">
              <w:rPr>
                <w:rFonts w:eastAsiaTheme="minorEastAsia"/>
                <w:i/>
                <w:color w:val="000000"/>
                <w:sz w:val="20"/>
              </w:rPr>
              <w:t>Source</w:t>
            </w:r>
            <w:r w:rsidRPr="007B268A">
              <w:rPr>
                <w:rFonts w:eastAsiaTheme="minorEastAsia"/>
                <w:color w:val="000000"/>
                <w:sz w:val="20"/>
              </w:rPr>
              <w:t>: IFs v6.57, 23 May 2012</w:t>
            </w:r>
          </w:p>
          <w:p w:rsidR="00972987" w:rsidRPr="007B268A" w:rsidRDefault="00972987" w:rsidP="0043092C">
            <w:pPr>
              <w:autoSpaceDE w:val="0"/>
              <w:autoSpaceDN w:val="0"/>
              <w:adjustRightInd w:val="0"/>
              <w:rPr>
                <w:rFonts w:eastAsiaTheme="minorEastAsia"/>
                <w:i/>
                <w:color w:val="000000"/>
                <w:sz w:val="20"/>
              </w:rPr>
            </w:pPr>
            <w:r w:rsidRPr="007B268A">
              <w:rPr>
                <w:rFonts w:eastAsiaTheme="minorEastAsia"/>
                <w:i/>
                <w:color w:val="000000"/>
                <w:sz w:val="20"/>
              </w:rPr>
              <w:t>Note: Both funds and GDP are in billions in 2000 dollars, discounted by 3 percent per year.</w:t>
            </w:r>
          </w:p>
        </w:tc>
      </w:tr>
    </w:tbl>
    <w:p w:rsidR="00972987" w:rsidRPr="007B268A" w:rsidRDefault="00972987" w:rsidP="00972987"/>
    <w:p w:rsidR="00972987" w:rsidRPr="007B268A" w:rsidRDefault="00972987" w:rsidP="00972987">
      <w:pPr>
        <w:pStyle w:val="Heading3"/>
        <w:numPr>
          <w:ilvl w:val="2"/>
          <w:numId w:val="33"/>
        </w:numPr>
      </w:pPr>
      <w:bookmarkStart w:id="182" w:name="_Toc199925076"/>
      <w:bookmarkStart w:id="183" w:name="_Toc200095332"/>
      <w:r w:rsidRPr="007B268A">
        <w:t>The social benefits and costs of pursuing universal targets</w:t>
      </w:r>
      <w:bookmarkEnd w:id="182"/>
      <w:bookmarkEnd w:id="183"/>
    </w:p>
    <w:p w:rsidR="00972987" w:rsidRPr="007B268A" w:rsidRDefault="00972987" w:rsidP="00972987">
      <w:r w:rsidRPr="007B268A">
        <w:t>The analysis of the monetary benefits and costs of pursuing the universal targets, while useful, is quite narrow. Chapter 3 discussed a broad range of potential benefits from improved access to infrastructure, including improved health, greater educational attainment, reduced inequality, and improvements in overall economic productivity. A number of other factors influence each of these, however, and the push to improve infrastructure has a complex set of impacts, both positive and negative.</w:t>
      </w:r>
      <w:r>
        <w:t xml:space="preserve"> </w:t>
      </w:r>
      <w:r w:rsidRPr="007B268A">
        <w:t>We have seen some of the positive impact with respect to economic growth. On the negative side, public spending on infrastructure may divert public funds from other sectors, such as education and health.</w:t>
      </w:r>
      <w:r>
        <w:t xml:space="preserve"> </w:t>
      </w:r>
      <w:r w:rsidRPr="007B268A">
        <w:t>Those in turn affect economic growth, but the human impacts are critical in and of themselves, and the diversion of funding could be quite detrimental.</w:t>
      </w:r>
      <w:r>
        <w:t xml:space="preserve"> </w:t>
      </w:r>
      <w:r w:rsidRPr="007B268A">
        <w:t>Therefore, the broader net benefits for a society of the additional infrastructure in the Universal Targets scenario will also depend on how these change.</w:t>
      </w:r>
    </w:p>
    <w:p w:rsidR="00972987" w:rsidRPr="007B268A" w:rsidRDefault="00972987" w:rsidP="00972987"/>
    <w:p w:rsidR="00972987" w:rsidRPr="007B268A" w:rsidRDefault="00972987" w:rsidP="00972987">
      <w:r w:rsidRPr="007B268A">
        <w:t xml:space="preserve">The degree to which public spending is diverted from other sectors to infrastructure is determined by the amount of additional public spending on infrastructure, adjusted for any changes in total public spending. The cumulative additional global public spending from 2010 to 2030 is greater than 2.5 trillion dollars (about two thirds of the 3.6 trillion total public and private additional spending noted earlier). . Total public spending increases by a little over 1 trillion dollars over this period, however, mostly because of faster economic growth in the Universal Targets scenario. This leaves approximately 1.5 trillion dollars that must come to infrastructure from other public spending sectors. Although these diversions, as a percentage of the spending in the </w:t>
      </w:r>
      <w:r>
        <w:t>base case</w:t>
      </w:r>
      <w:r w:rsidRPr="007B268A">
        <w:t xml:space="preserve"> are fairly minor, 0.3 to 1.7 percent of GDP depending upon the sector, at the global level, they are significantly larger for some income groupings and regions (Table 6.5). The largest diversions, in percentage terms, occur in the Lower-middle-income economies, but they are also significant in the Low-income economies. Meanwhile, there is almost no shift in spending in the High-income economies.</w:t>
      </w:r>
    </w:p>
    <w:p w:rsidR="00972987" w:rsidRPr="007B268A" w:rsidRDefault="00972987" w:rsidP="00972987"/>
    <w:tbl>
      <w:tblPr>
        <w:tblW w:w="9570" w:type="dxa"/>
        <w:tblInd w:w="78" w:type="dxa"/>
        <w:tblLayout w:type="fixed"/>
        <w:tblLook w:val="0000"/>
      </w:tblPr>
      <w:tblGrid>
        <w:gridCol w:w="3450"/>
        <w:gridCol w:w="1260"/>
        <w:gridCol w:w="1080"/>
        <w:gridCol w:w="962"/>
        <w:gridCol w:w="24"/>
        <w:gridCol w:w="1174"/>
        <w:gridCol w:w="6"/>
        <w:gridCol w:w="804"/>
        <w:gridCol w:w="810"/>
      </w:tblGrid>
      <w:tr w:rsidR="00972987" w:rsidRPr="007B268A">
        <w:trPr>
          <w:trHeight w:val="362"/>
        </w:trPr>
        <w:tc>
          <w:tcPr>
            <w:tcW w:w="9570" w:type="dxa"/>
            <w:gridSpan w:val="9"/>
            <w:tcBorders>
              <w:top w:val="single" w:sz="4" w:space="0" w:color="auto"/>
              <w:left w:val="single" w:sz="4" w:space="0" w:color="auto"/>
              <w:bottom w:val="single" w:sz="4" w:space="0" w:color="auto"/>
              <w:right w:val="single" w:sz="4" w:space="0" w:color="auto"/>
            </w:tcBorders>
          </w:tcPr>
          <w:p w:rsidR="00972987" w:rsidRPr="007B268A" w:rsidRDefault="00972987" w:rsidP="0043092C">
            <w:pPr>
              <w:autoSpaceDE w:val="0"/>
              <w:autoSpaceDN w:val="0"/>
              <w:adjustRightInd w:val="0"/>
              <w:rPr>
                <w:rFonts w:eastAsiaTheme="minorEastAsia"/>
                <w:color w:val="000000"/>
              </w:rPr>
            </w:pPr>
            <w:r w:rsidRPr="007B268A">
              <w:rPr>
                <w:rFonts w:eastAsiaTheme="minorEastAsia"/>
                <w:b/>
                <w:bCs/>
                <w:color w:val="000000"/>
              </w:rPr>
              <w:t>Table 6.5 Public funds diverted from other sectors 2010-2030</w:t>
            </w:r>
          </w:p>
        </w:tc>
      </w:tr>
      <w:tr w:rsidR="00972987" w:rsidRPr="00DE7F01">
        <w:trPr>
          <w:trHeight w:val="290"/>
        </w:trPr>
        <w:tc>
          <w:tcPr>
            <w:tcW w:w="3450" w:type="dxa"/>
            <w:tcBorders>
              <w:top w:val="single" w:sz="4" w:space="0" w:color="auto"/>
              <w:left w:val="single" w:sz="4" w:space="0" w:color="auto"/>
              <w:bottom w:val="single" w:sz="4" w:space="0" w:color="auto"/>
              <w:right w:val="single" w:sz="4" w:space="0" w:color="auto"/>
            </w:tcBorders>
            <w:vAlign w:val="center"/>
          </w:tcPr>
          <w:p w:rsidR="00972987" w:rsidRPr="00DE7F01" w:rsidRDefault="00972987" w:rsidP="0043092C">
            <w:pPr>
              <w:autoSpaceDE w:val="0"/>
              <w:autoSpaceDN w:val="0"/>
              <w:adjustRightInd w:val="0"/>
              <w:jc w:val="center"/>
              <w:rPr>
                <w:rFonts w:eastAsiaTheme="minorEastAsia"/>
                <w:color w:val="000000"/>
              </w:rPr>
            </w:pPr>
          </w:p>
        </w:tc>
        <w:tc>
          <w:tcPr>
            <w:tcW w:w="1260" w:type="dxa"/>
            <w:vMerge w:val="restart"/>
            <w:tcBorders>
              <w:top w:val="single" w:sz="4" w:space="0" w:color="auto"/>
              <w:left w:val="single" w:sz="4" w:space="0" w:color="auto"/>
              <w:right w:val="single" w:sz="4" w:space="0" w:color="auto"/>
            </w:tcBorders>
            <w:vAlign w:val="bottom"/>
          </w:tcPr>
          <w:p w:rsidR="00972987" w:rsidRPr="00DE7F01" w:rsidRDefault="00972987" w:rsidP="0043092C">
            <w:pPr>
              <w:autoSpaceDE w:val="0"/>
              <w:autoSpaceDN w:val="0"/>
              <w:adjustRightInd w:val="0"/>
              <w:jc w:val="center"/>
              <w:rPr>
                <w:rFonts w:eastAsiaTheme="minorEastAsia"/>
                <w:bCs/>
                <w:color w:val="000000"/>
              </w:rPr>
            </w:pPr>
            <w:r w:rsidRPr="00DE7F01">
              <w:rPr>
                <w:rFonts w:eastAsiaTheme="minorEastAsia"/>
                <w:bCs/>
                <w:color w:val="000000"/>
                <w:sz w:val="22"/>
              </w:rPr>
              <w:t>Reduced spending compared to base case</w:t>
            </w:r>
          </w:p>
          <w:p w:rsidR="00972987" w:rsidRPr="00DE7F01" w:rsidRDefault="00972987" w:rsidP="0043092C">
            <w:pPr>
              <w:autoSpaceDE w:val="0"/>
              <w:autoSpaceDN w:val="0"/>
              <w:adjustRightInd w:val="0"/>
              <w:jc w:val="center"/>
              <w:rPr>
                <w:rFonts w:eastAsiaTheme="minorEastAsia"/>
                <w:bCs/>
                <w:color w:val="000000"/>
              </w:rPr>
            </w:pPr>
            <w:r w:rsidRPr="00DE7F01">
              <w:rPr>
                <w:rFonts w:eastAsiaTheme="minorEastAsia"/>
                <w:bCs/>
                <w:color w:val="000000"/>
                <w:sz w:val="22"/>
              </w:rPr>
              <w:t>(billion $)</w:t>
            </w:r>
          </w:p>
        </w:tc>
        <w:tc>
          <w:tcPr>
            <w:tcW w:w="4860" w:type="dxa"/>
            <w:gridSpan w:val="7"/>
            <w:tcBorders>
              <w:top w:val="single" w:sz="4" w:space="0" w:color="auto"/>
              <w:left w:val="single" w:sz="4" w:space="0" w:color="auto"/>
              <w:bottom w:val="single" w:sz="4" w:space="0" w:color="auto"/>
              <w:right w:val="single" w:sz="4" w:space="0" w:color="auto"/>
            </w:tcBorders>
            <w:vAlign w:val="bottom"/>
          </w:tcPr>
          <w:p w:rsidR="00972987" w:rsidRPr="00DE7F01" w:rsidRDefault="00972987" w:rsidP="0043092C">
            <w:pPr>
              <w:autoSpaceDE w:val="0"/>
              <w:autoSpaceDN w:val="0"/>
              <w:adjustRightInd w:val="0"/>
              <w:jc w:val="center"/>
              <w:rPr>
                <w:rFonts w:eastAsiaTheme="minorEastAsia"/>
                <w:bCs/>
                <w:color w:val="000000"/>
              </w:rPr>
            </w:pPr>
            <w:r w:rsidRPr="00DE7F01">
              <w:rPr>
                <w:rFonts w:eastAsiaTheme="minorEastAsia"/>
                <w:bCs/>
                <w:color w:val="000000"/>
                <w:sz w:val="22"/>
              </w:rPr>
              <w:t>Diversions by sector</w:t>
            </w:r>
          </w:p>
          <w:p w:rsidR="00972987" w:rsidRPr="00DE7F01" w:rsidRDefault="00972987" w:rsidP="0043092C">
            <w:pPr>
              <w:autoSpaceDE w:val="0"/>
              <w:autoSpaceDN w:val="0"/>
              <w:adjustRightInd w:val="0"/>
              <w:jc w:val="center"/>
              <w:rPr>
                <w:rFonts w:eastAsiaTheme="minorEastAsia"/>
                <w:bCs/>
                <w:color w:val="000000"/>
              </w:rPr>
            </w:pPr>
            <w:r w:rsidRPr="00DE7F01">
              <w:rPr>
                <w:rFonts w:eastAsiaTheme="minorEastAsia"/>
                <w:bCs/>
                <w:color w:val="000000"/>
                <w:sz w:val="22"/>
              </w:rPr>
              <w:t>(Percent reduction from base case)</w:t>
            </w:r>
          </w:p>
        </w:tc>
      </w:tr>
      <w:tr w:rsidR="00972987" w:rsidRPr="00DE7F01">
        <w:trPr>
          <w:trHeight w:val="290"/>
        </w:trPr>
        <w:tc>
          <w:tcPr>
            <w:tcW w:w="3450" w:type="dxa"/>
            <w:tcBorders>
              <w:top w:val="single" w:sz="4" w:space="0" w:color="auto"/>
              <w:left w:val="single" w:sz="4" w:space="0" w:color="auto"/>
              <w:bottom w:val="single" w:sz="4" w:space="0" w:color="auto"/>
              <w:right w:val="single" w:sz="4" w:space="0" w:color="auto"/>
            </w:tcBorders>
            <w:vAlign w:val="center"/>
          </w:tcPr>
          <w:p w:rsidR="00972987" w:rsidRPr="00DE7F01" w:rsidRDefault="00972987" w:rsidP="0043092C">
            <w:pPr>
              <w:autoSpaceDE w:val="0"/>
              <w:autoSpaceDN w:val="0"/>
              <w:adjustRightInd w:val="0"/>
              <w:jc w:val="center"/>
              <w:rPr>
                <w:rFonts w:eastAsiaTheme="minorEastAsia"/>
                <w:color w:val="000000"/>
              </w:rPr>
            </w:pPr>
          </w:p>
        </w:tc>
        <w:tc>
          <w:tcPr>
            <w:tcW w:w="1260" w:type="dxa"/>
            <w:vMerge/>
            <w:tcBorders>
              <w:left w:val="single" w:sz="4" w:space="0" w:color="auto"/>
              <w:bottom w:val="single" w:sz="4" w:space="0" w:color="auto"/>
              <w:right w:val="single" w:sz="4" w:space="0" w:color="auto"/>
            </w:tcBorders>
            <w:vAlign w:val="bottom"/>
          </w:tcPr>
          <w:p w:rsidR="00972987" w:rsidRPr="00DE7F01" w:rsidRDefault="00972987" w:rsidP="0043092C">
            <w:pPr>
              <w:autoSpaceDE w:val="0"/>
              <w:autoSpaceDN w:val="0"/>
              <w:adjustRightInd w:val="0"/>
              <w:jc w:val="center"/>
              <w:rPr>
                <w:rFonts w:eastAsiaTheme="minorEastAsia"/>
                <w:bCs/>
                <w:color w:val="000000"/>
              </w:rPr>
            </w:pPr>
          </w:p>
        </w:tc>
        <w:tc>
          <w:tcPr>
            <w:tcW w:w="1080" w:type="dxa"/>
            <w:tcBorders>
              <w:top w:val="single" w:sz="4" w:space="0" w:color="auto"/>
              <w:left w:val="single" w:sz="4" w:space="0" w:color="auto"/>
              <w:bottom w:val="single" w:sz="4" w:space="0" w:color="auto"/>
              <w:right w:val="single" w:sz="4" w:space="0" w:color="auto"/>
            </w:tcBorders>
            <w:vAlign w:val="bottom"/>
          </w:tcPr>
          <w:p w:rsidR="00972987" w:rsidRPr="00DE7F01" w:rsidRDefault="00972987" w:rsidP="0043092C">
            <w:pPr>
              <w:autoSpaceDE w:val="0"/>
              <w:autoSpaceDN w:val="0"/>
              <w:adjustRightInd w:val="0"/>
              <w:jc w:val="center"/>
              <w:rPr>
                <w:rFonts w:eastAsiaTheme="minorEastAsia"/>
                <w:bCs/>
                <w:color w:val="000000"/>
              </w:rPr>
            </w:pPr>
            <w:r w:rsidRPr="00DE7F01">
              <w:rPr>
                <w:rFonts w:eastAsiaTheme="minorEastAsia"/>
                <w:bCs/>
                <w:color w:val="000000"/>
                <w:sz w:val="22"/>
              </w:rPr>
              <w:t>Military</w:t>
            </w:r>
          </w:p>
        </w:tc>
        <w:tc>
          <w:tcPr>
            <w:tcW w:w="962" w:type="dxa"/>
            <w:tcBorders>
              <w:top w:val="single" w:sz="4" w:space="0" w:color="auto"/>
              <w:left w:val="single" w:sz="4" w:space="0" w:color="auto"/>
              <w:bottom w:val="single" w:sz="4" w:space="0" w:color="auto"/>
              <w:right w:val="single" w:sz="4" w:space="0" w:color="auto"/>
            </w:tcBorders>
            <w:vAlign w:val="bottom"/>
          </w:tcPr>
          <w:p w:rsidR="00972987" w:rsidRPr="00DE7F01" w:rsidRDefault="00972987" w:rsidP="0043092C">
            <w:pPr>
              <w:autoSpaceDE w:val="0"/>
              <w:autoSpaceDN w:val="0"/>
              <w:adjustRightInd w:val="0"/>
              <w:jc w:val="center"/>
              <w:rPr>
                <w:rFonts w:eastAsiaTheme="minorEastAsia"/>
                <w:bCs/>
                <w:color w:val="000000"/>
              </w:rPr>
            </w:pPr>
            <w:r w:rsidRPr="00DE7F01">
              <w:rPr>
                <w:rFonts w:eastAsiaTheme="minorEastAsia"/>
                <w:bCs/>
                <w:color w:val="000000"/>
                <w:sz w:val="22"/>
              </w:rPr>
              <w:t>Health</w:t>
            </w:r>
          </w:p>
        </w:tc>
        <w:tc>
          <w:tcPr>
            <w:tcW w:w="1204" w:type="dxa"/>
            <w:gridSpan w:val="3"/>
            <w:tcBorders>
              <w:top w:val="single" w:sz="4" w:space="0" w:color="auto"/>
              <w:left w:val="single" w:sz="4" w:space="0" w:color="auto"/>
              <w:bottom w:val="single" w:sz="4" w:space="0" w:color="auto"/>
              <w:right w:val="single" w:sz="4" w:space="0" w:color="auto"/>
            </w:tcBorders>
            <w:vAlign w:val="bottom"/>
          </w:tcPr>
          <w:p w:rsidR="00972987" w:rsidRPr="00DE7F01" w:rsidRDefault="00972987" w:rsidP="0043092C">
            <w:pPr>
              <w:autoSpaceDE w:val="0"/>
              <w:autoSpaceDN w:val="0"/>
              <w:adjustRightInd w:val="0"/>
              <w:jc w:val="center"/>
              <w:rPr>
                <w:rFonts w:eastAsiaTheme="minorEastAsia"/>
                <w:bCs/>
                <w:color w:val="000000"/>
              </w:rPr>
            </w:pPr>
            <w:r w:rsidRPr="00DE7F01">
              <w:rPr>
                <w:rFonts w:eastAsiaTheme="minorEastAsia"/>
                <w:bCs/>
                <w:color w:val="000000"/>
                <w:sz w:val="22"/>
              </w:rPr>
              <w:t>Education</w:t>
            </w:r>
          </w:p>
        </w:tc>
        <w:tc>
          <w:tcPr>
            <w:tcW w:w="804" w:type="dxa"/>
            <w:tcBorders>
              <w:top w:val="single" w:sz="4" w:space="0" w:color="auto"/>
              <w:left w:val="single" w:sz="4" w:space="0" w:color="auto"/>
              <w:bottom w:val="single" w:sz="4" w:space="0" w:color="auto"/>
              <w:right w:val="single" w:sz="4" w:space="0" w:color="auto"/>
            </w:tcBorders>
            <w:vAlign w:val="bottom"/>
          </w:tcPr>
          <w:p w:rsidR="00972987" w:rsidRPr="00DE7F01" w:rsidRDefault="00972987" w:rsidP="0043092C">
            <w:pPr>
              <w:autoSpaceDE w:val="0"/>
              <w:autoSpaceDN w:val="0"/>
              <w:adjustRightInd w:val="0"/>
              <w:jc w:val="center"/>
              <w:rPr>
                <w:rFonts w:eastAsiaTheme="minorEastAsia"/>
                <w:bCs/>
                <w:color w:val="000000"/>
              </w:rPr>
            </w:pPr>
            <w:r w:rsidRPr="00DE7F01">
              <w:rPr>
                <w:rFonts w:eastAsiaTheme="minorEastAsia"/>
                <w:bCs/>
                <w:color w:val="000000"/>
                <w:sz w:val="22"/>
              </w:rPr>
              <w:t>R&amp;D</w:t>
            </w:r>
          </w:p>
        </w:tc>
        <w:tc>
          <w:tcPr>
            <w:tcW w:w="810" w:type="dxa"/>
            <w:tcBorders>
              <w:top w:val="single" w:sz="4" w:space="0" w:color="auto"/>
              <w:left w:val="single" w:sz="4" w:space="0" w:color="auto"/>
              <w:bottom w:val="single" w:sz="4" w:space="0" w:color="auto"/>
              <w:right w:val="single" w:sz="4" w:space="0" w:color="auto"/>
            </w:tcBorders>
            <w:vAlign w:val="bottom"/>
          </w:tcPr>
          <w:p w:rsidR="00972987" w:rsidRPr="00DE7F01" w:rsidRDefault="00972987" w:rsidP="0043092C">
            <w:pPr>
              <w:autoSpaceDE w:val="0"/>
              <w:autoSpaceDN w:val="0"/>
              <w:adjustRightInd w:val="0"/>
              <w:jc w:val="center"/>
              <w:rPr>
                <w:rFonts w:eastAsiaTheme="minorEastAsia"/>
                <w:bCs/>
                <w:color w:val="000000"/>
              </w:rPr>
            </w:pPr>
            <w:r w:rsidRPr="00DE7F01">
              <w:rPr>
                <w:rFonts w:eastAsiaTheme="minorEastAsia"/>
                <w:bCs/>
                <w:color w:val="000000"/>
                <w:sz w:val="22"/>
              </w:rPr>
              <w:t>Other</w:t>
            </w:r>
          </w:p>
        </w:tc>
      </w:tr>
      <w:tr w:rsidR="00972987" w:rsidRPr="007B268A">
        <w:trPr>
          <w:trHeight w:val="290"/>
        </w:trPr>
        <w:tc>
          <w:tcPr>
            <w:tcW w:w="9570" w:type="dxa"/>
            <w:gridSpan w:val="9"/>
            <w:tcBorders>
              <w:top w:val="single" w:sz="4" w:space="0" w:color="auto"/>
              <w:left w:val="single" w:sz="4" w:space="0" w:color="auto"/>
              <w:bottom w:val="single" w:sz="4" w:space="0" w:color="auto"/>
              <w:right w:val="single" w:sz="4" w:space="0" w:color="auto"/>
            </w:tcBorders>
            <w:shd w:val="clear" w:color="969696" w:fill="D9D9D9" w:themeFill="background1" w:themeFillShade="D9"/>
            <w:vAlign w:val="center"/>
          </w:tcPr>
          <w:p w:rsidR="00972987" w:rsidRPr="007B268A" w:rsidRDefault="00972987" w:rsidP="0043092C">
            <w:pPr>
              <w:autoSpaceDE w:val="0"/>
              <w:autoSpaceDN w:val="0"/>
              <w:adjustRightInd w:val="0"/>
              <w:jc w:val="center"/>
              <w:rPr>
                <w:rFonts w:eastAsiaTheme="minorEastAsia"/>
                <w:color w:val="000000"/>
              </w:rPr>
            </w:pPr>
            <w:r w:rsidRPr="007B268A">
              <w:rPr>
                <w:rFonts w:eastAsiaTheme="minorEastAsia"/>
                <w:b/>
                <w:bCs/>
                <w:color w:val="000000"/>
                <w:sz w:val="22"/>
              </w:rPr>
              <w:t>By income class</w:t>
            </w:r>
          </w:p>
        </w:tc>
      </w:tr>
      <w:tr w:rsidR="00972987" w:rsidRPr="007B268A">
        <w:trPr>
          <w:trHeight w:val="290"/>
        </w:trPr>
        <w:tc>
          <w:tcPr>
            <w:tcW w:w="3450" w:type="dxa"/>
            <w:tcBorders>
              <w:top w:val="single" w:sz="4" w:space="0" w:color="auto"/>
              <w:left w:val="single" w:sz="4" w:space="0" w:color="auto"/>
              <w:bottom w:val="single" w:sz="4" w:space="0" w:color="auto"/>
              <w:right w:val="single" w:sz="4" w:space="0" w:color="auto"/>
            </w:tcBorders>
          </w:tcPr>
          <w:p w:rsidR="00972987" w:rsidRPr="00DE7F01" w:rsidRDefault="00972987" w:rsidP="0043092C">
            <w:pPr>
              <w:autoSpaceDE w:val="0"/>
              <w:autoSpaceDN w:val="0"/>
              <w:adjustRightInd w:val="0"/>
              <w:rPr>
                <w:rFonts w:eastAsiaTheme="minorEastAsia"/>
                <w:bCs/>
                <w:color w:val="000000"/>
              </w:rPr>
            </w:pPr>
            <w:r w:rsidRPr="00DE7F01">
              <w:rPr>
                <w:rFonts w:eastAsiaTheme="minorEastAsia"/>
                <w:bCs/>
                <w:color w:val="000000"/>
                <w:sz w:val="22"/>
              </w:rPr>
              <w:t>Low-income economies</w:t>
            </w:r>
          </w:p>
        </w:tc>
        <w:tc>
          <w:tcPr>
            <w:tcW w:w="126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164</w:t>
            </w:r>
          </w:p>
        </w:tc>
        <w:tc>
          <w:tcPr>
            <w:tcW w:w="108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13%</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36%</w:t>
            </w:r>
          </w:p>
        </w:tc>
        <w:tc>
          <w:tcPr>
            <w:tcW w:w="1174"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16%</w:t>
            </w:r>
          </w:p>
        </w:tc>
        <w:tc>
          <w:tcPr>
            <w:tcW w:w="810" w:type="dxa"/>
            <w:gridSpan w:val="2"/>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37%</w:t>
            </w:r>
          </w:p>
        </w:tc>
        <w:tc>
          <w:tcPr>
            <w:tcW w:w="81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43%</w:t>
            </w:r>
          </w:p>
        </w:tc>
      </w:tr>
      <w:tr w:rsidR="00972987" w:rsidRPr="007B268A">
        <w:trPr>
          <w:trHeight w:val="290"/>
        </w:trPr>
        <w:tc>
          <w:tcPr>
            <w:tcW w:w="3450" w:type="dxa"/>
            <w:tcBorders>
              <w:top w:val="single" w:sz="4" w:space="0" w:color="auto"/>
              <w:left w:val="single" w:sz="4" w:space="0" w:color="auto"/>
              <w:bottom w:val="single" w:sz="4" w:space="0" w:color="auto"/>
              <w:right w:val="single" w:sz="4" w:space="0" w:color="auto"/>
            </w:tcBorders>
          </w:tcPr>
          <w:p w:rsidR="00972987" w:rsidRPr="00DE7F01" w:rsidRDefault="00972987" w:rsidP="0043092C">
            <w:pPr>
              <w:autoSpaceDE w:val="0"/>
              <w:autoSpaceDN w:val="0"/>
              <w:adjustRightInd w:val="0"/>
              <w:rPr>
                <w:rFonts w:eastAsiaTheme="minorEastAsia"/>
                <w:bCs/>
                <w:color w:val="000000"/>
              </w:rPr>
            </w:pPr>
            <w:r w:rsidRPr="00DE7F01">
              <w:rPr>
                <w:rFonts w:eastAsiaTheme="minorEastAsia"/>
                <w:bCs/>
                <w:color w:val="000000"/>
                <w:sz w:val="22"/>
              </w:rPr>
              <w:t>Lower-middle-income economies</w:t>
            </w:r>
          </w:p>
        </w:tc>
        <w:tc>
          <w:tcPr>
            <w:tcW w:w="126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964</w:t>
            </w:r>
          </w:p>
        </w:tc>
        <w:tc>
          <w:tcPr>
            <w:tcW w:w="108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20%</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20%</w:t>
            </w:r>
          </w:p>
        </w:tc>
        <w:tc>
          <w:tcPr>
            <w:tcW w:w="1174"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5%</w:t>
            </w:r>
          </w:p>
        </w:tc>
        <w:tc>
          <w:tcPr>
            <w:tcW w:w="810" w:type="dxa"/>
            <w:gridSpan w:val="2"/>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19%</w:t>
            </w:r>
          </w:p>
        </w:tc>
        <w:tc>
          <w:tcPr>
            <w:tcW w:w="81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16%</w:t>
            </w:r>
          </w:p>
        </w:tc>
      </w:tr>
      <w:tr w:rsidR="00972987" w:rsidRPr="007B268A">
        <w:trPr>
          <w:trHeight w:val="290"/>
        </w:trPr>
        <w:tc>
          <w:tcPr>
            <w:tcW w:w="3450" w:type="dxa"/>
            <w:tcBorders>
              <w:top w:val="single" w:sz="4" w:space="0" w:color="auto"/>
              <w:left w:val="single" w:sz="4" w:space="0" w:color="auto"/>
              <w:bottom w:val="single" w:sz="4" w:space="0" w:color="auto"/>
              <w:right w:val="single" w:sz="4" w:space="0" w:color="auto"/>
            </w:tcBorders>
          </w:tcPr>
          <w:p w:rsidR="00972987" w:rsidRPr="00DE7F01" w:rsidRDefault="00972987" w:rsidP="0043092C">
            <w:pPr>
              <w:autoSpaceDE w:val="0"/>
              <w:autoSpaceDN w:val="0"/>
              <w:adjustRightInd w:val="0"/>
              <w:rPr>
                <w:rFonts w:eastAsiaTheme="minorEastAsia"/>
                <w:bCs/>
                <w:color w:val="000000"/>
              </w:rPr>
            </w:pPr>
            <w:r w:rsidRPr="00DE7F01">
              <w:rPr>
                <w:rFonts w:eastAsiaTheme="minorEastAsia"/>
                <w:bCs/>
                <w:color w:val="000000"/>
                <w:sz w:val="22"/>
              </w:rPr>
              <w:t>Upper-middle-income economies</w:t>
            </w:r>
          </w:p>
        </w:tc>
        <w:tc>
          <w:tcPr>
            <w:tcW w:w="126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506</w:t>
            </w:r>
          </w:p>
        </w:tc>
        <w:tc>
          <w:tcPr>
            <w:tcW w:w="108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2%</w:t>
            </w:r>
          </w:p>
        </w:tc>
        <w:tc>
          <w:tcPr>
            <w:tcW w:w="1174"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-0.1%*</w:t>
            </w:r>
          </w:p>
        </w:tc>
        <w:tc>
          <w:tcPr>
            <w:tcW w:w="810" w:type="dxa"/>
            <w:gridSpan w:val="2"/>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w:t>
            </w:r>
          </w:p>
        </w:tc>
        <w:tc>
          <w:tcPr>
            <w:tcW w:w="81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5%</w:t>
            </w:r>
          </w:p>
        </w:tc>
      </w:tr>
      <w:tr w:rsidR="00972987" w:rsidRPr="007B268A">
        <w:trPr>
          <w:trHeight w:val="290"/>
        </w:trPr>
        <w:tc>
          <w:tcPr>
            <w:tcW w:w="3450" w:type="dxa"/>
            <w:tcBorders>
              <w:top w:val="single" w:sz="4" w:space="0" w:color="auto"/>
              <w:left w:val="single" w:sz="4" w:space="0" w:color="auto"/>
              <w:bottom w:val="single" w:sz="4" w:space="0" w:color="auto"/>
              <w:right w:val="single" w:sz="4" w:space="0" w:color="auto"/>
            </w:tcBorders>
          </w:tcPr>
          <w:p w:rsidR="00972987" w:rsidRPr="00DE7F01" w:rsidRDefault="00972987" w:rsidP="0043092C">
            <w:pPr>
              <w:autoSpaceDE w:val="0"/>
              <w:autoSpaceDN w:val="0"/>
              <w:adjustRightInd w:val="0"/>
              <w:rPr>
                <w:rFonts w:eastAsiaTheme="minorEastAsia"/>
                <w:bCs/>
                <w:color w:val="000000"/>
              </w:rPr>
            </w:pPr>
            <w:r w:rsidRPr="00DE7F01">
              <w:rPr>
                <w:rFonts w:eastAsiaTheme="minorEastAsia"/>
                <w:bCs/>
                <w:color w:val="000000"/>
                <w:sz w:val="22"/>
              </w:rPr>
              <w:t>High-income economies</w:t>
            </w:r>
          </w:p>
        </w:tc>
        <w:tc>
          <w:tcPr>
            <w:tcW w:w="126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-150*</w:t>
            </w:r>
          </w:p>
        </w:tc>
        <w:tc>
          <w:tcPr>
            <w:tcW w:w="108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-0.2%*</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-0.1%*</w:t>
            </w:r>
          </w:p>
        </w:tc>
        <w:tc>
          <w:tcPr>
            <w:tcW w:w="1174"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-0.2%*</w:t>
            </w:r>
          </w:p>
        </w:tc>
        <w:tc>
          <w:tcPr>
            <w:tcW w:w="810" w:type="dxa"/>
            <w:gridSpan w:val="2"/>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-0.1%*</w:t>
            </w:r>
          </w:p>
        </w:tc>
        <w:tc>
          <w:tcPr>
            <w:tcW w:w="81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-0.1%*</w:t>
            </w:r>
          </w:p>
        </w:tc>
      </w:tr>
      <w:tr w:rsidR="00972987" w:rsidRPr="007B268A">
        <w:trPr>
          <w:trHeight w:val="290"/>
        </w:trPr>
        <w:tc>
          <w:tcPr>
            <w:tcW w:w="9570" w:type="dxa"/>
            <w:gridSpan w:val="9"/>
            <w:tcBorders>
              <w:top w:val="single" w:sz="4" w:space="0" w:color="auto"/>
              <w:left w:val="single" w:sz="4" w:space="0" w:color="auto"/>
              <w:bottom w:val="single" w:sz="4" w:space="0" w:color="auto"/>
              <w:right w:val="single" w:sz="4" w:space="0" w:color="auto"/>
            </w:tcBorders>
            <w:shd w:val="clear" w:color="969696" w:fill="D9D9D9" w:themeFill="background1" w:themeFillShade="D9"/>
            <w:vAlign w:val="center"/>
          </w:tcPr>
          <w:p w:rsidR="00972987" w:rsidRPr="00DE7F01" w:rsidRDefault="00972987" w:rsidP="0043092C">
            <w:pPr>
              <w:autoSpaceDE w:val="0"/>
              <w:autoSpaceDN w:val="0"/>
              <w:adjustRightInd w:val="0"/>
              <w:jc w:val="center"/>
              <w:rPr>
                <w:rFonts w:eastAsiaTheme="minorEastAsia"/>
                <w:b/>
                <w:color w:val="000000"/>
              </w:rPr>
            </w:pPr>
            <w:r w:rsidRPr="00DE7F01">
              <w:rPr>
                <w:rFonts w:eastAsiaTheme="minorEastAsia"/>
                <w:b/>
                <w:bCs/>
                <w:color w:val="000000"/>
                <w:sz w:val="22"/>
              </w:rPr>
              <w:t>By region</w:t>
            </w:r>
          </w:p>
        </w:tc>
      </w:tr>
      <w:tr w:rsidR="00972987" w:rsidRPr="007B268A">
        <w:trPr>
          <w:trHeight w:val="290"/>
        </w:trPr>
        <w:tc>
          <w:tcPr>
            <w:tcW w:w="3450" w:type="dxa"/>
            <w:tcBorders>
              <w:top w:val="single" w:sz="4" w:space="0" w:color="auto"/>
              <w:left w:val="single" w:sz="4" w:space="0" w:color="auto"/>
              <w:bottom w:val="single" w:sz="4" w:space="0" w:color="auto"/>
              <w:right w:val="single" w:sz="4" w:space="0" w:color="auto"/>
            </w:tcBorders>
          </w:tcPr>
          <w:p w:rsidR="00972987" w:rsidRPr="00DE7F01" w:rsidRDefault="00972987" w:rsidP="0043092C">
            <w:pPr>
              <w:autoSpaceDE w:val="0"/>
              <w:autoSpaceDN w:val="0"/>
              <w:adjustRightInd w:val="0"/>
              <w:rPr>
                <w:rFonts w:eastAsiaTheme="minorEastAsia"/>
                <w:bCs/>
                <w:color w:val="000000"/>
              </w:rPr>
            </w:pPr>
            <w:r w:rsidRPr="00DE7F01">
              <w:rPr>
                <w:rFonts w:eastAsiaTheme="minorEastAsia"/>
                <w:bCs/>
                <w:color w:val="000000"/>
                <w:sz w:val="22"/>
              </w:rPr>
              <w:t>East Asia and Pacific</w:t>
            </w:r>
          </w:p>
        </w:tc>
        <w:tc>
          <w:tcPr>
            <w:tcW w:w="126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12</w:t>
            </w:r>
          </w:p>
        </w:tc>
        <w:tc>
          <w:tcPr>
            <w:tcW w:w="108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0.2%</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0.2%</w:t>
            </w:r>
          </w:p>
        </w:tc>
        <w:tc>
          <w:tcPr>
            <w:tcW w:w="1174"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w:t>
            </w:r>
          </w:p>
        </w:tc>
        <w:tc>
          <w:tcPr>
            <w:tcW w:w="810" w:type="dxa"/>
            <w:gridSpan w:val="2"/>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-0.4%*</w:t>
            </w:r>
          </w:p>
        </w:tc>
        <w:tc>
          <w:tcPr>
            <w:tcW w:w="81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2%</w:t>
            </w:r>
          </w:p>
        </w:tc>
      </w:tr>
      <w:tr w:rsidR="00972987" w:rsidRPr="007B268A">
        <w:trPr>
          <w:trHeight w:val="290"/>
        </w:trPr>
        <w:tc>
          <w:tcPr>
            <w:tcW w:w="3450" w:type="dxa"/>
            <w:tcBorders>
              <w:top w:val="single" w:sz="4" w:space="0" w:color="auto"/>
              <w:left w:val="single" w:sz="4" w:space="0" w:color="auto"/>
              <w:bottom w:val="single" w:sz="4" w:space="0" w:color="auto"/>
              <w:right w:val="single" w:sz="4" w:space="0" w:color="auto"/>
            </w:tcBorders>
          </w:tcPr>
          <w:p w:rsidR="00972987" w:rsidRPr="00DE7F01" w:rsidRDefault="00972987" w:rsidP="0043092C">
            <w:pPr>
              <w:autoSpaceDE w:val="0"/>
              <w:autoSpaceDN w:val="0"/>
              <w:adjustRightInd w:val="0"/>
              <w:rPr>
                <w:rFonts w:eastAsiaTheme="minorEastAsia"/>
                <w:bCs/>
                <w:color w:val="000000"/>
              </w:rPr>
            </w:pPr>
            <w:r w:rsidRPr="00DE7F01">
              <w:rPr>
                <w:rFonts w:eastAsiaTheme="minorEastAsia"/>
                <w:bCs/>
                <w:color w:val="000000"/>
                <w:sz w:val="22"/>
              </w:rPr>
              <w:t>Europe and Central Asia</w:t>
            </w:r>
          </w:p>
        </w:tc>
        <w:tc>
          <w:tcPr>
            <w:tcW w:w="126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198</w:t>
            </w:r>
          </w:p>
        </w:tc>
        <w:tc>
          <w:tcPr>
            <w:tcW w:w="108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5%</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7%</w:t>
            </w:r>
          </w:p>
        </w:tc>
        <w:tc>
          <w:tcPr>
            <w:tcW w:w="1174"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2%</w:t>
            </w:r>
          </w:p>
        </w:tc>
        <w:tc>
          <w:tcPr>
            <w:tcW w:w="810" w:type="dxa"/>
            <w:gridSpan w:val="2"/>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5%</w:t>
            </w:r>
          </w:p>
        </w:tc>
        <w:tc>
          <w:tcPr>
            <w:tcW w:w="81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9%</w:t>
            </w:r>
          </w:p>
        </w:tc>
      </w:tr>
      <w:tr w:rsidR="00972987" w:rsidRPr="007B268A">
        <w:trPr>
          <w:trHeight w:val="290"/>
        </w:trPr>
        <w:tc>
          <w:tcPr>
            <w:tcW w:w="3450" w:type="dxa"/>
            <w:tcBorders>
              <w:top w:val="single" w:sz="4" w:space="0" w:color="auto"/>
              <w:left w:val="single" w:sz="4" w:space="0" w:color="auto"/>
              <w:bottom w:val="single" w:sz="4" w:space="0" w:color="auto"/>
              <w:right w:val="single" w:sz="4" w:space="0" w:color="auto"/>
            </w:tcBorders>
          </w:tcPr>
          <w:p w:rsidR="00972987" w:rsidRPr="00DE7F01" w:rsidRDefault="00972987" w:rsidP="0043092C">
            <w:pPr>
              <w:autoSpaceDE w:val="0"/>
              <w:autoSpaceDN w:val="0"/>
              <w:adjustRightInd w:val="0"/>
              <w:rPr>
                <w:rFonts w:eastAsiaTheme="minorEastAsia"/>
                <w:bCs/>
                <w:color w:val="000000"/>
              </w:rPr>
            </w:pPr>
            <w:r w:rsidRPr="00DE7F01">
              <w:rPr>
                <w:rFonts w:eastAsiaTheme="minorEastAsia"/>
                <w:bCs/>
                <w:color w:val="000000"/>
                <w:sz w:val="22"/>
              </w:rPr>
              <w:t>Latin America and the Caribbean</w:t>
            </w:r>
          </w:p>
        </w:tc>
        <w:tc>
          <w:tcPr>
            <w:tcW w:w="126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358</w:t>
            </w:r>
          </w:p>
        </w:tc>
        <w:tc>
          <w:tcPr>
            <w:tcW w:w="108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5%</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5%</w:t>
            </w:r>
          </w:p>
        </w:tc>
        <w:tc>
          <w:tcPr>
            <w:tcW w:w="1174"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-0.1%*</w:t>
            </w:r>
          </w:p>
        </w:tc>
        <w:tc>
          <w:tcPr>
            <w:tcW w:w="810" w:type="dxa"/>
            <w:gridSpan w:val="2"/>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6%</w:t>
            </w:r>
          </w:p>
        </w:tc>
        <w:tc>
          <w:tcPr>
            <w:tcW w:w="81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7%</w:t>
            </w:r>
          </w:p>
        </w:tc>
      </w:tr>
      <w:tr w:rsidR="00972987" w:rsidRPr="007B268A">
        <w:trPr>
          <w:trHeight w:val="290"/>
        </w:trPr>
        <w:tc>
          <w:tcPr>
            <w:tcW w:w="3450" w:type="dxa"/>
            <w:tcBorders>
              <w:top w:val="single" w:sz="4" w:space="0" w:color="auto"/>
              <w:left w:val="single" w:sz="4" w:space="0" w:color="auto"/>
              <w:bottom w:val="single" w:sz="4" w:space="0" w:color="auto"/>
              <w:right w:val="single" w:sz="4" w:space="0" w:color="auto"/>
            </w:tcBorders>
          </w:tcPr>
          <w:p w:rsidR="00972987" w:rsidRPr="00DE7F01" w:rsidRDefault="00972987" w:rsidP="0043092C">
            <w:pPr>
              <w:autoSpaceDE w:val="0"/>
              <w:autoSpaceDN w:val="0"/>
              <w:adjustRightInd w:val="0"/>
              <w:rPr>
                <w:rFonts w:eastAsiaTheme="minorEastAsia"/>
                <w:bCs/>
                <w:color w:val="000000"/>
              </w:rPr>
            </w:pPr>
            <w:r w:rsidRPr="00DE7F01">
              <w:rPr>
                <w:rFonts w:eastAsiaTheme="minorEastAsia"/>
                <w:bCs/>
                <w:color w:val="000000"/>
                <w:sz w:val="22"/>
              </w:rPr>
              <w:t>Middle East and North Africa</w:t>
            </w:r>
          </w:p>
        </w:tc>
        <w:tc>
          <w:tcPr>
            <w:tcW w:w="126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282</w:t>
            </w:r>
          </w:p>
        </w:tc>
        <w:tc>
          <w:tcPr>
            <w:tcW w:w="108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19%</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13%</w:t>
            </w:r>
          </w:p>
        </w:tc>
        <w:tc>
          <w:tcPr>
            <w:tcW w:w="1174"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5%</w:t>
            </w:r>
          </w:p>
        </w:tc>
        <w:tc>
          <w:tcPr>
            <w:tcW w:w="810" w:type="dxa"/>
            <w:gridSpan w:val="2"/>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13%</w:t>
            </w:r>
          </w:p>
        </w:tc>
        <w:tc>
          <w:tcPr>
            <w:tcW w:w="81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11%</w:t>
            </w:r>
          </w:p>
        </w:tc>
      </w:tr>
      <w:tr w:rsidR="00972987" w:rsidRPr="007B268A">
        <w:trPr>
          <w:trHeight w:val="290"/>
        </w:trPr>
        <w:tc>
          <w:tcPr>
            <w:tcW w:w="3450" w:type="dxa"/>
            <w:tcBorders>
              <w:top w:val="single" w:sz="4" w:space="0" w:color="auto"/>
              <w:left w:val="single" w:sz="4" w:space="0" w:color="auto"/>
              <w:bottom w:val="single" w:sz="4" w:space="0" w:color="auto"/>
              <w:right w:val="single" w:sz="4" w:space="0" w:color="auto"/>
            </w:tcBorders>
          </w:tcPr>
          <w:p w:rsidR="00972987" w:rsidRPr="00DE7F01" w:rsidRDefault="00972987" w:rsidP="0043092C">
            <w:pPr>
              <w:autoSpaceDE w:val="0"/>
              <w:autoSpaceDN w:val="0"/>
              <w:adjustRightInd w:val="0"/>
              <w:rPr>
                <w:rFonts w:eastAsiaTheme="minorEastAsia"/>
                <w:bCs/>
                <w:color w:val="000000"/>
              </w:rPr>
            </w:pPr>
            <w:r w:rsidRPr="00DE7F01">
              <w:rPr>
                <w:rFonts w:eastAsiaTheme="minorEastAsia"/>
                <w:bCs/>
                <w:color w:val="000000"/>
                <w:sz w:val="22"/>
              </w:rPr>
              <w:t>South Asia</w:t>
            </w:r>
          </w:p>
        </w:tc>
        <w:tc>
          <w:tcPr>
            <w:tcW w:w="126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452</w:t>
            </w:r>
          </w:p>
        </w:tc>
        <w:tc>
          <w:tcPr>
            <w:tcW w:w="108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18%</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16%</w:t>
            </w:r>
          </w:p>
        </w:tc>
        <w:tc>
          <w:tcPr>
            <w:tcW w:w="1174"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4%</w:t>
            </w:r>
          </w:p>
        </w:tc>
        <w:tc>
          <w:tcPr>
            <w:tcW w:w="810" w:type="dxa"/>
            <w:gridSpan w:val="2"/>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18%</w:t>
            </w:r>
          </w:p>
        </w:tc>
        <w:tc>
          <w:tcPr>
            <w:tcW w:w="81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23%</w:t>
            </w:r>
          </w:p>
        </w:tc>
      </w:tr>
      <w:tr w:rsidR="00972987" w:rsidRPr="007B268A">
        <w:trPr>
          <w:trHeight w:val="290"/>
        </w:trPr>
        <w:tc>
          <w:tcPr>
            <w:tcW w:w="3450" w:type="dxa"/>
            <w:tcBorders>
              <w:top w:val="single" w:sz="4" w:space="0" w:color="auto"/>
              <w:left w:val="single" w:sz="4" w:space="0" w:color="auto"/>
              <w:bottom w:val="single" w:sz="4" w:space="0" w:color="auto"/>
              <w:right w:val="single" w:sz="4" w:space="0" w:color="auto"/>
            </w:tcBorders>
          </w:tcPr>
          <w:p w:rsidR="00972987" w:rsidRPr="00DE7F01" w:rsidRDefault="00972987" w:rsidP="0043092C">
            <w:pPr>
              <w:autoSpaceDE w:val="0"/>
              <w:autoSpaceDN w:val="0"/>
              <w:adjustRightInd w:val="0"/>
              <w:rPr>
                <w:rFonts w:eastAsiaTheme="minorEastAsia"/>
                <w:bCs/>
                <w:color w:val="000000"/>
              </w:rPr>
            </w:pPr>
            <w:r w:rsidRPr="00DE7F01">
              <w:rPr>
                <w:rFonts w:eastAsiaTheme="minorEastAsia"/>
                <w:bCs/>
                <w:color w:val="000000"/>
                <w:sz w:val="22"/>
              </w:rPr>
              <w:t>Sub-Saharan Africa</w:t>
            </w:r>
          </w:p>
        </w:tc>
        <w:tc>
          <w:tcPr>
            <w:tcW w:w="126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335</w:t>
            </w:r>
          </w:p>
        </w:tc>
        <w:tc>
          <w:tcPr>
            <w:tcW w:w="108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28%</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21%</w:t>
            </w:r>
          </w:p>
        </w:tc>
        <w:tc>
          <w:tcPr>
            <w:tcW w:w="1174"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10%</w:t>
            </w:r>
          </w:p>
        </w:tc>
        <w:tc>
          <w:tcPr>
            <w:tcW w:w="810" w:type="dxa"/>
            <w:gridSpan w:val="2"/>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11%</w:t>
            </w:r>
          </w:p>
        </w:tc>
        <w:tc>
          <w:tcPr>
            <w:tcW w:w="81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15%</w:t>
            </w:r>
          </w:p>
        </w:tc>
      </w:tr>
      <w:tr w:rsidR="00972987" w:rsidRPr="007B268A">
        <w:trPr>
          <w:trHeight w:val="290"/>
        </w:trPr>
        <w:tc>
          <w:tcPr>
            <w:tcW w:w="3450" w:type="dxa"/>
            <w:tcBorders>
              <w:top w:val="single" w:sz="4" w:space="0" w:color="auto"/>
              <w:left w:val="single" w:sz="4" w:space="0" w:color="auto"/>
              <w:bottom w:val="single" w:sz="4" w:space="0" w:color="auto"/>
              <w:right w:val="single" w:sz="4" w:space="0" w:color="auto"/>
            </w:tcBorders>
          </w:tcPr>
          <w:p w:rsidR="00972987" w:rsidRPr="00DE7F01" w:rsidRDefault="00972987" w:rsidP="0043092C">
            <w:pPr>
              <w:autoSpaceDE w:val="0"/>
              <w:autoSpaceDN w:val="0"/>
              <w:adjustRightInd w:val="0"/>
              <w:rPr>
                <w:rFonts w:eastAsiaTheme="minorEastAsia"/>
                <w:bCs/>
                <w:color w:val="000000"/>
              </w:rPr>
            </w:pPr>
            <w:r w:rsidRPr="00DE7F01">
              <w:rPr>
                <w:rFonts w:eastAsiaTheme="minorEastAsia"/>
                <w:bCs/>
                <w:color w:val="000000"/>
                <w:sz w:val="22"/>
              </w:rPr>
              <w:t>High-income countries</w:t>
            </w:r>
          </w:p>
        </w:tc>
        <w:tc>
          <w:tcPr>
            <w:tcW w:w="126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-150*</w:t>
            </w:r>
          </w:p>
        </w:tc>
        <w:tc>
          <w:tcPr>
            <w:tcW w:w="108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-0.2%*</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-0.1%*</w:t>
            </w:r>
          </w:p>
        </w:tc>
        <w:tc>
          <w:tcPr>
            <w:tcW w:w="1174"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-0.2%*</w:t>
            </w:r>
          </w:p>
        </w:tc>
        <w:tc>
          <w:tcPr>
            <w:tcW w:w="810" w:type="dxa"/>
            <w:gridSpan w:val="2"/>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-0.1%*</w:t>
            </w:r>
          </w:p>
        </w:tc>
        <w:tc>
          <w:tcPr>
            <w:tcW w:w="81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-0.1%*</w:t>
            </w:r>
          </w:p>
        </w:tc>
      </w:tr>
      <w:tr w:rsidR="00972987" w:rsidRPr="007B268A">
        <w:trPr>
          <w:trHeight w:val="290"/>
        </w:trPr>
        <w:tc>
          <w:tcPr>
            <w:tcW w:w="9570" w:type="dxa"/>
            <w:gridSpan w:val="9"/>
            <w:tcBorders>
              <w:top w:val="single" w:sz="4" w:space="0" w:color="auto"/>
              <w:left w:val="single" w:sz="4" w:space="0" w:color="auto"/>
              <w:bottom w:val="single" w:sz="4" w:space="0" w:color="auto"/>
              <w:right w:val="single" w:sz="4" w:space="0" w:color="auto"/>
            </w:tcBorders>
            <w:shd w:val="clear" w:color="969696" w:fill="D9D9D9" w:themeFill="background1" w:themeFillShade="D9"/>
            <w:vAlign w:val="center"/>
          </w:tcPr>
          <w:p w:rsidR="00972987" w:rsidRPr="00DE7F01" w:rsidRDefault="00972987" w:rsidP="0043092C">
            <w:pPr>
              <w:autoSpaceDE w:val="0"/>
              <w:autoSpaceDN w:val="0"/>
              <w:adjustRightInd w:val="0"/>
              <w:jc w:val="center"/>
              <w:rPr>
                <w:rFonts w:eastAsiaTheme="minorEastAsia"/>
                <w:color w:val="000000"/>
              </w:rPr>
            </w:pPr>
          </w:p>
        </w:tc>
      </w:tr>
      <w:tr w:rsidR="00972987" w:rsidRPr="007B268A">
        <w:trPr>
          <w:trHeight w:val="305"/>
        </w:trPr>
        <w:tc>
          <w:tcPr>
            <w:tcW w:w="3450" w:type="dxa"/>
            <w:tcBorders>
              <w:top w:val="single" w:sz="4" w:space="0" w:color="auto"/>
              <w:left w:val="single" w:sz="4" w:space="0" w:color="auto"/>
              <w:bottom w:val="single" w:sz="4" w:space="0" w:color="auto"/>
              <w:right w:val="single" w:sz="4" w:space="0" w:color="auto"/>
            </w:tcBorders>
          </w:tcPr>
          <w:p w:rsidR="00972987" w:rsidRPr="00DE7F01" w:rsidRDefault="00972987" w:rsidP="0043092C">
            <w:pPr>
              <w:autoSpaceDE w:val="0"/>
              <w:autoSpaceDN w:val="0"/>
              <w:adjustRightInd w:val="0"/>
              <w:rPr>
                <w:rFonts w:eastAsiaTheme="minorEastAsia"/>
                <w:bCs/>
                <w:color w:val="000000"/>
              </w:rPr>
            </w:pPr>
            <w:r w:rsidRPr="00DE7F01">
              <w:rPr>
                <w:rFonts w:eastAsiaTheme="minorEastAsia"/>
                <w:bCs/>
                <w:color w:val="000000"/>
                <w:sz w:val="22"/>
              </w:rPr>
              <w:t>World</w:t>
            </w:r>
          </w:p>
        </w:tc>
        <w:tc>
          <w:tcPr>
            <w:tcW w:w="126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rFonts w:eastAsiaTheme="minorEastAsia"/>
                <w:color w:val="000000"/>
                <w:sz w:val="20"/>
              </w:rPr>
              <w:t>1,489</w:t>
            </w:r>
          </w:p>
        </w:tc>
        <w:tc>
          <w:tcPr>
            <w:tcW w:w="108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1.7%</w:t>
            </w:r>
          </w:p>
        </w:tc>
        <w:tc>
          <w:tcPr>
            <w:tcW w:w="986" w:type="dxa"/>
            <w:gridSpan w:val="2"/>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0.9%</w:t>
            </w:r>
          </w:p>
        </w:tc>
        <w:tc>
          <w:tcPr>
            <w:tcW w:w="1174"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0.3%</w:t>
            </w:r>
          </w:p>
        </w:tc>
        <w:tc>
          <w:tcPr>
            <w:tcW w:w="810" w:type="dxa"/>
            <w:gridSpan w:val="2"/>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0.8%</w:t>
            </w:r>
          </w:p>
        </w:tc>
        <w:tc>
          <w:tcPr>
            <w:tcW w:w="810" w:type="dxa"/>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jc w:val="center"/>
              <w:rPr>
                <w:rFonts w:eastAsiaTheme="minorEastAsia"/>
                <w:color w:val="000000"/>
                <w:sz w:val="20"/>
              </w:rPr>
            </w:pPr>
            <w:r w:rsidRPr="007B268A">
              <w:rPr>
                <w:color w:val="000000"/>
                <w:sz w:val="20"/>
              </w:rPr>
              <w:t>1.3%</w:t>
            </w:r>
          </w:p>
        </w:tc>
      </w:tr>
      <w:tr w:rsidR="00972987" w:rsidRPr="007B268A">
        <w:trPr>
          <w:trHeight w:val="290"/>
        </w:trPr>
        <w:tc>
          <w:tcPr>
            <w:tcW w:w="9570" w:type="dxa"/>
            <w:gridSpan w:val="9"/>
            <w:tcBorders>
              <w:top w:val="single" w:sz="4" w:space="0" w:color="auto"/>
              <w:left w:val="single" w:sz="4" w:space="0" w:color="auto"/>
              <w:bottom w:val="single" w:sz="4" w:space="0" w:color="auto"/>
              <w:right w:val="single" w:sz="4" w:space="0" w:color="auto"/>
            </w:tcBorders>
            <w:vAlign w:val="center"/>
          </w:tcPr>
          <w:p w:rsidR="00972987" w:rsidRPr="007B268A" w:rsidRDefault="00972987" w:rsidP="0043092C">
            <w:pPr>
              <w:autoSpaceDE w:val="0"/>
              <w:autoSpaceDN w:val="0"/>
              <w:adjustRightInd w:val="0"/>
              <w:rPr>
                <w:rFonts w:eastAsiaTheme="minorEastAsia"/>
                <w:i/>
                <w:color w:val="000000"/>
              </w:rPr>
            </w:pPr>
            <w:r w:rsidRPr="007B268A">
              <w:rPr>
                <w:rFonts w:eastAsiaTheme="minorEastAsia"/>
                <w:i/>
                <w:color w:val="000000"/>
                <w:sz w:val="22"/>
              </w:rPr>
              <w:t xml:space="preserve">*Total public expenditures increased over this period in most countries in the Universal Targets scenario compared to the </w:t>
            </w:r>
            <w:r>
              <w:rPr>
                <w:rFonts w:eastAsiaTheme="minorEastAsia"/>
                <w:i/>
                <w:color w:val="000000"/>
                <w:sz w:val="22"/>
              </w:rPr>
              <w:t>Base case</w:t>
            </w:r>
            <w:r w:rsidRPr="007B268A">
              <w:rPr>
                <w:rFonts w:eastAsiaTheme="minorEastAsia"/>
                <w:i/>
                <w:color w:val="000000"/>
                <w:sz w:val="22"/>
              </w:rPr>
              <w:t>, allowing for a net increase in expenditures in some other sectors even as infrastructure spending increased.</w:t>
            </w:r>
          </w:p>
        </w:tc>
      </w:tr>
    </w:tbl>
    <w:p w:rsidR="00972987" w:rsidRPr="007B268A" w:rsidRDefault="00972987" w:rsidP="00972987"/>
    <w:p w:rsidR="00972987" w:rsidRPr="007B268A" w:rsidRDefault="00972987" w:rsidP="00972987">
      <w:r w:rsidRPr="007B268A">
        <w:t xml:space="preserve">We explore the net effects of the diversion of these funds from other sectors vis-à-vis the additional infrastructure by comparing levels of human development in the </w:t>
      </w:r>
      <w:r>
        <w:t>base case</w:t>
      </w:r>
      <w:r w:rsidRPr="007B268A">
        <w:t xml:space="preserve"> and the Universal Targets scenarios using the United Nations Development Programme’s Human Development Index (HDI). The HDI is defined as the geometric mean of three dimensions—health (measured by life expectancy at birth), knowledge (measured by mean years of schooling for adults aged 25 and older and expected years of schooling for elementary school entrants), and a decent standard of living (measured by the log of gross national income per capita so as to represent the saturating contribution of income to human development).</w:t>
      </w:r>
      <w:r w:rsidRPr="007B268A">
        <w:rPr>
          <w:rStyle w:val="FootnoteReference"/>
        </w:rPr>
        <w:footnoteReference w:id="101"/>
      </w:r>
      <w:r w:rsidRPr="007B268A">
        <w:t xml:space="preserve"> The index aggregates the three dimensions and scales the results to provide a value ranging from 0 to 1.</w:t>
      </w:r>
    </w:p>
    <w:p w:rsidR="00972987" w:rsidRPr="007B268A" w:rsidRDefault="00972987" w:rsidP="00972987"/>
    <w:p w:rsidR="00972987" w:rsidRPr="007B268A" w:rsidRDefault="00972987" w:rsidP="00972987">
      <w:r w:rsidRPr="007B268A">
        <w:t xml:space="preserve">Figure 6.6 presents the changes for the Low-income economies in HDI and its components from the </w:t>
      </w:r>
      <w:r>
        <w:t>base case</w:t>
      </w:r>
      <w:r w:rsidRPr="007B268A">
        <w:t xml:space="preserve"> to the Universal Targets scenario. The temporal patterns of changes in the components across scenarios differ significantly. The most immediate effect of the pursuit of the universal targets is a decline in the expected years of schooling as greater infrastructure spending diverts public funds from this sector. With a lag, this causes a decline in the level of educational attainment, which only begins to recover towards the end of our horizon. Meanwhile, the diversion of public funds from the health sector is more than made up for by the health benefits of infrastructure. These include reductions in diseases associated with a lack of access to improved water and sanitation, e.g. diarrheal diseases, and the use of solid fuels in the home, e.g. pneumonia (see also Figure 6.7 for the related improvements in infant mortality and malnutrition). Finally, there is little impact on average income to start, but over time this grows significantly. The additional $1,300 in in GDP per capita in 2060 represents an increase of more than 20 percent over the </w:t>
      </w:r>
      <w:r>
        <w:t>base case</w:t>
      </w:r>
      <w:r w:rsidRPr="007B268A">
        <w:t xml:space="preserve"> for that year.</w:t>
      </w:r>
    </w:p>
    <w:p w:rsidR="00972987" w:rsidRPr="007B268A" w:rsidRDefault="00972987" w:rsidP="00972987"/>
    <w:p w:rsidR="00972987" w:rsidRDefault="00972987" w:rsidP="00972987">
      <w:pPr>
        <w:jc w:val="center"/>
        <w:rPr>
          <w:b/>
        </w:rPr>
      </w:pPr>
      <w:r w:rsidRPr="00943808">
        <w:rPr>
          <w:b/>
          <w:noProof/>
        </w:rPr>
        <w:drawing>
          <wp:inline distT="0" distB="0" distL="0" distR="0">
            <wp:extent cx="5491480" cy="3169920"/>
            <wp:effectExtent l="25400" t="25400" r="20320" b="5080"/>
            <wp:docPr id="93" name="C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972987" w:rsidRPr="007B268A" w:rsidRDefault="00972987" w:rsidP="00972987">
      <w:pPr>
        <w:rPr>
          <w:b/>
        </w:rPr>
      </w:pPr>
      <w:r w:rsidRPr="007B268A">
        <w:rPr>
          <w:b/>
        </w:rPr>
        <w:t xml:space="preserve">Figure 6.6 Changes in HDI and its components between the </w:t>
      </w:r>
      <w:r>
        <w:rPr>
          <w:b/>
        </w:rPr>
        <w:t>base case</w:t>
      </w:r>
      <w:r w:rsidRPr="007B268A">
        <w:rPr>
          <w:b/>
        </w:rPr>
        <w:t xml:space="preserve"> and Universal Targets scenario, Low-income economies</w:t>
      </w:r>
    </w:p>
    <w:p w:rsidR="00972987" w:rsidRPr="007B268A" w:rsidRDefault="00972987" w:rsidP="00972987">
      <w:r w:rsidRPr="007B268A">
        <w:rPr>
          <w:i/>
        </w:rPr>
        <w:t>Source:</w:t>
      </w:r>
      <w:r w:rsidRPr="007B268A">
        <w:t xml:space="preserve"> </w:t>
      </w:r>
      <w:r w:rsidRPr="007B268A">
        <w:rPr>
          <w:i/>
        </w:rPr>
        <w:t>IFs v6.57</w:t>
      </w:r>
    </w:p>
    <w:p w:rsidR="00972987" w:rsidRPr="007B268A" w:rsidRDefault="00972987" w:rsidP="00972987">
      <w:pPr>
        <w:rPr>
          <w:i/>
        </w:rPr>
      </w:pPr>
      <w:r w:rsidRPr="007B268A">
        <w:rPr>
          <w:i/>
        </w:rPr>
        <w:t xml:space="preserve">Note: Values are ratio changes; that is, 1.2 represents a 20 percent increase relative to the </w:t>
      </w:r>
      <w:r>
        <w:rPr>
          <w:i/>
        </w:rPr>
        <w:t>base case</w:t>
      </w:r>
      <w:r w:rsidRPr="007B268A">
        <w:rPr>
          <w:i/>
        </w:rPr>
        <w:t xml:space="preserve"> and -0.4 represents a 40 percent decrease.</w:t>
      </w:r>
    </w:p>
    <w:p w:rsidR="00972987" w:rsidRPr="007B268A" w:rsidRDefault="00972987" w:rsidP="00972987"/>
    <w:p w:rsidR="00972987" w:rsidRDefault="00972987" w:rsidP="00972987">
      <w:pPr>
        <w:jc w:val="center"/>
        <w:rPr>
          <w:b/>
        </w:rPr>
      </w:pPr>
      <w:r w:rsidRPr="00943808">
        <w:rPr>
          <w:b/>
          <w:noProof/>
        </w:rPr>
        <w:drawing>
          <wp:inline distT="0" distB="0" distL="0" distR="0">
            <wp:extent cx="5491480" cy="3517900"/>
            <wp:effectExtent l="25400" t="25400" r="20320" b="0"/>
            <wp:docPr id="94" name="C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972987" w:rsidRPr="007B268A" w:rsidRDefault="00972987" w:rsidP="00972987">
      <w:pPr>
        <w:rPr>
          <w:b/>
        </w:rPr>
      </w:pPr>
      <w:r w:rsidRPr="007B268A">
        <w:rPr>
          <w:b/>
        </w:rPr>
        <w:t xml:space="preserve">Figure 6.7 Declines in malnourishment and infant mortality in 2030 between the </w:t>
      </w:r>
      <w:r>
        <w:rPr>
          <w:b/>
        </w:rPr>
        <w:t>base case</w:t>
      </w:r>
      <w:r w:rsidRPr="007B268A">
        <w:rPr>
          <w:b/>
        </w:rPr>
        <w:t xml:space="preserve"> and the Universal Targets scenario</w:t>
      </w:r>
    </w:p>
    <w:p w:rsidR="00972987" w:rsidRPr="007B268A" w:rsidRDefault="00972987" w:rsidP="00972987">
      <w:r w:rsidRPr="007B268A">
        <w:rPr>
          <w:i/>
        </w:rPr>
        <w:t>Source:</w:t>
      </w:r>
      <w:r w:rsidRPr="007B268A">
        <w:t xml:space="preserve"> </w:t>
      </w:r>
      <w:r w:rsidRPr="007B268A">
        <w:rPr>
          <w:i/>
        </w:rPr>
        <w:t>IFs v6.57</w:t>
      </w:r>
    </w:p>
    <w:p w:rsidR="00972987" w:rsidRPr="007B268A" w:rsidRDefault="00972987" w:rsidP="00972987"/>
    <w:p w:rsidR="00972987" w:rsidRPr="007B268A" w:rsidRDefault="00972987" w:rsidP="00972987">
      <w:r w:rsidRPr="007B268A">
        <w:t xml:space="preserve">Taken together, all of these changes result in fairly minor changes in HDI, little more than 0.01 points on a scale of 0 to 1. Still, the temporal pattern is of interest. After a period of net negative impacts on HDI for the Low-income economies due to the pursuit of the universal targets, the situation turns around as benefits from the additional infrastructure accrue. Around 2030 the net reduction in HDI that the Universal Targets scenario causes relative to the </w:t>
      </w:r>
      <w:r>
        <w:t>base case</w:t>
      </w:r>
      <w:r w:rsidRPr="007B268A">
        <w:t xml:space="preserve"> disappears, and from that point on the net advantage of pursuing the universal targets continues to grow.</w:t>
      </w:r>
    </w:p>
    <w:p w:rsidR="00972987" w:rsidRPr="007B268A" w:rsidRDefault="00972987" w:rsidP="00972987"/>
    <w:p w:rsidR="00972987" w:rsidRPr="007B268A" w:rsidRDefault="00972987" w:rsidP="00972987">
      <w:r w:rsidRPr="007B268A">
        <w:t xml:space="preserve">Most countries follow this same pattern of initial declines in HDI relative to the </w:t>
      </w:r>
      <w:r>
        <w:t>base case</w:t>
      </w:r>
      <w:r w:rsidRPr="007B268A">
        <w:t xml:space="preserve"> followed by net gains over time. If we characterize the date when the change in HDI moves back into positive territory as the social payback point for the increased investments in infrastructure, we find that this differs widely across countries (see Figure 6.8).</w:t>
      </w:r>
      <w:r>
        <w:t xml:space="preserve"> </w:t>
      </w:r>
      <w:r w:rsidRPr="007B268A">
        <w:t>A large majority of the countries that have very near-term short social payback points are High- and Upper-middle-income economies. The general pattern for these groups is for the number of countries reaching the payback point to decrease over time. The latest payback point for the High-income economies is around 2025 and, with the exception of one country, the latest payback point for the Upper-middle-income economies is around 2040. For the Lower-middle- and Low-income economies, however, the distribution is more uniform, with both groups including significant numbers of countries that only achieve social payback late in the horizon, if ever.</w:t>
      </w:r>
    </w:p>
    <w:p w:rsidR="00972987" w:rsidRPr="007B268A" w:rsidRDefault="00972987" w:rsidP="00972987"/>
    <w:p w:rsidR="00972987" w:rsidRDefault="00972987" w:rsidP="00972987">
      <w:pPr>
        <w:rPr>
          <w:b/>
        </w:rPr>
      </w:pPr>
      <w:r w:rsidRPr="008D3886">
        <w:rPr>
          <w:b/>
          <w:noProof/>
        </w:rPr>
        <w:drawing>
          <wp:inline distT="0" distB="0" distL="0" distR="0">
            <wp:extent cx="5918200" cy="3289300"/>
            <wp:effectExtent l="25400" t="25400" r="0" b="0"/>
            <wp:docPr id="95" name="C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972987" w:rsidRPr="007B268A" w:rsidRDefault="00972987" w:rsidP="00972987">
      <w:r w:rsidRPr="007B268A">
        <w:rPr>
          <w:b/>
        </w:rPr>
        <w:t>Figure 6.8 Social payback points for increased investments in infrastructure for the Universal Targets scenario, by Income Group</w:t>
      </w:r>
    </w:p>
    <w:p w:rsidR="00972987" w:rsidRPr="007B268A" w:rsidRDefault="00972987" w:rsidP="00972987">
      <w:r w:rsidRPr="007B268A">
        <w:rPr>
          <w:i/>
        </w:rPr>
        <w:t>Source</w:t>
      </w:r>
      <w:r w:rsidRPr="007B268A">
        <w:t xml:space="preserve">: </w:t>
      </w:r>
      <w:r w:rsidRPr="007B268A">
        <w:rPr>
          <w:i/>
        </w:rPr>
        <w:t>IFs v6.57</w:t>
      </w:r>
    </w:p>
    <w:p w:rsidR="00972987" w:rsidRPr="007B268A" w:rsidRDefault="00972987" w:rsidP="00972987">
      <w:pPr>
        <w:rPr>
          <w:i/>
        </w:rPr>
      </w:pPr>
      <w:r w:rsidRPr="007B268A">
        <w:rPr>
          <w:i/>
        </w:rPr>
        <w:t xml:space="preserve">Note: the social payback point is defined as the year in which the HDI for the country first exceeds the value in the </w:t>
      </w:r>
      <w:r>
        <w:rPr>
          <w:i/>
        </w:rPr>
        <w:t>base case</w:t>
      </w:r>
      <w:r w:rsidRPr="007B268A">
        <w:rPr>
          <w:i/>
        </w:rPr>
        <w:t>.</w:t>
      </w:r>
    </w:p>
    <w:p w:rsidR="00972987" w:rsidRPr="007B268A" w:rsidRDefault="00972987" w:rsidP="00972987">
      <w:pPr>
        <w:rPr>
          <w:i/>
        </w:rPr>
      </w:pPr>
    </w:p>
    <w:p w:rsidR="00DE7F01" w:rsidRDefault="00972987" w:rsidP="00972987">
      <w:r w:rsidRPr="007B268A">
        <w:t xml:space="preserve">Table 6.6 summarizes the countries with the largest changes in HDI in the Universal Targets scenario compared to the </w:t>
      </w:r>
      <w:r>
        <w:t>base case</w:t>
      </w:r>
      <w:r w:rsidRPr="007B268A">
        <w:t>. The vast majority of both the “winners” and the “losers” are Low- and Lower-middle-income economies from sub-Saharan Africa, highlighting the importance of country-level differences in deciding on whether the pursuit of the universal targets, in the absence of increased outside assistance, is or is not a wise choice.</w:t>
      </w:r>
    </w:p>
    <w:p w:rsidR="00972987" w:rsidRPr="007B268A" w:rsidRDefault="00972987" w:rsidP="00972987"/>
    <w:tbl>
      <w:tblPr>
        <w:tblW w:w="6501" w:type="dxa"/>
        <w:jc w:val="center"/>
        <w:tblInd w:w="-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10"/>
        <w:gridCol w:w="1562"/>
        <w:gridCol w:w="1781"/>
        <w:gridCol w:w="1548"/>
      </w:tblGrid>
      <w:tr w:rsidR="00B67EF5" w:rsidRPr="007B268A">
        <w:trPr>
          <w:trHeight w:val="300"/>
          <w:jc w:val="center"/>
        </w:trPr>
        <w:tc>
          <w:tcPr>
            <w:tcW w:w="6501" w:type="dxa"/>
            <w:gridSpan w:val="4"/>
            <w:shd w:val="clear" w:color="auto" w:fill="auto"/>
            <w:noWrap/>
            <w:vAlign w:val="bottom"/>
          </w:tcPr>
          <w:p w:rsidR="00B67EF5" w:rsidRPr="007B268A" w:rsidRDefault="00B67EF5" w:rsidP="00B67EF5">
            <w:pPr>
              <w:keepNext/>
              <w:rPr>
                <w:rFonts w:cs="Calibri"/>
                <w:b/>
                <w:color w:val="000000"/>
              </w:rPr>
            </w:pPr>
            <w:bookmarkStart w:id="184" w:name="_Toc325817316"/>
            <w:bookmarkStart w:id="185" w:name="_Toc199925077"/>
            <w:r>
              <w:rPr>
                <w:rFonts w:cs="Calibri"/>
                <w:b/>
                <w:color w:val="000000"/>
                <w:sz w:val="22"/>
              </w:rPr>
              <w:t>Table 6.6</w:t>
            </w:r>
            <w:r w:rsidRPr="007B268A">
              <w:rPr>
                <w:rFonts w:cs="Calibri"/>
                <w:b/>
                <w:color w:val="000000"/>
                <w:sz w:val="22"/>
              </w:rPr>
              <w:t xml:space="preserve"> Countries with largest changes in HDI in Universal Targets scenario compared to the </w:t>
            </w:r>
            <w:r>
              <w:rPr>
                <w:rFonts w:cs="Calibri"/>
                <w:b/>
                <w:color w:val="000000"/>
                <w:sz w:val="22"/>
              </w:rPr>
              <w:t>base case</w:t>
            </w:r>
            <w:r w:rsidRPr="007B268A">
              <w:rPr>
                <w:rFonts w:cs="Calibri"/>
                <w:b/>
                <w:color w:val="000000"/>
                <w:sz w:val="22"/>
              </w:rPr>
              <w:t xml:space="preserve"> in 2060</w:t>
            </w:r>
          </w:p>
        </w:tc>
      </w:tr>
      <w:tr w:rsidR="00B67EF5" w:rsidRPr="007B268A">
        <w:trPr>
          <w:trHeight w:val="300"/>
          <w:jc w:val="center"/>
        </w:trPr>
        <w:tc>
          <w:tcPr>
            <w:tcW w:w="3172" w:type="dxa"/>
            <w:gridSpan w:val="2"/>
            <w:shd w:val="clear" w:color="auto" w:fill="auto"/>
            <w:noWrap/>
            <w:vAlign w:val="center"/>
          </w:tcPr>
          <w:p w:rsidR="00B67EF5" w:rsidRPr="00DE7F01" w:rsidRDefault="00B67EF5" w:rsidP="00B67EF5">
            <w:pPr>
              <w:keepNext/>
              <w:jc w:val="center"/>
              <w:rPr>
                <w:rFonts w:cs="Calibri"/>
                <w:color w:val="000000"/>
              </w:rPr>
            </w:pPr>
            <w:r w:rsidRPr="00DE7F01">
              <w:rPr>
                <w:rFonts w:cs="Calibri"/>
                <w:color w:val="000000"/>
                <w:sz w:val="22"/>
              </w:rPr>
              <w:t>"Losers"</w:t>
            </w:r>
          </w:p>
        </w:tc>
        <w:tc>
          <w:tcPr>
            <w:tcW w:w="3329" w:type="dxa"/>
            <w:gridSpan w:val="2"/>
            <w:shd w:val="clear" w:color="auto" w:fill="auto"/>
            <w:vAlign w:val="center"/>
          </w:tcPr>
          <w:p w:rsidR="00B67EF5" w:rsidRPr="00DE7F01" w:rsidRDefault="00B67EF5" w:rsidP="00B67EF5">
            <w:pPr>
              <w:jc w:val="center"/>
              <w:rPr>
                <w:rFonts w:cs="Calibri"/>
                <w:color w:val="000000"/>
              </w:rPr>
            </w:pPr>
            <w:r w:rsidRPr="00DE7F01">
              <w:rPr>
                <w:rFonts w:cs="Calibri"/>
                <w:color w:val="000000"/>
                <w:sz w:val="22"/>
              </w:rPr>
              <w:t>"Winners"</w:t>
            </w:r>
          </w:p>
        </w:tc>
      </w:tr>
      <w:tr w:rsidR="00B67EF5" w:rsidRPr="007B268A">
        <w:trPr>
          <w:trHeight w:val="300"/>
          <w:jc w:val="center"/>
        </w:trPr>
        <w:tc>
          <w:tcPr>
            <w:tcW w:w="1610" w:type="dxa"/>
            <w:shd w:val="clear" w:color="auto" w:fill="auto"/>
            <w:noWrap/>
            <w:vAlign w:val="bottom"/>
          </w:tcPr>
          <w:p w:rsidR="00B67EF5" w:rsidRPr="00DE7F01" w:rsidRDefault="00B67EF5" w:rsidP="00B67EF5">
            <w:pPr>
              <w:keepNext/>
              <w:rPr>
                <w:rFonts w:cs="Calibri"/>
                <w:color w:val="000000"/>
              </w:rPr>
            </w:pPr>
            <w:r w:rsidRPr="00DE7F01">
              <w:rPr>
                <w:rFonts w:cs="Calibri"/>
                <w:color w:val="000000"/>
                <w:sz w:val="22"/>
              </w:rPr>
              <w:t>Country</w:t>
            </w:r>
          </w:p>
        </w:tc>
        <w:tc>
          <w:tcPr>
            <w:tcW w:w="1562" w:type="dxa"/>
            <w:shd w:val="clear" w:color="auto" w:fill="auto"/>
            <w:vAlign w:val="bottom"/>
          </w:tcPr>
          <w:p w:rsidR="00B67EF5" w:rsidRPr="00DE7F01" w:rsidRDefault="00B67EF5" w:rsidP="00B67EF5">
            <w:pPr>
              <w:rPr>
                <w:rFonts w:cs="Calibri"/>
                <w:color w:val="000000"/>
              </w:rPr>
            </w:pPr>
            <w:r w:rsidRPr="00DE7F01">
              <w:rPr>
                <w:rFonts w:cs="Calibri"/>
                <w:color w:val="000000"/>
                <w:sz w:val="22"/>
              </w:rPr>
              <w:t>change in HDI</w:t>
            </w:r>
          </w:p>
        </w:tc>
        <w:tc>
          <w:tcPr>
            <w:tcW w:w="1781" w:type="dxa"/>
            <w:shd w:val="clear" w:color="auto" w:fill="auto"/>
          </w:tcPr>
          <w:p w:rsidR="00B67EF5" w:rsidRPr="00DE7F01" w:rsidRDefault="00B67EF5" w:rsidP="00B67EF5">
            <w:pPr>
              <w:rPr>
                <w:rFonts w:cs="Calibri"/>
                <w:color w:val="000000"/>
              </w:rPr>
            </w:pPr>
            <w:r w:rsidRPr="00DE7F01">
              <w:rPr>
                <w:rFonts w:cs="Calibri"/>
                <w:color w:val="000000"/>
                <w:sz w:val="22"/>
              </w:rPr>
              <w:t>Country</w:t>
            </w:r>
          </w:p>
        </w:tc>
        <w:tc>
          <w:tcPr>
            <w:tcW w:w="1548" w:type="dxa"/>
            <w:shd w:val="clear" w:color="auto" w:fill="auto"/>
            <w:vAlign w:val="center"/>
          </w:tcPr>
          <w:p w:rsidR="00B67EF5" w:rsidRPr="00DE7F01" w:rsidRDefault="00B67EF5" w:rsidP="00B67EF5">
            <w:pPr>
              <w:jc w:val="center"/>
              <w:rPr>
                <w:rFonts w:cs="Calibri"/>
                <w:color w:val="000000"/>
              </w:rPr>
            </w:pPr>
            <w:r w:rsidRPr="00DE7F01">
              <w:rPr>
                <w:rFonts w:cs="Calibri"/>
                <w:color w:val="000000"/>
                <w:sz w:val="22"/>
              </w:rPr>
              <w:t>change in HDI</w:t>
            </w:r>
          </w:p>
        </w:tc>
      </w:tr>
      <w:tr w:rsidR="00B67EF5" w:rsidRPr="007B268A">
        <w:trPr>
          <w:trHeight w:val="300"/>
          <w:jc w:val="center"/>
        </w:trPr>
        <w:tc>
          <w:tcPr>
            <w:tcW w:w="1610" w:type="dxa"/>
            <w:shd w:val="clear" w:color="auto" w:fill="auto"/>
            <w:noWrap/>
            <w:vAlign w:val="bottom"/>
          </w:tcPr>
          <w:p w:rsidR="00B67EF5" w:rsidRPr="007B268A" w:rsidRDefault="00B67EF5" w:rsidP="00B67EF5">
            <w:pPr>
              <w:keepNext/>
              <w:rPr>
                <w:rFonts w:cs="Calibri"/>
                <w:color w:val="000000"/>
              </w:rPr>
            </w:pPr>
            <w:r w:rsidRPr="007B268A">
              <w:rPr>
                <w:rFonts w:cs="Calibri"/>
                <w:color w:val="000000"/>
                <w:sz w:val="22"/>
              </w:rPr>
              <w:t>Rwanda</w:t>
            </w:r>
          </w:p>
        </w:tc>
        <w:tc>
          <w:tcPr>
            <w:tcW w:w="1562" w:type="dxa"/>
            <w:shd w:val="clear" w:color="auto" w:fill="auto"/>
            <w:vAlign w:val="center"/>
          </w:tcPr>
          <w:p w:rsidR="00B67EF5" w:rsidRPr="007B268A" w:rsidRDefault="00B67EF5" w:rsidP="00B67EF5">
            <w:pPr>
              <w:jc w:val="center"/>
              <w:rPr>
                <w:rFonts w:cs="Calibri"/>
                <w:color w:val="000000"/>
              </w:rPr>
            </w:pPr>
            <w:r w:rsidRPr="007B268A">
              <w:rPr>
                <w:rFonts w:cs="Calibri"/>
                <w:color w:val="000000"/>
                <w:sz w:val="22"/>
              </w:rPr>
              <w:t>-0.0409</w:t>
            </w:r>
          </w:p>
        </w:tc>
        <w:tc>
          <w:tcPr>
            <w:tcW w:w="1781" w:type="dxa"/>
            <w:shd w:val="clear" w:color="auto" w:fill="auto"/>
            <w:vAlign w:val="bottom"/>
          </w:tcPr>
          <w:p w:rsidR="00B67EF5" w:rsidRPr="007B268A" w:rsidRDefault="00B67EF5" w:rsidP="00B67EF5">
            <w:pPr>
              <w:rPr>
                <w:rFonts w:cs="Calibri"/>
                <w:color w:val="000000"/>
              </w:rPr>
            </w:pPr>
            <w:r w:rsidRPr="007B268A">
              <w:rPr>
                <w:rFonts w:cs="Calibri"/>
                <w:color w:val="000000"/>
                <w:sz w:val="22"/>
              </w:rPr>
              <w:t>Somalia</w:t>
            </w:r>
          </w:p>
        </w:tc>
        <w:tc>
          <w:tcPr>
            <w:tcW w:w="1548" w:type="dxa"/>
            <w:shd w:val="clear" w:color="auto" w:fill="auto"/>
            <w:vAlign w:val="center"/>
          </w:tcPr>
          <w:p w:rsidR="00B67EF5" w:rsidRPr="007B268A" w:rsidRDefault="00B67EF5" w:rsidP="00B67EF5">
            <w:pPr>
              <w:jc w:val="center"/>
              <w:rPr>
                <w:rFonts w:cs="Calibri"/>
                <w:color w:val="000000"/>
              </w:rPr>
            </w:pPr>
            <w:r w:rsidRPr="007B268A">
              <w:rPr>
                <w:rFonts w:cs="Calibri"/>
                <w:color w:val="000000"/>
                <w:sz w:val="22"/>
              </w:rPr>
              <w:t>0.08561</w:t>
            </w:r>
          </w:p>
        </w:tc>
      </w:tr>
      <w:tr w:rsidR="00B67EF5" w:rsidRPr="007B268A">
        <w:trPr>
          <w:trHeight w:val="300"/>
          <w:jc w:val="center"/>
        </w:trPr>
        <w:tc>
          <w:tcPr>
            <w:tcW w:w="1610" w:type="dxa"/>
            <w:shd w:val="clear" w:color="auto" w:fill="auto"/>
            <w:noWrap/>
            <w:vAlign w:val="bottom"/>
          </w:tcPr>
          <w:p w:rsidR="00B67EF5" w:rsidRPr="007B268A" w:rsidRDefault="00B67EF5" w:rsidP="00B67EF5">
            <w:pPr>
              <w:keepNext/>
              <w:rPr>
                <w:rFonts w:cs="Calibri"/>
                <w:color w:val="000000"/>
              </w:rPr>
            </w:pPr>
            <w:r w:rsidRPr="007B268A">
              <w:rPr>
                <w:rFonts w:cs="Calibri"/>
                <w:color w:val="000000"/>
                <w:sz w:val="22"/>
              </w:rPr>
              <w:t>Gambia</w:t>
            </w:r>
          </w:p>
        </w:tc>
        <w:tc>
          <w:tcPr>
            <w:tcW w:w="1562" w:type="dxa"/>
            <w:shd w:val="clear" w:color="auto" w:fill="auto"/>
            <w:vAlign w:val="center"/>
          </w:tcPr>
          <w:p w:rsidR="00B67EF5" w:rsidRPr="007B268A" w:rsidRDefault="00B67EF5" w:rsidP="00B67EF5">
            <w:pPr>
              <w:jc w:val="center"/>
              <w:rPr>
                <w:rFonts w:cs="Calibri"/>
                <w:color w:val="000000"/>
              </w:rPr>
            </w:pPr>
            <w:r w:rsidRPr="007B268A">
              <w:rPr>
                <w:rFonts w:cs="Calibri"/>
                <w:color w:val="000000"/>
                <w:sz w:val="22"/>
              </w:rPr>
              <w:t>-0.0350</w:t>
            </w:r>
          </w:p>
        </w:tc>
        <w:tc>
          <w:tcPr>
            <w:tcW w:w="1781" w:type="dxa"/>
            <w:shd w:val="clear" w:color="auto" w:fill="auto"/>
            <w:vAlign w:val="bottom"/>
          </w:tcPr>
          <w:p w:rsidR="00B67EF5" w:rsidRPr="007B268A" w:rsidRDefault="00B67EF5" w:rsidP="00B67EF5">
            <w:pPr>
              <w:rPr>
                <w:rFonts w:cs="Calibri"/>
                <w:color w:val="000000"/>
              </w:rPr>
            </w:pPr>
            <w:r w:rsidRPr="007B268A">
              <w:rPr>
                <w:rFonts w:cs="Calibri"/>
                <w:color w:val="000000"/>
                <w:sz w:val="22"/>
              </w:rPr>
              <w:t>Afghanistan</w:t>
            </w:r>
          </w:p>
        </w:tc>
        <w:tc>
          <w:tcPr>
            <w:tcW w:w="1548" w:type="dxa"/>
            <w:shd w:val="clear" w:color="auto" w:fill="auto"/>
            <w:vAlign w:val="center"/>
          </w:tcPr>
          <w:p w:rsidR="00B67EF5" w:rsidRPr="007B268A" w:rsidRDefault="00B67EF5" w:rsidP="00B67EF5">
            <w:pPr>
              <w:jc w:val="center"/>
              <w:rPr>
                <w:rFonts w:cs="Calibri"/>
                <w:color w:val="000000"/>
              </w:rPr>
            </w:pPr>
            <w:r w:rsidRPr="007B268A">
              <w:rPr>
                <w:rFonts w:cs="Calibri"/>
                <w:color w:val="000000"/>
                <w:sz w:val="22"/>
              </w:rPr>
              <w:t>0.05229</w:t>
            </w:r>
          </w:p>
        </w:tc>
      </w:tr>
      <w:tr w:rsidR="00B67EF5" w:rsidRPr="007B268A">
        <w:trPr>
          <w:trHeight w:val="300"/>
          <w:jc w:val="center"/>
        </w:trPr>
        <w:tc>
          <w:tcPr>
            <w:tcW w:w="1610" w:type="dxa"/>
            <w:shd w:val="clear" w:color="auto" w:fill="auto"/>
            <w:noWrap/>
            <w:vAlign w:val="bottom"/>
          </w:tcPr>
          <w:p w:rsidR="00B67EF5" w:rsidRPr="007B268A" w:rsidRDefault="00B67EF5" w:rsidP="00B67EF5">
            <w:pPr>
              <w:keepNext/>
              <w:rPr>
                <w:rFonts w:cs="Calibri"/>
                <w:color w:val="000000"/>
              </w:rPr>
            </w:pPr>
            <w:r w:rsidRPr="007B268A">
              <w:rPr>
                <w:rFonts w:cs="Calibri"/>
                <w:color w:val="000000"/>
                <w:sz w:val="22"/>
              </w:rPr>
              <w:t>Senegal</w:t>
            </w:r>
          </w:p>
        </w:tc>
        <w:tc>
          <w:tcPr>
            <w:tcW w:w="1562" w:type="dxa"/>
            <w:shd w:val="clear" w:color="auto" w:fill="auto"/>
            <w:vAlign w:val="center"/>
          </w:tcPr>
          <w:p w:rsidR="00B67EF5" w:rsidRPr="007B268A" w:rsidRDefault="00B67EF5" w:rsidP="00B67EF5">
            <w:pPr>
              <w:jc w:val="center"/>
              <w:rPr>
                <w:rFonts w:cs="Calibri"/>
                <w:color w:val="000000"/>
              </w:rPr>
            </w:pPr>
            <w:r w:rsidRPr="007B268A">
              <w:rPr>
                <w:rFonts w:cs="Calibri"/>
                <w:color w:val="000000"/>
                <w:sz w:val="22"/>
              </w:rPr>
              <w:t>-0.0298</w:t>
            </w:r>
          </w:p>
        </w:tc>
        <w:tc>
          <w:tcPr>
            <w:tcW w:w="1781" w:type="dxa"/>
            <w:shd w:val="clear" w:color="auto" w:fill="auto"/>
            <w:vAlign w:val="bottom"/>
          </w:tcPr>
          <w:p w:rsidR="00B67EF5" w:rsidRPr="007B268A" w:rsidRDefault="00B67EF5" w:rsidP="00B67EF5">
            <w:pPr>
              <w:rPr>
                <w:rFonts w:cs="Calibri"/>
                <w:color w:val="000000"/>
              </w:rPr>
            </w:pPr>
            <w:r w:rsidRPr="007B268A">
              <w:rPr>
                <w:rFonts w:cs="Calibri"/>
                <w:color w:val="000000"/>
                <w:sz w:val="22"/>
              </w:rPr>
              <w:t>Sierra Leone</w:t>
            </w:r>
          </w:p>
        </w:tc>
        <w:tc>
          <w:tcPr>
            <w:tcW w:w="1548" w:type="dxa"/>
            <w:shd w:val="clear" w:color="auto" w:fill="auto"/>
            <w:vAlign w:val="center"/>
          </w:tcPr>
          <w:p w:rsidR="00B67EF5" w:rsidRPr="007B268A" w:rsidRDefault="00B67EF5" w:rsidP="00B67EF5">
            <w:pPr>
              <w:jc w:val="center"/>
              <w:rPr>
                <w:rFonts w:cs="Calibri"/>
                <w:color w:val="000000"/>
              </w:rPr>
            </w:pPr>
            <w:r w:rsidRPr="007B268A">
              <w:rPr>
                <w:rFonts w:cs="Calibri"/>
                <w:color w:val="000000"/>
                <w:sz w:val="22"/>
              </w:rPr>
              <w:t>0.05056</w:t>
            </w:r>
          </w:p>
        </w:tc>
      </w:tr>
      <w:tr w:rsidR="00B67EF5" w:rsidRPr="007B268A">
        <w:trPr>
          <w:trHeight w:val="300"/>
          <w:jc w:val="center"/>
        </w:trPr>
        <w:tc>
          <w:tcPr>
            <w:tcW w:w="1610" w:type="dxa"/>
            <w:shd w:val="clear" w:color="auto" w:fill="auto"/>
            <w:noWrap/>
            <w:vAlign w:val="bottom"/>
          </w:tcPr>
          <w:p w:rsidR="00B67EF5" w:rsidRPr="007B268A" w:rsidRDefault="00B67EF5" w:rsidP="00B67EF5">
            <w:pPr>
              <w:keepNext/>
              <w:rPr>
                <w:rFonts w:cs="Calibri"/>
                <w:color w:val="000000"/>
              </w:rPr>
            </w:pPr>
            <w:r w:rsidRPr="007B268A">
              <w:rPr>
                <w:rFonts w:cs="Calibri"/>
                <w:color w:val="000000"/>
                <w:sz w:val="22"/>
              </w:rPr>
              <w:t>Eritrea</w:t>
            </w:r>
          </w:p>
        </w:tc>
        <w:tc>
          <w:tcPr>
            <w:tcW w:w="1562" w:type="dxa"/>
            <w:shd w:val="clear" w:color="auto" w:fill="auto"/>
            <w:vAlign w:val="center"/>
          </w:tcPr>
          <w:p w:rsidR="00B67EF5" w:rsidRPr="007B268A" w:rsidRDefault="00B67EF5" w:rsidP="00B67EF5">
            <w:pPr>
              <w:jc w:val="center"/>
              <w:rPr>
                <w:rFonts w:cs="Calibri"/>
                <w:color w:val="000000"/>
              </w:rPr>
            </w:pPr>
            <w:r w:rsidRPr="007B268A">
              <w:rPr>
                <w:rFonts w:cs="Calibri"/>
                <w:color w:val="000000"/>
                <w:sz w:val="22"/>
              </w:rPr>
              <w:t>-0.0202</w:t>
            </w:r>
          </w:p>
        </w:tc>
        <w:tc>
          <w:tcPr>
            <w:tcW w:w="1781" w:type="dxa"/>
            <w:shd w:val="clear" w:color="auto" w:fill="auto"/>
            <w:vAlign w:val="bottom"/>
          </w:tcPr>
          <w:p w:rsidR="00B67EF5" w:rsidRPr="007B268A" w:rsidRDefault="00B67EF5" w:rsidP="00B67EF5">
            <w:pPr>
              <w:rPr>
                <w:rFonts w:cs="Calibri"/>
                <w:color w:val="000000"/>
              </w:rPr>
            </w:pPr>
            <w:r w:rsidRPr="007B268A">
              <w:rPr>
                <w:rFonts w:cs="Calibri"/>
                <w:color w:val="000000"/>
                <w:sz w:val="22"/>
              </w:rPr>
              <w:t>Pakistan</w:t>
            </w:r>
          </w:p>
        </w:tc>
        <w:tc>
          <w:tcPr>
            <w:tcW w:w="1548" w:type="dxa"/>
            <w:shd w:val="clear" w:color="auto" w:fill="auto"/>
            <w:vAlign w:val="center"/>
          </w:tcPr>
          <w:p w:rsidR="00B67EF5" w:rsidRPr="007B268A" w:rsidRDefault="00B67EF5" w:rsidP="00B67EF5">
            <w:pPr>
              <w:jc w:val="center"/>
              <w:rPr>
                <w:rFonts w:cs="Calibri"/>
                <w:color w:val="000000"/>
              </w:rPr>
            </w:pPr>
            <w:r w:rsidRPr="007B268A">
              <w:rPr>
                <w:rFonts w:cs="Calibri"/>
                <w:color w:val="000000"/>
                <w:sz w:val="22"/>
              </w:rPr>
              <w:t>0.04373</w:t>
            </w:r>
          </w:p>
        </w:tc>
      </w:tr>
      <w:tr w:rsidR="00B67EF5" w:rsidRPr="007B268A">
        <w:trPr>
          <w:trHeight w:val="300"/>
          <w:jc w:val="center"/>
        </w:trPr>
        <w:tc>
          <w:tcPr>
            <w:tcW w:w="1610" w:type="dxa"/>
            <w:shd w:val="clear" w:color="auto" w:fill="auto"/>
            <w:noWrap/>
            <w:vAlign w:val="bottom"/>
          </w:tcPr>
          <w:p w:rsidR="00B67EF5" w:rsidRPr="007B268A" w:rsidRDefault="00B67EF5" w:rsidP="00B67EF5">
            <w:pPr>
              <w:keepNext/>
              <w:rPr>
                <w:rFonts w:cs="Calibri"/>
                <w:color w:val="000000"/>
              </w:rPr>
            </w:pPr>
            <w:r w:rsidRPr="007B268A">
              <w:rPr>
                <w:rFonts w:cs="Calibri"/>
                <w:color w:val="000000"/>
                <w:sz w:val="22"/>
              </w:rPr>
              <w:t>Guinea</w:t>
            </w:r>
          </w:p>
        </w:tc>
        <w:tc>
          <w:tcPr>
            <w:tcW w:w="1562" w:type="dxa"/>
            <w:shd w:val="clear" w:color="auto" w:fill="auto"/>
            <w:vAlign w:val="center"/>
          </w:tcPr>
          <w:p w:rsidR="00B67EF5" w:rsidRPr="007B268A" w:rsidRDefault="00B67EF5" w:rsidP="00B67EF5">
            <w:pPr>
              <w:jc w:val="center"/>
              <w:rPr>
                <w:rFonts w:cs="Calibri"/>
                <w:color w:val="000000"/>
              </w:rPr>
            </w:pPr>
            <w:r w:rsidRPr="007B268A">
              <w:rPr>
                <w:rFonts w:cs="Calibri"/>
                <w:color w:val="000000"/>
                <w:sz w:val="22"/>
              </w:rPr>
              <w:t>-0.0201</w:t>
            </w:r>
          </w:p>
        </w:tc>
        <w:tc>
          <w:tcPr>
            <w:tcW w:w="1781" w:type="dxa"/>
            <w:shd w:val="clear" w:color="auto" w:fill="auto"/>
            <w:vAlign w:val="bottom"/>
          </w:tcPr>
          <w:p w:rsidR="00B67EF5" w:rsidRPr="007B268A" w:rsidRDefault="00B67EF5" w:rsidP="00B67EF5">
            <w:pPr>
              <w:rPr>
                <w:rFonts w:cs="Calibri"/>
                <w:color w:val="000000"/>
              </w:rPr>
            </w:pPr>
            <w:r w:rsidRPr="007B268A">
              <w:rPr>
                <w:rFonts w:cs="Calibri"/>
                <w:color w:val="000000"/>
                <w:sz w:val="22"/>
              </w:rPr>
              <w:t>Tanzania</w:t>
            </w:r>
          </w:p>
        </w:tc>
        <w:tc>
          <w:tcPr>
            <w:tcW w:w="1548" w:type="dxa"/>
            <w:shd w:val="clear" w:color="auto" w:fill="auto"/>
            <w:vAlign w:val="center"/>
          </w:tcPr>
          <w:p w:rsidR="00B67EF5" w:rsidRPr="007B268A" w:rsidRDefault="00B67EF5" w:rsidP="00B67EF5">
            <w:pPr>
              <w:jc w:val="center"/>
              <w:rPr>
                <w:rFonts w:cs="Calibri"/>
                <w:color w:val="000000"/>
              </w:rPr>
            </w:pPr>
            <w:r w:rsidRPr="007B268A">
              <w:rPr>
                <w:rFonts w:cs="Calibri"/>
                <w:color w:val="000000"/>
                <w:sz w:val="22"/>
              </w:rPr>
              <w:t>0.03726</w:t>
            </w:r>
          </w:p>
        </w:tc>
      </w:tr>
      <w:tr w:rsidR="00B67EF5" w:rsidRPr="007B268A">
        <w:trPr>
          <w:trHeight w:val="300"/>
          <w:jc w:val="center"/>
        </w:trPr>
        <w:tc>
          <w:tcPr>
            <w:tcW w:w="1610" w:type="dxa"/>
            <w:shd w:val="clear" w:color="auto" w:fill="auto"/>
            <w:noWrap/>
            <w:vAlign w:val="bottom"/>
          </w:tcPr>
          <w:p w:rsidR="00B67EF5" w:rsidRPr="007B268A" w:rsidRDefault="00B67EF5" w:rsidP="00B67EF5">
            <w:pPr>
              <w:keepNext/>
              <w:keepLines/>
              <w:rPr>
                <w:rFonts w:cs="Calibri"/>
                <w:color w:val="000000"/>
              </w:rPr>
            </w:pPr>
            <w:r w:rsidRPr="007B268A">
              <w:rPr>
                <w:rFonts w:cs="Calibri"/>
                <w:color w:val="000000"/>
                <w:sz w:val="22"/>
              </w:rPr>
              <w:t>Cote d'Ivoire</w:t>
            </w:r>
          </w:p>
        </w:tc>
        <w:tc>
          <w:tcPr>
            <w:tcW w:w="1562" w:type="dxa"/>
            <w:shd w:val="clear" w:color="auto" w:fill="auto"/>
            <w:vAlign w:val="center"/>
          </w:tcPr>
          <w:p w:rsidR="00B67EF5" w:rsidRPr="007B268A" w:rsidRDefault="00B67EF5" w:rsidP="00B67EF5">
            <w:pPr>
              <w:jc w:val="center"/>
              <w:rPr>
                <w:rFonts w:cs="Calibri"/>
                <w:color w:val="000000"/>
              </w:rPr>
            </w:pPr>
            <w:r w:rsidRPr="007B268A">
              <w:rPr>
                <w:rFonts w:cs="Calibri"/>
                <w:color w:val="000000"/>
                <w:sz w:val="22"/>
              </w:rPr>
              <w:t>-0.0131</w:t>
            </w:r>
          </w:p>
        </w:tc>
        <w:tc>
          <w:tcPr>
            <w:tcW w:w="1781" w:type="dxa"/>
            <w:shd w:val="clear" w:color="auto" w:fill="auto"/>
            <w:vAlign w:val="bottom"/>
          </w:tcPr>
          <w:p w:rsidR="00B67EF5" w:rsidRPr="007B268A" w:rsidRDefault="00B67EF5" w:rsidP="00B67EF5">
            <w:pPr>
              <w:rPr>
                <w:rFonts w:cs="Calibri"/>
                <w:color w:val="000000"/>
              </w:rPr>
            </w:pPr>
            <w:r w:rsidRPr="007B268A">
              <w:rPr>
                <w:rFonts w:cs="Calibri"/>
                <w:color w:val="000000"/>
                <w:sz w:val="22"/>
              </w:rPr>
              <w:t>Lesotho</w:t>
            </w:r>
          </w:p>
        </w:tc>
        <w:tc>
          <w:tcPr>
            <w:tcW w:w="1548" w:type="dxa"/>
            <w:shd w:val="clear" w:color="auto" w:fill="auto"/>
            <w:vAlign w:val="center"/>
          </w:tcPr>
          <w:p w:rsidR="00B67EF5" w:rsidRPr="007B268A" w:rsidRDefault="00B67EF5" w:rsidP="00B67EF5">
            <w:pPr>
              <w:jc w:val="center"/>
              <w:rPr>
                <w:rFonts w:cs="Calibri"/>
                <w:color w:val="000000"/>
              </w:rPr>
            </w:pPr>
            <w:r w:rsidRPr="007B268A">
              <w:rPr>
                <w:rFonts w:cs="Calibri"/>
                <w:color w:val="000000"/>
                <w:sz w:val="22"/>
              </w:rPr>
              <w:t>0.02986</w:t>
            </w:r>
          </w:p>
        </w:tc>
      </w:tr>
      <w:tr w:rsidR="00B67EF5" w:rsidRPr="007B268A">
        <w:trPr>
          <w:trHeight w:val="300"/>
          <w:jc w:val="center"/>
        </w:trPr>
        <w:tc>
          <w:tcPr>
            <w:tcW w:w="1610" w:type="dxa"/>
            <w:shd w:val="clear" w:color="auto" w:fill="auto"/>
            <w:noWrap/>
            <w:vAlign w:val="bottom"/>
          </w:tcPr>
          <w:p w:rsidR="00B67EF5" w:rsidRPr="007B268A" w:rsidRDefault="00B67EF5" w:rsidP="00B67EF5">
            <w:pPr>
              <w:keepNext/>
              <w:rPr>
                <w:rFonts w:cs="Calibri"/>
                <w:color w:val="000000"/>
              </w:rPr>
            </w:pPr>
            <w:r w:rsidRPr="007B268A">
              <w:rPr>
                <w:rFonts w:cs="Calibri"/>
                <w:color w:val="000000"/>
                <w:sz w:val="22"/>
              </w:rPr>
              <w:t>Mali</w:t>
            </w:r>
          </w:p>
        </w:tc>
        <w:tc>
          <w:tcPr>
            <w:tcW w:w="1562" w:type="dxa"/>
            <w:shd w:val="clear" w:color="auto" w:fill="auto"/>
            <w:vAlign w:val="center"/>
          </w:tcPr>
          <w:p w:rsidR="00B67EF5" w:rsidRPr="007B268A" w:rsidRDefault="00B67EF5" w:rsidP="00B67EF5">
            <w:pPr>
              <w:jc w:val="center"/>
              <w:rPr>
                <w:rFonts w:cs="Calibri"/>
                <w:color w:val="000000"/>
              </w:rPr>
            </w:pPr>
            <w:r w:rsidRPr="007B268A">
              <w:rPr>
                <w:rFonts w:cs="Calibri"/>
                <w:color w:val="000000"/>
                <w:sz w:val="22"/>
              </w:rPr>
              <w:t>-0.0108</w:t>
            </w:r>
          </w:p>
        </w:tc>
        <w:tc>
          <w:tcPr>
            <w:tcW w:w="1781" w:type="dxa"/>
            <w:shd w:val="clear" w:color="auto" w:fill="auto"/>
            <w:vAlign w:val="bottom"/>
          </w:tcPr>
          <w:p w:rsidR="00B67EF5" w:rsidRPr="007B268A" w:rsidRDefault="00B67EF5" w:rsidP="00B67EF5">
            <w:pPr>
              <w:rPr>
                <w:rFonts w:cs="Calibri"/>
                <w:color w:val="000000"/>
              </w:rPr>
            </w:pPr>
            <w:r w:rsidRPr="007B268A">
              <w:rPr>
                <w:rFonts w:cs="Calibri"/>
                <w:color w:val="000000"/>
                <w:sz w:val="22"/>
              </w:rPr>
              <w:t>Swaziland</w:t>
            </w:r>
          </w:p>
        </w:tc>
        <w:tc>
          <w:tcPr>
            <w:tcW w:w="1548" w:type="dxa"/>
            <w:shd w:val="clear" w:color="auto" w:fill="auto"/>
            <w:vAlign w:val="center"/>
          </w:tcPr>
          <w:p w:rsidR="00B67EF5" w:rsidRPr="007B268A" w:rsidRDefault="00B67EF5" w:rsidP="00B67EF5">
            <w:pPr>
              <w:jc w:val="center"/>
              <w:rPr>
                <w:rFonts w:cs="Calibri"/>
                <w:color w:val="000000"/>
              </w:rPr>
            </w:pPr>
            <w:r w:rsidRPr="007B268A">
              <w:rPr>
                <w:rFonts w:cs="Calibri"/>
                <w:color w:val="000000"/>
                <w:sz w:val="22"/>
              </w:rPr>
              <w:t>0.02909</w:t>
            </w:r>
          </w:p>
        </w:tc>
      </w:tr>
      <w:tr w:rsidR="00B67EF5" w:rsidRPr="007B268A">
        <w:trPr>
          <w:trHeight w:val="300"/>
          <w:jc w:val="center"/>
        </w:trPr>
        <w:tc>
          <w:tcPr>
            <w:tcW w:w="1610" w:type="dxa"/>
            <w:shd w:val="clear" w:color="auto" w:fill="auto"/>
            <w:noWrap/>
            <w:vAlign w:val="bottom"/>
          </w:tcPr>
          <w:p w:rsidR="00B67EF5" w:rsidRPr="007B268A" w:rsidRDefault="00B67EF5" w:rsidP="00B67EF5">
            <w:pPr>
              <w:keepNext/>
              <w:rPr>
                <w:rFonts w:cs="Calibri"/>
                <w:color w:val="000000"/>
              </w:rPr>
            </w:pPr>
            <w:r w:rsidRPr="007B268A">
              <w:rPr>
                <w:rFonts w:cs="Calibri"/>
                <w:color w:val="000000"/>
                <w:sz w:val="22"/>
              </w:rPr>
              <w:t>Malawi</w:t>
            </w:r>
          </w:p>
        </w:tc>
        <w:tc>
          <w:tcPr>
            <w:tcW w:w="1562" w:type="dxa"/>
            <w:shd w:val="clear" w:color="auto" w:fill="auto"/>
            <w:vAlign w:val="center"/>
          </w:tcPr>
          <w:p w:rsidR="00B67EF5" w:rsidRPr="007B268A" w:rsidRDefault="00B67EF5" w:rsidP="00B67EF5">
            <w:pPr>
              <w:jc w:val="center"/>
              <w:rPr>
                <w:rFonts w:cs="Calibri"/>
                <w:color w:val="000000"/>
              </w:rPr>
            </w:pPr>
            <w:r w:rsidRPr="007B268A">
              <w:rPr>
                <w:rFonts w:cs="Calibri"/>
                <w:color w:val="000000"/>
                <w:sz w:val="22"/>
              </w:rPr>
              <w:t>-0.0089</w:t>
            </w:r>
          </w:p>
        </w:tc>
        <w:tc>
          <w:tcPr>
            <w:tcW w:w="1781" w:type="dxa"/>
            <w:shd w:val="clear" w:color="auto" w:fill="auto"/>
            <w:vAlign w:val="bottom"/>
          </w:tcPr>
          <w:p w:rsidR="00B67EF5" w:rsidRPr="007B268A" w:rsidRDefault="00B67EF5" w:rsidP="00B67EF5">
            <w:pPr>
              <w:rPr>
                <w:rFonts w:cs="Calibri"/>
                <w:color w:val="000000"/>
              </w:rPr>
            </w:pPr>
            <w:r w:rsidRPr="007B268A">
              <w:rPr>
                <w:rFonts w:cs="Calibri"/>
                <w:color w:val="000000"/>
                <w:sz w:val="22"/>
              </w:rPr>
              <w:t>Nigeria</w:t>
            </w:r>
          </w:p>
        </w:tc>
        <w:tc>
          <w:tcPr>
            <w:tcW w:w="1548" w:type="dxa"/>
            <w:shd w:val="clear" w:color="auto" w:fill="auto"/>
            <w:vAlign w:val="center"/>
          </w:tcPr>
          <w:p w:rsidR="00B67EF5" w:rsidRPr="007B268A" w:rsidRDefault="00B67EF5" w:rsidP="00B67EF5">
            <w:pPr>
              <w:jc w:val="center"/>
              <w:rPr>
                <w:rFonts w:cs="Calibri"/>
                <w:color w:val="000000"/>
              </w:rPr>
            </w:pPr>
            <w:r w:rsidRPr="007B268A">
              <w:rPr>
                <w:rFonts w:cs="Calibri"/>
                <w:color w:val="000000"/>
                <w:sz w:val="22"/>
              </w:rPr>
              <w:t>0.02829</w:t>
            </w:r>
          </w:p>
        </w:tc>
      </w:tr>
      <w:tr w:rsidR="00B67EF5" w:rsidRPr="007B268A">
        <w:trPr>
          <w:trHeight w:val="300"/>
          <w:jc w:val="center"/>
        </w:trPr>
        <w:tc>
          <w:tcPr>
            <w:tcW w:w="1610" w:type="dxa"/>
            <w:shd w:val="clear" w:color="auto" w:fill="auto"/>
            <w:noWrap/>
            <w:vAlign w:val="bottom"/>
          </w:tcPr>
          <w:p w:rsidR="00B67EF5" w:rsidRPr="007B268A" w:rsidRDefault="00B67EF5" w:rsidP="00B67EF5">
            <w:pPr>
              <w:keepNext/>
              <w:rPr>
                <w:rFonts w:cs="Calibri"/>
                <w:color w:val="000000"/>
              </w:rPr>
            </w:pPr>
            <w:r w:rsidRPr="007B268A">
              <w:rPr>
                <w:rFonts w:cs="Calibri"/>
                <w:color w:val="000000"/>
                <w:sz w:val="22"/>
              </w:rPr>
              <w:t>Guinea Bissau</w:t>
            </w:r>
          </w:p>
        </w:tc>
        <w:tc>
          <w:tcPr>
            <w:tcW w:w="1562" w:type="dxa"/>
            <w:shd w:val="clear" w:color="auto" w:fill="auto"/>
            <w:vAlign w:val="center"/>
          </w:tcPr>
          <w:p w:rsidR="00B67EF5" w:rsidRPr="007B268A" w:rsidRDefault="00B67EF5" w:rsidP="00B67EF5">
            <w:pPr>
              <w:jc w:val="center"/>
              <w:rPr>
                <w:rFonts w:cs="Calibri"/>
                <w:color w:val="000000"/>
              </w:rPr>
            </w:pPr>
            <w:r w:rsidRPr="007B268A">
              <w:rPr>
                <w:rFonts w:cs="Calibri"/>
                <w:color w:val="000000"/>
                <w:sz w:val="22"/>
              </w:rPr>
              <w:t>-0.0074</w:t>
            </w:r>
          </w:p>
        </w:tc>
        <w:tc>
          <w:tcPr>
            <w:tcW w:w="1781" w:type="dxa"/>
            <w:shd w:val="clear" w:color="auto" w:fill="auto"/>
            <w:vAlign w:val="bottom"/>
          </w:tcPr>
          <w:p w:rsidR="00B67EF5" w:rsidRPr="007B268A" w:rsidRDefault="00B67EF5" w:rsidP="00B67EF5">
            <w:pPr>
              <w:rPr>
                <w:rFonts w:cs="Calibri"/>
                <w:color w:val="000000"/>
              </w:rPr>
            </w:pPr>
            <w:r w:rsidRPr="007B268A">
              <w:rPr>
                <w:rFonts w:cs="Calibri"/>
                <w:color w:val="000000"/>
                <w:sz w:val="22"/>
              </w:rPr>
              <w:t>Solomon Islands</w:t>
            </w:r>
          </w:p>
        </w:tc>
        <w:tc>
          <w:tcPr>
            <w:tcW w:w="1548" w:type="dxa"/>
            <w:shd w:val="clear" w:color="auto" w:fill="auto"/>
            <w:vAlign w:val="center"/>
          </w:tcPr>
          <w:p w:rsidR="00B67EF5" w:rsidRPr="007B268A" w:rsidRDefault="00B67EF5" w:rsidP="00B67EF5">
            <w:pPr>
              <w:jc w:val="center"/>
              <w:rPr>
                <w:rFonts w:cs="Calibri"/>
                <w:color w:val="000000"/>
              </w:rPr>
            </w:pPr>
            <w:r w:rsidRPr="007B268A">
              <w:rPr>
                <w:rFonts w:cs="Calibri"/>
                <w:color w:val="000000"/>
                <w:sz w:val="22"/>
              </w:rPr>
              <w:t>0.02807</w:t>
            </w:r>
          </w:p>
        </w:tc>
      </w:tr>
      <w:tr w:rsidR="00B67EF5" w:rsidRPr="007B268A">
        <w:trPr>
          <w:trHeight w:val="300"/>
          <w:jc w:val="center"/>
        </w:trPr>
        <w:tc>
          <w:tcPr>
            <w:tcW w:w="1610" w:type="dxa"/>
            <w:shd w:val="clear" w:color="auto" w:fill="auto"/>
            <w:noWrap/>
            <w:vAlign w:val="bottom"/>
          </w:tcPr>
          <w:p w:rsidR="00B67EF5" w:rsidRPr="007B268A" w:rsidRDefault="00B67EF5" w:rsidP="00B67EF5">
            <w:pPr>
              <w:keepNext/>
              <w:rPr>
                <w:rFonts w:cs="Calibri"/>
                <w:color w:val="000000"/>
              </w:rPr>
            </w:pPr>
            <w:r w:rsidRPr="007B268A">
              <w:rPr>
                <w:rFonts w:cs="Calibri"/>
                <w:color w:val="000000"/>
                <w:sz w:val="22"/>
              </w:rPr>
              <w:t>Comoros</w:t>
            </w:r>
          </w:p>
        </w:tc>
        <w:tc>
          <w:tcPr>
            <w:tcW w:w="1562" w:type="dxa"/>
            <w:shd w:val="clear" w:color="auto" w:fill="auto"/>
            <w:vAlign w:val="center"/>
          </w:tcPr>
          <w:p w:rsidR="00B67EF5" w:rsidRPr="007B268A" w:rsidRDefault="00B67EF5" w:rsidP="00B67EF5">
            <w:pPr>
              <w:jc w:val="center"/>
              <w:rPr>
                <w:rFonts w:cs="Calibri"/>
                <w:color w:val="000000"/>
              </w:rPr>
            </w:pPr>
            <w:r w:rsidRPr="007B268A">
              <w:rPr>
                <w:rFonts w:cs="Calibri"/>
                <w:color w:val="000000"/>
                <w:sz w:val="22"/>
              </w:rPr>
              <w:t>-0.0054</w:t>
            </w:r>
          </w:p>
        </w:tc>
        <w:tc>
          <w:tcPr>
            <w:tcW w:w="1781" w:type="dxa"/>
            <w:shd w:val="clear" w:color="auto" w:fill="auto"/>
            <w:vAlign w:val="bottom"/>
          </w:tcPr>
          <w:p w:rsidR="00B67EF5" w:rsidRPr="007B268A" w:rsidRDefault="00B67EF5" w:rsidP="00B67EF5">
            <w:pPr>
              <w:rPr>
                <w:rFonts w:cs="Calibri"/>
                <w:color w:val="000000"/>
              </w:rPr>
            </w:pPr>
            <w:r w:rsidRPr="007B268A">
              <w:rPr>
                <w:rFonts w:cs="Calibri"/>
                <w:color w:val="000000"/>
                <w:sz w:val="22"/>
              </w:rPr>
              <w:t>Namibia</w:t>
            </w:r>
          </w:p>
        </w:tc>
        <w:tc>
          <w:tcPr>
            <w:tcW w:w="1548" w:type="dxa"/>
            <w:shd w:val="clear" w:color="auto" w:fill="auto"/>
            <w:vAlign w:val="center"/>
          </w:tcPr>
          <w:p w:rsidR="00B67EF5" w:rsidRPr="007B268A" w:rsidRDefault="00B67EF5" w:rsidP="00B67EF5">
            <w:pPr>
              <w:jc w:val="center"/>
              <w:rPr>
                <w:rFonts w:cs="Calibri"/>
                <w:color w:val="000000"/>
              </w:rPr>
            </w:pPr>
            <w:r w:rsidRPr="007B268A">
              <w:rPr>
                <w:rFonts w:cs="Calibri"/>
                <w:color w:val="000000"/>
                <w:sz w:val="22"/>
              </w:rPr>
              <w:t>0.02655</w:t>
            </w:r>
          </w:p>
        </w:tc>
      </w:tr>
      <w:tr w:rsidR="00B67EF5" w:rsidRPr="007B268A">
        <w:trPr>
          <w:trHeight w:val="305"/>
          <w:jc w:val="center"/>
        </w:trPr>
        <w:tc>
          <w:tcPr>
            <w:tcW w:w="6501" w:type="dxa"/>
            <w:gridSpan w:val="4"/>
            <w:shd w:val="clear" w:color="auto" w:fill="auto"/>
            <w:noWrap/>
            <w:vAlign w:val="center"/>
          </w:tcPr>
          <w:p w:rsidR="00B67EF5" w:rsidRPr="007B268A" w:rsidRDefault="00B67EF5" w:rsidP="00B67EF5">
            <w:pPr>
              <w:rPr>
                <w:rFonts w:cs="Calibri"/>
                <w:color w:val="000000"/>
              </w:rPr>
            </w:pPr>
            <w:r w:rsidRPr="007B268A">
              <w:rPr>
                <w:rFonts w:cs="Calibri"/>
                <w:i/>
                <w:color w:val="000000"/>
                <w:sz w:val="22"/>
              </w:rPr>
              <w:t>Source</w:t>
            </w:r>
            <w:r w:rsidRPr="007B268A">
              <w:rPr>
                <w:rFonts w:cs="Calibri"/>
                <w:color w:val="000000"/>
                <w:sz w:val="22"/>
              </w:rPr>
              <w:t xml:space="preserve">: IFs </w:t>
            </w:r>
            <w:r w:rsidRPr="007B268A">
              <w:rPr>
                <w:rFonts w:cs="Calibri"/>
                <w:i/>
                <w:color w:val="000000"/>
                <w:sz w:val="22"/>
              </w:rPr>
              <w:t>v6.57 23 May 2012</w:t>
            </w:r>
          </w:p>
        </w:tc>
      </w:tr>
    </w:tbl>
    <w:p w:rsidR="00B67EF5" w:rsidRDefault="00B67EF5" w:rsidP="00B67EF5">
      <w:pPr>
        <w:pStyle w:val="Heading2"/>
        <w:numPr>
          <w:ilvl w:val="0"/>
          <w:numId w:val="0"/>
        </w:numPr>
        <w:ind w:left="360" w:hanging="360"/>
      </w:pPr>
    </w:p>
    <w:p w:rsidR="00972987" w:rsidRPr="007B268A" w:rsidRDefault="00972987" w:rsidP="00B67EF5">
      <w:pPr>
        <w:pStyle w:val="Heading2"/>
        <w:numPr>
          <w:ilvl w:val="0"/>
          <w:numId w:val="0"/>
        </w:numPr>
        <w:ind w:left="360" w:hanging="360"/>
      </w:pPr>
      <w:bookmarkStart w:id="186" w:name="_Toc200095333"/>
      <w:r w:rsidRPr="007B268A">
        <w:t>6.3 What Would it Cost to Achieve the Universal Targets?</w:t>
      </w:r>
      <w:bookmarkEnd w:id="184"/>
      <w:bookmarkEnd w:id="185"/>
      <w:bookmarkEnd w:id="186"/>
    </w:p>
    <w:p w:rsidR="00972987" w:rsidRPr="007B268A" w:rsidRDefault="00972987" w:rsidP="00972987">
      <w:r w:rsidRPr="007B268A">
        <w:t>The results in the previous section raise obvious questions about the desirability for many countries, especially in the short-run, of pursuing universal targets. We cannot expect a country to attempt to achieve universal access to infrastructure if the benefits of doing so do not exceed the costs for a long period of time, if ever. Moreover, we have found that many countries simply cannot reasonably mobilize the resources to reach universal targets by 2030, even if they redirect large sums of money from other public spending (a global total that we calculated above to be $1.5 trillion dollars).</w:t>
      </w:r>
    </w:p>
    <w:p w:rsidR="00972987" w:rsidRPr="007B268A" w:rsidRDefault="00972987" w:rsidP="00972987"/>
    <w:p w:rsidR="00972987" w:rsidRPr="007B268A" w:rsidRDefault="00972987" w:rsidP="00972987">
      <w:r w:rsidRPr="007B268A">
        <w:t>Given the significant attention in the development literature and development community to recommendations for significant investments in infrastructure and even, in fact, for reaching universal targets, our analysis to this point thus suggests that many countries, especially low-income ones, would need significant external assistance to reach such targets.</w:t>
      </w:r>
      <w:r>
        <w:t xml:space="preserve"> </w:t>
      </w:r>
      <w:r w:rsidRPr="007B268A">
        <w:t>They would need both (1) assistance to cover some or all of the sums our Universal Targets pursuit scenario diverted from other public spending (that $1.5 trillion) because they could not afford the negative interim consequences of such diversion and (2) assistance to fill the remainder of the gap in public spending between that scenario and true achievement of universal targets.</w:t>
      </w:r>
      <w:r>
        <w:t xml:space="preserve"> </w:t>
      </w:r>
    </w:p>
    <w:p w:rsidR="00972987" w:rsidRPr="007B268A" w:rsidRDefault="00972987" w:rsidP="00972987"/>
    <w:p w:rsidR="00972987" w:rsidRPr="007B268A" w:rsidRDefault="00972987" w:rsidP="00972987">
      <w:r w:rsidRPr="007B268A">
        <w:t>What would the level of this additional assistance be, i.e., how much more would it cost to achieve the universal targets by 2030 beyond what countries spend in the Universal Targets pursuit scenario? How does such an amount compare to existing sources of external funding such as Official Development Assistance (ODA) and Foreign Direct Investment (FDI). And what might be the benefits?</w:t>
      </w:r>
    </w:p>
    <w:p w:rsidR="00972987" w:rsidRPr="007B268A" w:rsidRDefault="00972987" w:rsidP="00972987"/>
    <w:p w:rsidR="00972987" w:rsidRPr="007B268A" w:rsidRDefault="00972987" w:rsidP="00972987">
      <w:r w:rsidRPr="007B268A">
        <w:t>In order to address these questions we created a scenario variant called Universal Targets with Additional Funding (UTAF).</w:t>
      </w:r>
      <w:r>
        <w:t xml:space="preserve"> </w:t>
      </w:r>
      <w:r w:rsidRPr="007B268A">
        <w:t>We find that UTAF requires an additional $5.6 trillion, beyond the Universal Targets pursuit scenario to actually achieve universal targets. Table 6.7 shows how this increment breaks down across income category groupings of countries as well as by region. It further shows how these dollar amounts compare to the cumulative GDP and public spending on infrastructure over the period 2010-2030 in the Universal Targets scenario. Remember that this sum is on top of the $1.5 trillion that countries already redirect to infrastructure in the Universal Targets pursuit scenario and that many countries could also not afford. Because some countries, especially high-income ones would, in fact, be able to afford that redirection and would achieve quick payback from it, we will focus here only on the further increment to achieve universality of access.</w:t>
      </w:r>
    </w:p>
    <w:p w:rsidR="00972987" w:rsidRPr="007B268A" w:rsidRDefault="00972987" w:rsidP="00972987"/>
    <w:p w:rsidR="00972987" w:rsidRPr="007B268A" w:rsidRDefault="00972987" w:rsidP="00972987">
      <w:r w:rsidRPr="007B268A">
        <w:t>That $5.6 trillion is equivalent to approximately 0.5 percent of the cumulative global GDP and 32 percent of the cumulative global public spending on infrastructure over the period 2010-2030 in the Universal Targets scenario.</w:t>
      </w:r>
      <w:r w:rsidRPr="007B268A" w:rsidDel="001D0C47">
        <w:t xml:space="preserve"> </w:t>
      </w:r>
      <w:r w:rsidRPr="007B268A">
        <w:t>While an additional 0.5 percent of GDP at the global level may not appear to be too much at the global level, there are large variations across regions and countries with respect to this additional public funding for infrastructure (see again Table 6.5). The Low-income economies as a group would be looking for funds that are equivalent to more than 20 percent of their total GDP over this period, which would allow them to increase their public spending on infrastructure by three and a half times what they were able to do on their own.</w:t>
      </w:r>
    </w:p>
    <w:p w:rsidR="00972987" w:rsidRPr="007B268A" w:rsidRDefault="00972987" w:rsidP="00972987"/>
    <w:p w:rsidR="00972987" w:rsidRPr="007B268A" w:rsidRDefault="00972987" w:rsidP="00972987">
      <w:r w:rsidRPr="007B268A">
        <w:t>Some of these numbers become even more striking if we look at individual countries. For 71 countries, the additional spending represents less than one tenth of one percent of their GDP over this period. At the other extreme, for 7 countries—Niger, Eritrea, Mali, Madagascar, the Democratic Republic of the Congo, Mauritania, and Burundi—the additional funding is more than their entire GDP over this period. These countries, along with the Central African Republic, Chad, and Togo, would require additional funds that are more than ten times what they were able to allocate in the Universal Targets scenario.</w:t>
      </w:r>
    </w:p>
    <w:p w:rsidR="00972987" w:rsidRPr="007B268A" w:rsidRDefault="00972987" w:rsidP="00972987"/>
    <w:tbl>
      <w:tblPr>
        <w:tblW w:w="9570" w:type="dxa"/>
        <w:tblInd w:w="78" w:type="dxa"/>
        <w:tblLayout w:type="fixed"/>
        <w:tblLook w:val="0000"/>
      </w:tblPr>
      <w:tblGrid>
        <w:gridCol w:w="3450"/>
        <w:gridCol w:w="2040"/>
        <w:gridCol w:w="2040"/>
        <w:gridCol w:w="2040"/>
      </w:tblGrid>
      <w:tr w:rsidR="00972987" w:rsidRPr="007B268A">
        <w:trPr>
          <w:trHeight w:val="362"/>
        </w:trPr>
        <w:tc>
          <w:tcPr>
            <w:tcW w:w="9570" w:type="dxa"/>
            <w:gridSpan w:val="4"/>
            <w:tcBorders>
              <w:top w:val="single" w:sz="4" w:space="0" w:color="auto"/>
              <w:left w:val="single" w:sz="4" w:space="0" w:color="auto"/>
              <w:bottom w:val="single" w:sz="4" w:space="0" w:color="auto"/>
              <w:right w:val="single" w:sz="4" w:space="0" w:color="auto"/>
            </w:tcBorders>
          </w:tcPr>
          <w:p w:rsidR="00972987" w:rsidRPr="007B268A" w:rsidRDefault="00972987" w:rsidP="0043092C">
            <w:pPr>
              <w:keepNext/>
              <w:keepLines/>
              <w:autoSpaceDE w:val="0"/>
              <w:autoSpaceDN w:val="0"/>
              <w:adjustRightInd w:val="0"/>
              <w:rPr>
                <w:rFonts w:eastAsiaTheme="minorEastAsia"/>
                <w:color w:val="000000"/>
              </w:rPr>
            </w:pPr>
            <w:r w:rsidRPr="007B268A">
              <w:rPr>
                <w:rFonts w:eastAsiaTheme="minorEastAsia"/>
                <w:b/>
                <w:bCs/>
                <w:color w:val="000000"/>
              </w:rPr>
              <w:t>Table 6.7 Additional public funds required to achieve universal targets for infrastructure 2010-2030</w:t>
            </w:r>
          </w:p>
        </w:tc>
      </w:tr>
      <w:tr w:rsidR="00972987" w:rsidRPr="007B268A">
        <w:trPr>
          <w:trHeight w:val="290"/>
        </w:trPr>
        <w:tc>
          <w:tcPr>
            <w:tcW w:w="3450" w:type="dxa"/>
            <w:tcBorders>
              <w:top w:val="single" w:sz="4" w:space="0" w:color="auto"/>
              <w:left w:val="single" w:sz="4" w:space="0" w:color="auto"/>
              <w:bottom w:val="single" w:sz="4" w:space="0" w:color="auto"/>
              <w:right w:val="single" w:sz="4" w:space="0" w:color="auto"/>
            </w:tcBorders>
            <w:vAlign w:val="center"/>
          </w:tcPr>
          <w:p w:rsidR="00972987" w:rsidRPr="00DE7F01" w:rsidRDefault="00972987" w:rsidP="0043092C">
            <w:pPr>
              <w:keepNext/>
              <w:keepLines/>
              <w:autoSpaceDE w:val="0"/>
              <w:autoSpaceDN w:val="0"/>
              <w:adjustRightInd w:val="0"/>
              <w:jc w:val="center"/>
              <w:rPr>
                <w:rFonts w:eastAsiaTheme="minorEastAsia"/>
                <w:color w:val="000000"/>
              </w:rPr>
            </w:pPr>
          </w:p>
        </w:tc>
        <w:tc>
          <w:tcPr>
            <w:tcW w:w="2040" w:type="dxa"/>
            <w:tcBorders>
              <w:top w:val="single" w:sz="4" w:space="0" w:color="auto"/>
              <w:left w:val="single" w:sz="4" w:space="0" w:color="auto"/>
              <w:bottom w:val="single" w:sz="4" w:space="0" w:color="auto"/>
              <w:right w:val="single" w:sz="4" w:space="0" w:color="auto"/>
            </w:tcBorders>
            <w:vAlign w:val="bottom"/>
          </w:tcPr>
          <w:p w:rsidR="00972987" w:rsidRPr="00DE7F01" w:rsidRDefault="00972987" w:rsidP="0043092C">
            <w:pPr>
              <w:keepNext/>
              <w:keepLines/>
              <w:autoSpaceDE w:val="0"/>
              <w:autoSpaceDN w:val="0"/>
              <w:adjustRightInd w:val="0"/>
              <w:jc w:val="center"/>
              <w:rPr>
                <w:rFonts w:eastAsiaTheme="minorEastAsia"/>
                <w:bCs/>
                <w:color w:val="000000"/>
              </w:rPr>
            </w:pPr>
            <w:r w:rsidRPr="00DE7F01">
              <w:rPr>
                <w:bCs/>
                <w:color w:val="000000"/>
                <w:sz w:val="22"/>
              </w:rPr>
              <w:t>Billion $</w:t>
            </w:r>
          </w:p>
        </w:tc>
        <w:tc>
          <w:tcPr>
            <w:tcW w:w="2040" w:type="dxa"/>
            <w:tcBorders>
              <w:top w:val="single" w:sz="4" w:space="0" w:color="auto"/>
              <w:left w:val="single" w:sz="4" w:space="0" w:color="auto"/>
              <w:bottom w:val="single" w:sz="4" w:space="0" w:color="auto"/>
              <w:right w:val="single" w:sz="4" w:space="0" w:color="auto"/>
            </w:tcBorders>
            <w:vAlign w:val="bottom"/>
          </w:tcPr>
          <w:p w:rsidR="00972987" w:rsidRPr="00DE7F01" w:rsidRDefault="00972987" w:rsidP="0043092C">
            <w:pPr>
              <w:keepNext/>
              <w:keepLines/>
              <w:autoSpaceDE w:val="0"/>
              <w:autoSpaceDN w:val="0"/>
              <w:adjustRightInd w:val="0"/>
              <w:jc w:val="center"/>
              <w:rPr>
                <w:rFonts w:eastAsiaTheme="minorEastAsia"/>
                <w:bCs/>
                <w:color w:val="000000"/>
              </w:rPr>
            </w:pPr>
            <w:r w:rsidRPr="00DE7F01">
              <w:rPr>
                <w:bCs/>
                <w:color w:val="000000"/>
                <w:sz w:val="22"/>
              </w:rPr>
              <w:t>% of GDP</w:t>
            </w:r>
          </w:p>
        </w:tc>
        <w:tc>
          <w:tcPr>
            <w:tcW w:w="2040" w:type="dxa"/>
            <w:tcBorders>
              <w:top w:val="single" w:sz="4" w:space="0" w:color="auto"/>
              <w:left w:val="single" w:sz="4" w:space="0" w:color="auto"/>
              <w:bottom w:val="single" w:sz="4" w:space="0" w:color="auto"/>
              <w:right w:val="single" w:sz="4" w:space="0" w:color="auto"/>
            </w:tcBorders>
            <w:vAlign w:val="bottom"/>
          </w:tcPr>
          <w:p w:rsidR="00972987" w:rsidRPr="00DE7F01" w:rsidRDefault="00972987" w:rsidP="0043092C">
            <w:pPr>
              <w:keepNext/>
              <w:keepLines/>
              <w:autoSpaceDE w:val="0"/>
              <w:autoSpaceDN w:val="0"/>
              <w:adjustRightInd w:val="0"/>
              <w:jc w:val="center"/>
              <w:rPr>
                <w:rFonts w:eastAsiaTheme="minorEastAsia"/>
                <w:bCs/>
                <w:color w:val="000000"/>
              </w:rPr>
            </w:pPr>
            <w:r w:rsidRPr="00DE7F01">
              <w:rPr>
                <w:bCs/>
                <w:color w:val="000000"/>
                <w:sz w:val="22"/>
              </w:rPr>
              <w:t>% of funds spent</w:t>
            </w:r>
          </w:p>
        </w:tc>
      </w:tr>
      <w:tr w:rsidR="00972987" w:rsidRPr="007B268A">
        <w:trPr>
          <w:trHeight w:val="290"/>
        </w:trPr>
        <w:tc>
          <w:tcPr>
            <w:tcW w:w="9570" w:type="dxa"/>
            <w:gridSpan w:val="4"/>
            <w:tcBorders>
              <w:top w:val="single" w:sz="4" w:space="0" w:color="auto"/>
              <w:left w:val="single" w:sz="4" w:space="0" w:color="auto"/>
              <w:bottom w:val="single" w:sz="4" w:space="0" w:color="auto"/>
              <w:right w:val="single" w:sz="4" w:space="0" w:color="auto"/>
            </w:tcBorders>
            <w:shd w:val="clear" w:color="969696" w:fill="D9D9D9" w:themeFill="background1" w:themeFillShade="D9"/>
            <w:vAlign w:val="center"/>
          </w:tcPr>
          <w:p w:rsidR="00972987" w:rsidRPr="00DE7F01" w:rsidRDefault="00972987" w:rsidP="0043092C">
            <w:pPr>
              <w:keepNext/>
              <w:keepLines/>
              <w:autoSpaceDE w:val="0"/>
              <w:autoSpaceDN w:val="0"/>
              <w:adjustRightInd w:val="0"/>
              <w:jc w:val="center"/>
              <w:rPr>
                <w:rFonts w:eastAsiaTheme="minorEastAsia"/>
                <w:b/>
                <w:color w:val="000000"/>
              </w:rPr>
            </w:pPr>
            <w:r w:rsidRPr="00DE7F01">
              <w:rPr>
                <w:rFonts w:eastAsiaTheme="minorEastAsia"/>
                <w:b/>
                <w:bCs/>
                <w:color w:val="000000"/>
                <w:sz w:val="22"/>
              </w:rPr>
              <w:t>By income class</w:t>
            </w:r>
          </w:p>
        </w:tc>
      </w:tr>
      <w:tr w:rsidR="00972987" w:rsidRPr="007B268A">
        <w:trPr>
          <w:trHeight w:val="290"/>
        </w:trPr>
        <w:tc>
          <w:tcPr>
            <w:tcW w:w="3450" w:type="dxa"/>
            <w:tcBorders>
              <w:top w:val="single" w:sz="4" w:space="0" w:color="auto"/>
              <w:left w:val="single" w:sz="4" w:space="0" w:color="auto"/>
              <w:bottom w:val="single" w:sz="4" w:space="0" w:color="auto"/>
              <w:right w:val="single" w:sz="4" w:space="0" w:color="auto"/>
            </w:tcBorders>
          </w:tcPr>
          <w:p w:rsidR="00972987" w:rsidRPr="00DE7F01" w:rsidRDefault="00972987" w:rsidP="0043092C">
            <w:pPr>
              <w:keepNext/>
              <w:keepLines/>
              <w:autoSpaceDE w:val="0"/>
              <w:autoSpaceDN w:val="0"/>
              <w:adjustRightInd w:val="0"/>
              <w:rPr>
                <w:rFonts w:eastAsiaTheme="minorEastAsia"/>
                <w:bCs/>
                <w:color w:val="000000"/>
              </w:rPr>
            </w:pPr>
            <w:r w:rsidRPr="00DE7F01">
              <w:rPr>
                <w:rFonts w:eastAsiaTheme="minorEastAsia"/>
                <w:bCs/>
                <w:color w:val="000000"/>
                <w:sz w:val="22"/>
              </w:rPr>
              <w:t>Low-income economies</w:t>
            </w:r>
          </w:p>
        </w:tc>
        <w:tc>
          <w:tcPr>
            <w:tcW w:w="2040" w:type="dxa"/>
            <w:tcBorders>
              <w:top w:val="single" w:sz="4" w:space="0" w:color="auto"/>
              <w:left w:val="single" w:sz="4" w:space="0" w:color="auto"/>
              <w:bottom w:val="single" w:sz="4" w:space="0" w:color="auto"/>
              <w:right w:val="single" w:sz="4" w:space="0" w:color="auto"/>
            </w:tcBorders>
            <w:vAlign w:val="bottom"/>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2,558</w:t>
            </w:r>
          </w:p>
        </w:tc>
        <w:tc>
          <w:tcPr>
            <w:tcW w:w="2040" w:type="dxa"/>
            <w:tcBorders>
              <w:top w:val="single" w:sz="4" w:space="0" w:color="auto"/>
              <w:left w:val="single" w:sz="4" w:space="0" w:color="auto"/>
              <w:bottom w:val="single" w:sz="4" w:space="0" w:color="auto"/>
              <w:right w:val="single" w:sz="4" w:space="0" w:color="auto"/>
            </w:tcBorders>
            <w:vAlign w:val="center"/>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20.8%</w:t>
            </w:r>
          </w:p>
        </w:tc>
        <w:tc>
          <w:tcPr>
            <w:tcW w:w="2040" w:type="dxa"/>
            <w:tcBorders>
              <w:top w:val="single" w:sz="4" w:space="0" w:color="auto"/>
              <w:left w:val="single" w:sz="4" w:space="0" w:color="auto"/>
              <w:bottom w:val="single" w:sz="4" w:space="0" w:color="auto"/>
              <w:right w:val="single" w:sz="4" w:space="0" w:color="auto"/>
            </w:tcBorders>
            <w:vAlign w:val="center"/>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356%</w:t>
            </w:r>
          </w:p>
        </w:tc>
      </w:tr>
      <w:tr w:rsidR="00972987" w:rsidRPr="007B268A">
        <w:trPr>
          <w:trHeight w:val="290"/>
        </w:trPr>
        <w:tc>
          <w:tcPr>
            <w:tcW w:w="3450" w:type="dxa"/>
            <w:tcBorders>
              <w:top w:val="single" w:sz="4" w:space="0" w:color="auto"/>
              <w:left w:val="single" w:sz="4" w:space="0" w:color="auto"/>
              <w:bottom w:val="single" w:sz="4" w:space="0" w:color="auto"/>
              <w:right w:val="single" w:sz="4" w:space="0" w:color="auto"/>
            </w:tcBorders>
          </w:tcPr>
          <w:p w:rsidR="00972987" w:rsidRPr="00DE7F01" w:rsidRDefault="00972987" w:rsidP="0043092C">
            <w:pPr>
              <w:keepNext/>
              <w:keepLines/>
              <w:autoSpaceDE w:val="0"/>
              <w:autoSpaceDN w:val="0"/>
              <w:adjustRightInd w:val="0"/>
              <w:rPr>
                <w:rFonts w:eastAsiaTheme="minorEastAsia"/>
                <w:bCs/>
                <w:color w:val="000000"/>
              </w:rPr>
            </w:pPr>
            <w:r w:rsidRPr="00DE7F01">
              <w:rPr>
                <w:rFonts w:eastAsiaTheme="minorEastAsia"/>
                <w:bCs/>
                <w:color w:val="000000"/>
                <w:sz w:val="22"/>
              </w:rPr>
              <w:t>Lower-middle-income economies</w:t>
            </w:r>
          </w:p>
        </w:tc>
        <w:tc>
          <w:tcPr>
            <w:tcW w:w="2040" w:type="dxa"/>
            <w:tcBorders>
              <w:top w:val="single" w:sz="4" w:space="0" w:color="auto"/>
              <w:left w:val="single" w:sz="4" w:space="0" w:color="auto"/>
              <w:bottom w:val="single" w:sz="4" w:space="0" w:color="auto"/>
              <w:right w:val="single" w:sz="4" w:space="0" w:color="auto"/>
            </w:tcBorders>
            <w:vAlign w:val="bottom"/>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1,950</w:t>
            </w:r>
          </w:p>
        </w:tc>
        <w:tc>
          <w:tcPr>
            <w:tcW w:w="2040" w:type="dxa"/>
            <w:tcBorders>
              <w:top w:val="single" w:sz="4" w:space="0" w:color="auto"/>
              <w:left w:val="single" w:sz="4" w:space="0" w:color="auto"/>
              <w:bottom w:val="single" w:sz="4" w:space="0" w:color="auto"/>
              <w:right w:val="single" w:sz="4" w:space="0" w:color="auto"/>
            </w:tcBorders>
            <w:vAlign w:val="center"/>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1.9%</w:t>
            </w:r>
          </w:p>
        </w:tc>
        <w:tc>
          <w:tcPr>
            <w:tcW w:w="2040" w:type="dxa"/>
            <w:tcBorders>
              <w:top w:val="single" w:sz="4" w:space="0" w:color="auto"/>
              <w:left w:val="single" w:sz="4" w:space="0" w:color="auto"/>
              <w:bottom w:val="single" w:sz="4" w:space="0" w:color="auto"/>
              <w:right w:val="single" w:sz="4" w:space="0" w:color="auto"/>
            </w:tcBorders>
            <w:vAlign w:val="center"/>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44%</w:t>
            </w:r>
          </w:p>
        </w:tc>
      </w:tr>
      <w:tr w:rsidR="00972987" w:rsidRPr="007B268A">
        <w:trPr>
          <w:trHeight w:val="290"/>
        </w:trPr>
        <w:tc>
          <w:tcPr>
            <w:tcW w:w="3450" w:type="dxa"/>
            <w:tcBorders>
              <w:top w:val="single" w:sz="4" w:space="0" w:color="auto"/>
              <w:left w:val="single" w:sz="4" w:space="0" w:color="auto"/>
              <w:bottom w:val="single" w:sz="4" w:space="0" w:color="auto"/>
              <w:right w:val="single" w:sz="4" w:space="0" w:color="auto"/>
            </w:tcBorders>
          </w:tcPr>
          <w:p w:rsidR="00972987" w:rsidRPr="00DE7F01" w:rsidRDefault="00972987" w:rsidP="0043092C">
            <w:pPr>
              <w:keepNext/>
              <w:keepLines/>
              <w:autoSpaceDE w:val="0"/>
              <w:autoSpaceDN w:val="0"/>
              <w:adjustRightInd w:val="0"/>
              <w:rPr>
                <w:rFonts w:eastAsiaTheme="minorEastAsia"/>
                <w:bCs/>
                <w:color w:val="000000"/>
              </w:rPr>
            </w:pPr>
            <w:r w:rsidRPr="00DE7F01">
              <w:rPr>
                <w:rFonts w:eastAsiaTheme="minorEastAsia"/>
                <w:bCs/>
                <w:color w:val="000000"/>
                <w:sz w:val="22"/>
              </w:rPr>
              <w:t>Upper-middle-income economies</w:t>
            </w:r>
          </w:p>
        </w:tc>
        <w:tc>
          <w:tcPr>
            <w:tcW w:w="2040" w:type="dxa"/>
            <w:tcBorders>
              <w:top w:val="single" w:sz="4" w:space="0" w:color="auto"/>
              <w:left w:val="single" w:sz="4" w:space="0" w:color="auto"/>
              <w:bottom w:val="single" w:sz="4" w:space="0" w:color="auto"/>
              <w:right w:val="single" w:sz="4" w:space="0" w:color="auto"/>
            </w:tcBorders>
            <w:vAlign w:val="bottom"/>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426</w:t>
            </w:r>
          </w:p>
        </w:tc>
        <w:tc>
          <w:tcPr>
            <w:tcW w:w="2040" w:type="dxa"/>
            <w:tcBorders>
              <w:top w:val="single" w:sz="4" w:space="0" w:color="auto"/>
              <w:left w:val="single" w:sz="4" w:space="0" w:color="auto"/>
              <w:bottom w:val="single" w:sz="4" w:space="0" w:color="auto"/>
              <w:right w:val="single" w:sz="4" w:space="0" w:color="auto"/>
            </w:tcBorders>
            <w:vAlign w:val="center"/>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0.1%</w:t>
            </w:r>
          </w:p>
        </w:tc>
        <w:tc>
          <w:tcPr>
            <w:tcW w:w="2040" w:type="dxa"/>
            <w:tcBorders>
              <w:top w:val="single" w:sz="4" w:space="0" w:color="auto"/>
              <w:left w:val="single" w:sz="4" w:space="0" w:color="auto"/>
              <w:bottom w:val="single" w:sz="4" w:space="0" w:color="auto"/>
              <w:right w:val="single" w:sz="4" w:space="0" w:color="auto"/>
            </w:tcBorders>
            <w:vAlign w:val="center"/>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5%</w:t>
            </w:r>
          </w:p>
        </w:tc>
      </w:tr>
      <w:tr w:rsidR="00972987" w:rsidRPr="007B268A">
        <w:trPr>
          <w:trHeight w:val="290"/>
        </w:trPr>
        <w:tc>
          <w:tcPr>
            <w:tcW w:w="3450" w:type="dxa"/>
            <w:tcBorders>
              <w:top w:val="single" w:sz="4" w:space="0" w:color="auto"/>
              <w:left w:val="single" w:sz="4" w:space="0" w:color="auto"/>
              <w:bottom w:val="single" w:sz="4" w:space="0" w:color="auto"/>
              <w:right w:val="single" w:sz="4" w:space="0" w:color="auto"/>
            </w:tcBorders>
          </w:tcPr>
          <w:p w:rsidR="00972987" w:rsidRPr="00DE7F01" w:rsidRDefault="00972987" w:rsidP="0043092C">
            <w:pPr>
              <w:keepNext/>
              <w:keepLines/>
              <w:autoSpaceDE w:val="0"/>
              <w:autoSpaceDN w:val="0"/>
              <w:adjustRightInd w:val="0"/>
              <w:rPr>
                <w:rFonts w:eastAsiaTheme="minorEastAsia"/>
                <w:bCs/>
                <w:color w:val="000000"/>
              </w:rPr>
            </w:pPr>
            <w:r w:rsidRPr="00DE7F01">
              <w:rPr>
                <w:rFonts w:eastAsiaTheme="minorEastAsia"/>
                <w:bCs/>
                <w:color w:val="000000"/>
                <w:sz w:val="22"/>
              </w:rPr>
              <w:t>High-income economies</w:t>
            </w:r>
          </w:p>
        </w:tc>
        <w:tc>
          <w:tcPr>
            <w:tcW w:w="2040" w:type="dxa"/>
            <w:tcBorders>
              <w:top w:val="single" w:sz="4" w:space="0" w:color="auto"/>
              <w:left w:val="single" w:sz="4" w:space="0" w:color="auto"/>
              <w:bottom w:val="single" w:sz="4" w:space="0" w:color="auto"/>
              <w:right w:val="single" w:sz="4" w:space="0" w:color="auto"/>
            </w:tcBorders>
            <w:vAlign w:val="bottom"/>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692</w:t>
            </w:r>
          </w:p>
        </w:tc>
        <w:tc>
          <w:tcPr>
            <w:tcW w:w="2040" w:type="dxa"/>
            <w:tcBorders>
              <w:top w:val="single" w:sz="4" w:space="0" w:color="auto"/>
              <w:left w:val="single" w:sz="4" w:space="0" w:color="auto"/>
              <w:bottom w:val="single" w:sz="4" w:space="0" w:color="auto"/>
              <w:right w:val="single" w:sz="4" w:space="0" w:color="auto"/>
            </w:tcBorders>
            <w:vAlign w:val="center"/>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0.1%</w:t>
            </w:r>
          </w:p>
        </w:tc>
        <w:tc>
          <w:tcPr>
            <w:tcW w:w="2040" w:type="dxa"/>
            <w:tcBorders>
              <w:top w:val="single" w:sz="4" w:space="0" w:color="auto"/>
              <w:left w:val="single" w:sz="4" w:space="0" w:color="auto"/>
              <w:bottom w:val="single" w:sz="4" w:space="0" w:color="auto"/>
              <w:right w:val="single" w:sz="4" w:space="0" w:color="auto"/>
            </w:tcBorders>
            <w:vAlign w:val="center"/>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15%</w:t>
            </w:r>
          </w:p>
        </w:tc>
      </w:tr>
      <w:tr w:rsidR="00972987" w:rsidRPr="007B268A">
        <w:trPr>
          <w:trHeight w:val="290"/>
        </w:trPr>
        <w:tc>
          <w:tcPr>
            <w:tcW w:w="9570" w:type="dxa"/>
            <w:gridSpan w:val="4"/>
            <w:tcBorders>
              <w:top w:val="single" w:sz="4" w:space="0" w:color="auto"/>
              <w:left w:val="single" w:sz="4" w:space="0" w:color="auto"/>
              <w:bottom w:val="single" w:sz="4" w:space="0" w:color="auto"/>
              <w:right w:val="single" w:sz="4" w:space="0" w:color="auto"/>
            </w:tcBorders>
            <w:shd w:val="clear" w:color="969696" w:fill="D9D9D9" w:themeFill="background1" w:themeFillShade="D9"/>
            <w:vAlign w:val="center"/>
          </w:tcPr>
          <w:p w:rsidR="00972987" w:rsidRPr="00DE7F01" w:rsidRDefault="00972987" w:rsidP="0043092C">
            <w:pPr>
              <w:keepNext/>
              <w:keepLines/>
              <w:autoSpaceDE w:val="0"/>
              <w:autoSpaceDN w:val="0"/>
              <w:adjustRightInd w:val="0"/>
              <w:jc w:val="center"/>
              <w:rPr>
                <w:rFonts w:eastAsiaTheme="minorEastAsia"/>
                <w:b/>
                <w:color w:val="000000"/>
              </w:rPr>
            </w:pPr>
            <w:r w:rsidRPr="00DE7F01">
              <w:rPr>
                <w:rFonts w:eastAsiaTheme="minorEastAsia"/>
                <w:b/>
                <w:bCs/>
                <w:color w:val="000000"/>
                <w:sz w:val="22"/>
              </w:rPr>
              <w:t>By region</w:t>
            </w:r>
          </w:p>
        </w:tc>
      </w:tr>
      <w:tr w:rsidR="00972987" w:rsidRPr="007B268A">
        <w:trPr>
          <w:trHeight w:val="290"/>
        </w:trPr>
        <w:tc>
          <w:tcPr>
            <w:tcW w:w="3450" w:type="dxa"/>
            <w:tcBorders>
              <w:top w:val="single" w:sz="4" w:space="0" w:color="auto"/>
              <w:left w:val="single" w:sz="4" w:space="0" w:color="auto"/>
              <w:bottom w:val="single" w:sz="4" w:space="0" w:color="auto"/>
              <w:right w:val="single" w:sz="4" w:space="0" w:color="auto"/>
            </w:tcBorders>
          </w:tcPr>
          <w:p w:rsidR="00972987" w:rsidRPr="00DE7F01" w:rsidRDefault="00972987" w:rsidP="0043092C">
            <w:pPr>
              <w:keepNext/>
              <w:keepLines/>
              <w:autoSpaceDE w:val="0"/>
              <w:autoSpaceDN w:val="0"/>
              <w:adjustRightInd w:val="0"/>
              <w:rPr>
                <w:rFonts w:eastAsiaTheme="minorEastAsia"/>
                <w:bCs/>
                <w:color w:val="000000"/>
              </w:rPr>
            </w:pPr>
            <w:r w:rsidRPr="00DE7F01">
              <w:rPr>
                <w:rFonts w:eastAsiaTheme="minorEastAsia"/>
                <w:bCs/>
                <w:color w:val="000000"/>
                <w:sz w:val="22"/>
              </w:rPr>
              <w:t>East Asia and Pacific</w:t>
            </w:r>
          </w:p>
        </w:tc>
        <w:tc>
          <w:tcPr>
            <w:tcW w:w="2040" w:type="dxa"/>
            <w:tcBorders>
              <w:top w:val="single" w:sz="4" w:space="0" w:color="auto"/>
              <w:left w:val="single" w:sz="4" w:space="0" w:color="auto"/>
              <w:bottom w:val="single" w:sz="4" w:space="0" w:color="auto"/>
              <w:right w:val="single" w:sz="4" w:space="0" w:color="auto"/>
            </w:tcBorders>
            <w:vAlign w:val="bottom"/>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339</w:t>
            </w:r>
          </w:p>
        </w:tc>
        <w:tc>
          <w:tcPr>
            <w:tcW w:w="2040" w:type="dxa"/>
            <w:tcBorders>
              <w:top w:val="single" w:sz="4" w:space="0" w:color="auto"/>
              <w:left w:val="single" w:sz="4" w:space="0" w:color="auto"/>
              <w:bottom w:val="single" w:sz="4" w:space="0" w:color="auto"/>
              <w:right w:val="single" w:sz="4" w:space="0" w:color="auto"/>
            </w:tcBorders>
            <w:vAlign w:val="center"/>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0.2%</w:t>
            </w:r>
          </w:p>
        </w:tc>
        <w:tc>
          <w:tcPr>
            <w:tcW w:w="2040" w:type="dxa"/>
            <w:tcBorders>
              <w:top w:val="single" w:sz="4" w:space="0" w:color="auto"/>
              <w:left w:val="single" w:sz="4" w:space="0" w:color="auto"/>
              <w:bottom w:val="single" w:sz="4" w:space="0" w:color="auto"/>
              <w:right w:val="single" w:sz="4" w:space="0" w:color="auto"/>
            </w:tcBorders>
            <w:vAlign w:val="center"/>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7%</w:t>
            </w:r>
          </w:p>
        </w:tc>
      </w:tr>
      <w:tr w:rsidR="00972987" w:rsidRPr="007B268A">
        <w:trPr>
          <w:trHeight w:val="290"/>
        </w:trPr>
        <w:tc>
          <w:tcPr>
            <w:tcW w:w="3450" w:type="dxa"/>
            <w:tcBorders>
              <w:top w:val="single" w:sz="4" w:space="0" w:color="auto"/>
              <w:left w:val="single" w:sz="4" w:space="0" w:color="auto"/>
              <w:bottom w:val="single" w:sz="4" w:space="0" w:color="auto"/>
              <w:right w:val="single" w:sz="4" w:space="0" w:color="auto"/>
            </w:tcBorders>
          </w:tcPr>
          <w:p w:rsidR="00972987" w:rsidRPr="00DE7F01" w:rsidRDefault="00972987" w:rsidP="0043092C">
            <w:pPr>
              <w:keepNext/>
              <w:keepLines/>
              <w:autoSpaceDE w:val="0"/>
              <w:autoSpaceDN w:val="0"/>
              <w:adjustRightInd w:val="0"/>
              <w:rPr>
                <w:rFonts w:eastAsiaTheme="minorEastAsia"/>
                <w:bCs/>
                <w:color w:val="000000"/>
              </w:rPr>
            </w:pPr>
            <w:r w:rsidRPr="00DE7F01">
              <w:rPr>
                <w:rFonts w:eastAsiaTheme="minorEastAsia"/>
                <w:bCs/>
                <w:color w:val="000000"/>
                <w:sz w:val="22"/>
              </w:rPr>
              <w:t>Europe and Central Asia</w:t>
            </w:r>
          </w:p>
        </w:tc>
        <w:tc>
          <w:tcPr>
            <w:tcW w:w="2040" w:type="dxa"/>
            <w:tcBorders>
              <w:top w:val="single" w:sz="4" w:space="0" w:color="auto"/>
              <w:left w:val="single" w:sz="4" w:space="0" w:color="auto"/>
              <w:bottom w:val="single" w:sz="4" w:space="0" w:color="auto"/>
              <w:right w:val="single" w:sz="4" w:space="0" w:color="auto"/>
            </w:tcBorders>
            <w:vAlign w:val="bottom"/>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181</w:t>
            </w:r>
          </w:p>
        </w:tc>
        <w:tc>
          <w:tcPr>
            <w:tcW w:w="2040" w:type="dxa"/>
            <w:tcBorders>
              <w:top w:val="single" w:sz="4" w:space="0" w:color="auto"/>
              <w:left w:val="single" w:sz="4" w:space="0" w:color="auto"/>
              <w:bottom w:val="single" w:sz="4" w:space="0" w:color="auto"/>
              <w:right w:val="single" w:sz="4" w:space="0" w:color="auto"/>
            </w:tcBorders>
            <w:vAlign w:val="center"/>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0.5%</w:t>
            </w:r>
          </w:p>
        </w:tc>
        <w:tc>
          <w:tcPr>
            <w:tcW w:w="2040" w:type="dxa"/>
            <w:tcBorders>
              <w:top w:val="single" w:sz="4" w:space="0" w:color="auto"/>
              <w:left w:val="single" w:sz="4" w:space="0" w:color="auto"/>
              <w:bottom w:val="single" w:sz="4" w:space="0" w:color="auto"/>
              <w:right w:val="single" w:sz="4" w:space="0" w:color="auto"/>
            </w:tcBorders>
            <w:vAlign w:val="center"/>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13%</w:t>
            </w:r>
          </w:p>
        </w:tc>
      </w:tr>
      <w:tr w:rsidR="00972987" w:rsidRPr="007B268A">
        <w:trPr>
          <w:trHeight w:val="290"/>
        </w:trPr>
        <w:tc>
          <w:tcPr>
            <w:tcW w:w="3450" w:type="dxa"/>
            <w:tcBorders>
              <w:top w:val="single" w:sz="4" w:space="0" w:color="auto"/>
              <w:left w:val="single" w:sz="4" w:space="0" w:color="auto"/>
              <w:bottom w:val="single" w:sz="4" w:space="0" w:color="auto"/>
              <w:right w:val="single" w:sz="4" w:space="0" w:color="auto"/>
            </w:tcBorders>
          </w:tcPr>
          <w:p w:rsidR="00972987" w:rsidRPr="00DE7F01" w:rsidRDefault="00972987" w:rsidP="0043092C">
            <w:pPr>
              <w:keepNext/>
              <w:keepLines/>
              <w:autoSpaceDE w:val="0"/>
              <w:autoSpaceDN w:val="0"/>
              <w:adjustRightInd w:val="0"/>
              <w:rPr>
                <w:rFonts w:eastAsiaTheme="minorEastAsia"/>
                <w:bCs/>
                <w:color w:val="000000"/>
              </w:rPr>
            </w:pPr>
            <w:r w:rsidRPr="00DE7F01">
              <w:rPr>
                <w:rFonts w:eastAsiaTheme="minorEastAsia"/>
                <w:bCs/>
                <w:color w:val="000000"/>
                <w:sz w:val="22"/>
              </w:rPr>
              <w:t>Latin America and the Caribbean</w:t>
            </w:r>
          </w:p>
        </w:tc>
        <w:tc>
          <w:tcPr>
            <w:tcW w:w="2040" w:type="dxa"/>
            <w:tcBorders>
              <w:top w:val="single" w:sz="4" w:space="0" w:color="auto"/>
              <w:left w:val="single" w:sz="4" w:space="0" w:color="auto"/>
              <w:bottom w:val="single" w:sz="4" w:space="0" w:color="auto"/>
              <w:right w:val="single" w:sz="4" w:space="0" w:color="auto"/>
            </w:tcBorders>
            <w:vAlign w:val="bottom"/>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233</w:t>
            </w:r>
          </w:p>
        </w:tc>
        <w:tc>
          <w:tcPr>
            <w:tcW w:w="2040" w:type="dxa"/>
            <w:tcBorders>
              <w:top w:val="single" w:sz="4" w:space="0" w:color="auto"/>
              <w:left w:val="single" w:sz="4" w:space="0" w:color="auto"/>
              <w:bottom w:val="single" w:sz="4" w:space="0" w:color="auto"/>
              <w:right w:val="single" w:sz="4" w:space="0" w:color="auto"/>
            </w:tcBorders>
            <w:vAlign w:val="center"/>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0.3%</w:t>
            </w:r>
          </w:p>
        </w:tc>
        <w:tc>
          <w:tcPr>
            <w:tcW w:w="2040" w:type="dxa"/>
            <w:tcBorders>
              <w:top w:val="single" w:sz="4" w:space="0" w:color="auto"/>
              <w:left w:val="single" w:sz="4" w:space="0" w:color="auto"/>
              <w:bottom w:val="single" w:sz="4" w:space="0" w:color="auto"/>
              <w:right w:val="single" w:sz="4" w:space="0" w:color="auto"/>
            </w:tcBorders>
            <w:vAlign w:val="center"/>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12%</w:t>
            </w:r>
          </w:p>
        </w:tc>
      </w:tr>
      <w:tr w:rsidR="00972987" w:rsidRPr="007B268A">
        <w:trPr>
          <w:trHeight w:val="290"/>
        </w:trPr>
        <w:tc>
          <w:tcPr>
            <w:tcW w:w="3450" w:type="dxa"/>
            <w:tcBorders>
              <w:top w:val="single" w:sz="4" w:space="0" w:color="auto"/>
              <w:left w:val="single" w:sz="4" w:space="0" w:color="auto"/>
              <w:bottom w:val="single" w:sz="4" w:space="0" w:color="auto"/>
              <w:right w:val="single" w:sz="4" w:space="0" w:color="auto"/>
            </w:tcBorders>
          </w:tcPr>
          <w:p w:rsidR="00972987" w:rsidRPr="00DE7F01" w:rsidRDefault="00972987" w:rsidP="0043092C">
            <w:pPr>
              <w:keepNext/>
              <w:keepLines/>
              <w:autoSpaceDE w:val="0"/>
              <w:autoSpaceDN w:val="0"/>
              <w:adjustRightInd w:val="0"/>
              <w:rPr>
                <w:rFonts w:eastAsiaTheme="minorEastAsia"/>
                <w:bCs/>
                <w:color w:val="000000"/>
              </w:rPr>
            </w:pPr>
            <w:r w:rsidRPr="00DE7F01">
              <w:rPr>
                <w:rFonts w:eastAsiaTheme="minorEastAsia"/>
                <w:bCs/>
                <w:color w:val="000000"/>
                <w:sz w:val="22"/>
              </w:rPr>
              <w:t>Middle East and North Africa</w:t>
            </w:r>
          </w:p>
        </w:tc>
        <w:tc>
          <w:tcPr>
            <w:tcW w:w="2040" w:type="dxa"/>
            <w:tcBorders>
              <w:top w:val="single" w:sz="4" w:space="0" w:color="auto"/>
              <w:left w:val="single" w:sz="4" w:space="0" w:color="auto"/>
              <w:bottom w:val="single" w:sz="4" w:space="0" w:color="auto"/>
              <w:right w:val="single" w:sz="4" w:space="0" w:color="auto"/>
            </w:tcBorders>
            <w:vAlign w:val="bottom"/>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233</w:t>
            </w:r>
          </w:p>
        </w:tc>
        <w:tc>
          <w:tcPr>
            <w:tcW w:w="2040" w:type="dxa"/>
            <w:tcBorders>
              <w:top w:val="single" w:sz="4" w:space="0" w:color="auto"/>
              <w:left w:val="single" w:sz="4" w:space="0" w:color="auto"/>
              <w:bottom w:val="single" w:sz="4" w:space="0" w:color="auto"/>
              <w:right w:val="single" w:sz="4" w:space="0" w:color="auto"/>
            </w:tcBorders>
            <w:vAlign w:val="center"/>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1.1%</w:t>
            </w:r>
          </w:p>
        </w:tc>
        <w:tc>
          <w:tcPr>
            <w:tcW w:w="2040" w:type="dxa"/>
            <w:tcBorders>
              <w:top w:val="single" w:sz="4" w:space="0" w:color="auto"/>
              <w:left w:val="single" w:sz="4" w:space="0" w:color="auto"/>
              <w:bottom w:val="single" w:sz="4" w:space="0" w:color="auto"/>
              <w:right w:val="single" w:sz="4" w:space="0" w:color="auto"/>
            </w:tcBorders>
            <w:vAlign w:val="center"/>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23%</w:t>
            </w:r>
          </w:p>
        </w:tc>
      </w:tr>
      <w:tr w:rsidR="00972987" w:rsidRPr="007B268A">
        <w:trPr>
          <w:trHeight w:val="290"/>
        </w:trPr>
        <w:tc>
          <w:tcPr>
            <w:tcW w:w="3450" w:type="dxa"/>
            <w:tcBorders>
              <w:top w:val="single" w:sz="4" w:space="0" w:color="auto"/>
              <w:left w:val="single" w:sz="4" w:space="0" w:color="auto"/>
              <w:bottom w:val="single" w:sz="4" w:space="0" w:color="auto"/>
              <w:right w:val="single" w:sz="4" w:space="0" w:color="auto"/>
            </w:tcBorders>
          </w:tcPr>
          <w:p w:rsidR="00972987" w:rsidRPr="00DE7F01" w:rsidRDefault="00972987" w:rsidP="0043092C">
            <w:pPr>
              <w:keepNext/>
              <w:keepLines/>
              <w:autoSpaceDE w:val="0"/>
              <w:autoSpaceDN w:val="0"/>
              <w:adjustRightInd w:val="0"/>
              <w:rPr>
                <w:rFonts w:eastAsiaTheme="minorEastAsia"/>
                <w:bCs/>
                <w:color w:val="000000"/>
              </w:rPr>
            </w:pPr>
            <w:r w:rsidRPr="00DE7F01">
              <w:rPr>
                <w:rFonts w:eastAsiaTheme="minorEastAsia"/>
                <w:bCs/>
                <w:color w:val="000000"/>
                <w:sz w:val="22"/>
              </w:rPr>
              <w:t>South Asia</w:t>
            </w:r>
          </w:p>
        </w:tc>
        <w:tc>
          <w:tcPr>
            <w:tcW w:w="2040" w:type="dxa"/>
            <w:tcBorders>
              <w:top w:val="single" w:sz="4" w:space="0" w:color="auto"/>
              <w:left w:val="single" w:sz="4" w:space="0" w:color="auto"/>
              <w:bottom w:val="single" w:sz="4" w:space="0" w:color="auto"/>
              <w:right w:val="single" w:sz="4" w:space="0" w:color="auto"/>
            </w:tcBorders>
            <w:vAlign w:val="bottom"/>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1,322</w:t>
            </w:r>
          </w:p>
        </w:tc>
        <w:tc>
          <w:tcPr>
            <w:tcW w:w="2040" w:type="dxa"/>
            <w:tcBorders>
              <w:top w:val="single" w:sz="4" w:space="0" w:color="auto"/>
              <w:left w:val="single" w:sz="4" w:space="0" w:color="auto"/>
              <w:bottom w:val="single" w:sz="4" w:space="0" w:color="auto"/>
              <w:right w:val="single" w:sz="4" w:space="0" w:color="auto"/>
            </w:tcBorders>
            <w:vAlign w:val="center"/>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2.2%</w:t>
            </w:r>
          </w:p>
        </w:tc>
        <w:tc>
          <w:tcPr>
            <w:tcW w:w="2040" w:type="dxa"/>
            <w:tcBorders>
              <w:top w:val="single" w:sz="4" w:space="0" w:color="auto"/>
              <w:left w:val="single" w:sz="4" w:space="0" w:color="auto"/>
              <w:bottom w:val="single" w:sz="4" w:space="0" w:color="auto"/>
              <w:right w:val="single" w:sz="4" w:space="0" w:color="auto"/>
            </w:tcBorders>
            <w:vAlign w:val="center"/>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53%</w:t>
            </w:r>
          </w:p>
        </w:tc>
      </w:tr>
      <w:tr w:rsidR="00972987" w:rsidRPr="007B268A">
        <w:trPr>
          <w:trHeight w:val="290"/>
        </w:trPr>
        <w:tc>
          <w:tcPr>
            <w:tcW w:w="3450" w:type="dxa"/>
            <w:tcBorders>
              <w:top w:val="single" w:sz="4" w:space="0" w:color="auto"/>
              <w:left w:val="single" w:sz="4" w:space="0" w:color="auto"/>
              <w:bottom w:val="single" w:sz="4" w:space="0" w:color="auto"/>
              <w:right w:val="single" w:sz="4" w:space="0" w:color="auto"/>
            </w:tcBorders>
          </w:tcPr>
          <w:p w:rsidR="00972987" w:rsidRPr="00DE7F01" w:rsidRDefault="00972987" w:rsidP="0043092C">
            <w:pPr>
              <w:keepNext/>
              <w:keepLines/>
              <w:autoSpaceDE w:val="0"/>
              <w:autoSpaceDN w:val="0"/>
              <w:adjustRightInd w:val="0"/>
              <w:rPr>
                <w:rFonts w:eastAsiaTheme="minorEastAsia"/>
                <w:bCs/>
                <w:color w:val="000000"/>
              </w:rPr>
            </w:pPr>
            <w:r w:rsidRPr="00DE7F01">
              <w:rPr>
                <w:rFonts w:eastAsiaTheme="minorEastAsia"/>
                <w:bCs/>
                <w:color w:val="000000"/>
                <w:sz w:val="22"/>
              </w:rPr>
              <w:t>Sub-Saharan Africa</w:t>
            </w:r>
          </w:p>
        </w:tc>
        <w:tc>
          <w:tcPr>
            <w:tcW w:w="2040" w:type="dxa"/>
            <w:tcBorders>
              <w:top w:val="single" w:sz="4" w:space="0" w:color="auto"/>
              <w:left w:val="single" w:sz="4" w:space="0" w:color="auto"/>
              <w:bottom w:val="single" w:sz="4" w:space="0" w:color="auto"/>
              <w:right w:val="single" w:sz="4" w:space="0" w:color="auto"/>
            </w:tcBorders>
            <w:vAlign w:val="bottom"/>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2,626</w:t>
            </w:r>
          </w:p>
        </w:tc>
        <w:tc>
          <w:tcPr>
            <w:tcW w:w="2040" w:type="dxa"/>
            <w:tcBorders>
              <w:top w:val="single" w:sz="4" w:space="0" w:color="auto"/>
              <w:left w:val="single" w:sz="4" w:space="0" w:color="auto"/>
              <w:bottom w:val="single" w:sz="4" w:space="0" w:color="auto"/>
              <w:right w:val="single" w:sz="4" w:space="0" w:color="auto"/>
            </w:tcBorders>
            <w:vAlign w:val="center"/>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12.2%</w:t>
            </w:r>
          </w:p>
        </w:tc>
        <w:tc>
          <w:tcPr>
            <w:tcW w:w="2040" w:type="dxa"/>
            <w:tcBorders>
              <w:top w:val="single" w:sz="4" w:space="0" w:color="auto"/>
              <w:left w:val="single" w:sz="4" w:space="0" w:color="auto"/>
              <w:bottom w:val="single" w:sz="4" w:space="0" w:color="auto"/>
              <w:right w:val="single" w:sz="4" w:space="0" w:color="auto"/>
            </w:tcBorders>
            <w:vAlign w:val="center"/>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215%</w:t>
            </w:r>
          </w:p>
        </w:tc>
      </w:tr>
      <w:tr w:rsidR="00972987" w:rsidRPr="007B268A">
        <w:trPr>
          <w:trHeight w:val="290"/>
        </w:trPr>
        <w:tc>
          <w:tcPr>
            <w:tcW w:w="3450" w:type="dxa"/>
            <w:tcBorders>
              <w:top w:val="single" w:sz="4" w:space="0" w:color="auto"/>
              <w:left w:val="single" w:sz="4" w:space="0" w:color="auto"/>
              <w:bottom w:val="single" w:sz="4" w:space="0" w:color="auto"/>
              <w:right w:val="single" w:sz="4" w:space="0" w:color="auto"/>
            </w:tcBorders>
          </w:tcPr>
          <w:p w:rsidR="00972987" w:rsidRPr="00DE7F01" w:rsidRDefault="00972987" w:rsidP="0043092C">
            <w:pPr>
              <w:keepNext/>
              <w:keepLines/>
              <w:autoSpaceDE w:val="0"/>
              <w:autoSpaceDN w:val="0"/>
              <w:adjustRightInd w:val="0"/>
              <w:rPr>
                <w:rFonts w:eastAsiaTheme="minorEastAsia"/>
                <w:bCs/>
                <w:color w:val="000000"/>
              </w:rPr>
            </w:pPr>
            <w:r w:rsidRPr="00DE7F01">
              <w:rPr>
                <w:rFonts w:eastAsiaTheme="minorEastAsia"/>
                <w:bCs/>
                <w:color w:val="000000"/>
                <w:sz w:val="22"/>
              </w:rPr>
              <w:t>High-income countries</w:t>
            </w:r>
          </w:p>
        </w:tc>
        <w:tc>
          <w:tcPr>
            <w:tcW w:w="2040" w:type="dxa"/>
            <w:tcBorders>
              <w:top w:val="single" w:sz="4" w:space="0" w:color="auto"/>
              <w:left w:val="single" w:sz="4" w:space="0" w:color="auto"/>
              <w:bottom w:val="single" w:sz="4" w:space="0" w:color="auto"/>
              <w:right w:val="single" w:sz="4" w:space="0" w:color="auto"/>
            </w:tcBorders>
            <w:vAlign w:val="bottom"/>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692</w:t>
            </w:r>
          </w:p>
        </w:tc>
        <w:tc>
          <w:tcPr>
            <w:tcW w:w="2040" w:type="dxa"/>
            <w:tcBorders>
              <w:top w:val="single" w:sz="4" w:space="0" w:color="auto"/>
              <w:left w:val="single" w:sz="4" w:space="0" w:color="auto"/>
              <w:bottom w:val="single" w:sz="4" w:space="0" w:color="auto"/>
              <w:right w:val="single" w:sz="4" w:space="0" w:color="auto"/>
            </w:tcBorders>
            <w:vAlign w:val="center"/>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0.1%</w:t>
            </w:r>
          </w:p>
        </w:tc>
        <w:tc>
          <w:tcPr>
            <w:tcW w:w="2040" w:type="dxa"/>
            <w:tcBorders>
              <w:top w:val="single" w:sz="4" w:space="0" w:color="auto"/>
              <w:left w:val="single" w:sz="4" w:space="0" w:color="auto"/>
              <w:bottom w:val="single" w:sz="4" w:space="0" w:color="auto"/>
              <w:right w:val="single" w:sz="4" w:space="0" w:color="auto"/>
            </w:tcBorders>
            <w:vAlign w:val="center"/>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15%</w:t>
            </w:r>
          </w:p>
        </w:tc>
      </w:tr>
      <w:tr w:rsidR="00972987" w:rsidRPr="007B268A">
        <w:trPr>
          <w:trHeight w:val="290"/>
        </w:trPr>
        <w:tc>
          <w:tcPr>
            <w:tcW w:w="9570" w:type="dxa"/>
            <w:gridSpan w:val="4"/>
            <w:tcBorders>
              <w:top w:val="single" w:sz="4" w:space="0" w:color="auto"/>
              <w:left w:val="single" w:sz="4" w:space="0" w:color="auto"/>
              <w:bottom w:val="single" w:sz="4" w:space="0" w:color="auto"/>
              <w:right w:val="single" w:sz="4" w:space="0" w:color="auto"/>
            </w:tcBorders>
            <w:shd w:val="clear" w:color="969696" w:fill="D9D9D9" w:themeFill="background1" w:themeFillShade="D9"/>
            <w:vAlign w:val="center"/>
          </w:tcPr>
          <w:p w:rsidR="00972987" w:rsidRPr="00DE7F01" w:rsidRDefault="00972987" w:rsidP="0043092C">
            <w:pPr>
              <w:keepNext/>
              <w:keepLines/>
              <w:autoSpaceDE w:val="0"/>
              <w:autoSpaceDN w:val="0"/>
              <w:adjustRightInd w:val="0"/>
              <w:jc w:val="center"/>
              <w:rPr>
                <w:rFonts w:eastAsiaTheme="minorEastAsia"/>
                <w:color w:val="000000"/>
              </w:rPr>
            </w:pPr>
          </w:p>
        </w:tc>
      </w:tr>
      <w:tr w:rsidR="00972987" w:rsidRPr="007B268A">
        <w:trPr>
          <w:trHeight w:val="305"/>
        </w:trPr>
        <w:tc>
          <w:tcPr>
            <w:tcW w:w="3450" w:type="dxa"/>
            <w:tcBorders>
              <w:top w:val="single" w:sz="4" w:space="0" w:color="auto"/>
              <w:left w:val="single" w:sz="4" w:space="0" w:color="auto"/>
              <w:bottom w:val="single" w:sz="4" w:space="0" w:color="auto"/>
              <w:right w:val="single" w:sz="4" w:space="0" w:color="auto"/>
            </w:tcBorders>
          </w:tcPr>
          <w:p w:rsidR="00972987" w:rsidRPr="00DE7F01" w:rsidRDefault="00972987" w:rsidP="0043092C">
            <w:pPr>
              <w:keepNext/>
              <w:keepLines/>
              <w:autoSpaceDE w:val="0"/>
              <w:autoSpaceDN w:val="0"/>
              <w:adjustRightInd w:val="0"/>
              <w:rPr>
                <w:rFonts w:eastAsiaTheme="minorEastAsia"/>
                <w:bCs/>
                <w:color w:val="000000"/>
              </w:rPr>
            </w:pPr>
            <w:r w:rsidRPr="00DE7F01">
              <w:rPr>
                <w:rFonts w:eastAsiaTheme="minorEastAsia"/>
                <w:bCs/>
                <w:color w:val="000000"/>
                <w:sz w:val="22"/>
              </w:rPr>
              <w:t>World</w:t>
            </w:r>
          </w:p>
        </w:tc>
        <w:tc>
          <w:tcPr>
            <w:tcW w:w="2040" w:type="dxa"/>
            <w:tcBorders>
              <w:top w:val="single" w:sz="4" w:space="0" w:color="auto"/>
              <w:left w:val="single" w:sz="4" w:space="0" w:color="auto"/>
              <w:bottom w:val="single" w:sz="4" w:space="0" w:color="auto"/>
              <w:right w:val="single" w:sz="4" w:space="0" w:color="auto"/>
            </w:tcBorders>
            <w:vAlign w:val="bottom"/>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5,626</w:t>
            </w:r>
          </w:p>
        </w:tc>
        <w:tc>
          <w:tcPr>
            <w:tcW w:w="2040" w:type="dxa"/>
            <w:tcBorders>
              <w:top w:val="single" w:sz="4" w:space="0" w:color="auto"/>
              <w:left w:val="single" w:sz="4" w:space="0" w:color="auto"/>
              <w:bottom w:val="single" w:sz="4" w:space="0" w:color="auto"/>
              <w:right w:val="single" w:sz="4" w:space="0" w:color="auto"/>
            </w:tcBorders>
            <w:vAlign w:val="center"/>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0.5%</w:t>
            </w:r>
          </w:p>
        </w:tc>
        <w:tc>
          <w:tcPr>
            <w:tcW w:w="2040" w:type="dxa"/>
            <w:tcBorders>
              <w:top w:val="single" w:sz="4" w:space="0" w:color="auto"/>
              <w:left w:val="single" w:sz="4" w:space="0" w:color="auto"/>
              <w:bottom w:val="single" w:sz="4" w:space="0" w:color="auto"/>
              <w:right w:val="single" w:sz="4" w:space="0" w:color="auto"/>
            </w:tcBorders>
            <w:vAlign w:val="center"/>
          </w:tcPr>
          <w:p w:rsidR="00972987" w:rsidRPr="00DE7F01" w:rsidRDefault="00972987" w:rsidP="0043092C">
            <w:pPr>
              <w:keepNext/>
              <w:keepLines/>
              <w:autoSpaceDE w:val="0"/>
              <w:autoSpaceDN w:val="0"/>
              <w:adjustRightInd w:val="0"/>
              <w:jc w:val="center"/>
              <w:rPr>
                <w:rFonts w:eastAsiaTheme="minorEastAsia"/>
                <w:color w:val="000000"/>
                <w:sz w:val="20"/>
              </w:rPr>
            </w:pPr>
            <w:r w:rsidRPr="00DE7F01">
              <w:rPr>
                <w:color w:val="000000"/>
                <w:sz w:val="22"/>
              </w:rPr>
              <w:t>32.2%</w:t>
            </w:r>
          </w:p>
        </w:tc>
      </w:tr>
      <w:tr w:rsidR="00972987" w:rsidRPr="007B268A">
        <w:trPr>
          <w:trHeight w:val="290"/>
        </w:trPr>
        <w:tc>
          <w:tcPr>
            <w:tcW w:w="9570" w:type="dxa"/>
            <w:gridSpan w:val="4"/>
            <w:tcBorders>
              <w:top w:val="single" w:sz="4" w:space="0" w:color="auto"/>
              <w:left w:val="single" w:sz="4" w:space="0" w:color="auto"/>
              <w:bottom w:val="single" w:sz="4" w:space="0" w:color="auto"/>
              <w:right w:val="single" w:sz="4" w:space="0" w:color="auto"/>
            </w:tcBorders>
            <w:vAlign w:val="center"/>
          </w:tcPr>
          <w:p w:rsidR="00972987" w:rsidRPr="00DE7F01" w:rsidRDefault="00972987" w:rsidP="0043092C">
            <w:pPr>
              <w:keepNext/>
              <w:keepLines/>
              <w:autoSpaceDE w:val="0"/>
              <w:autoSpaceDN w:val="0"/>
              <w:adjustRightInd w:val="0"/>
              <w:rPr>
                <w:rFonts w:eastAsiaTheme="minorEastAsia"/>
                <w:color w:val="000000"/>
              </w:rPr>
            </w:pPr>
            <w:r w:rsidRPr="00DE7F01">
              <w:rPr>
                <w:rFonts w:eastAsiaTheme="minorEastAsia"/>
                <w:i/>
                <w:color w:val="000000"/>
              </w:rPr>
              <w:t>Source</w:t>
            </w:r>
            <w:r w:rsidRPr="00DE7F01">
              <w:rPr>
                <w:rFonts w:eastAsiaTheme="minorEastAsia"/>
                <w:color w:val="000000"/>
              </w:rPr>
              <w:t xml:space="preserve">: </w:t>
            </w:r>
            <w:r w:rsidRPr="00DE7F01">
              <w:rPr>
                <w:rFonts w:eastAsiaTheme="minorEastAsia"/>
                <w:i/>
                <w:color w:val="000000"/>
              </w:rPr>
              <w:t>IFs v6.57 23 May 2012</w:t>
            </w:r>
          </w:p>
          <w:p w:rsidR="00972987" w:rsidRPr="00DE7F01" w:rsidRDefault="00972987" w:rsidP="0043092C">
            <w:pPr>
              <w:keepNext/>
              <w:keepLines/>
              <w:autoSpaceDE w:val="0"/>
              <w:autoSpaceDN w:val="0"/>
              <w:adjustRightInd w:val="0"/>
              <w:rPr>
                <w:rFonts w:eastAsiaTheme="minorEastAsia"/>
                <w:i/>
                <w:color w:val="000000"/>
              </w:rPr>
            </w:pPr>
            <w:r w:rsidRPr="00DE7F01">
              <w:rPr>
                <w:rFonts w:eastAsiaTheme="minorEastAsia"/>
                <w:i/>
                <w:color w:val="000000"/>
              </w:rPr>
              <w:t>Note: All values are cumulative for the years 2010-2030. % of GDP calculated by dividing additional funds by cumulative GDP in the Universal Targets scenario. % of public funds spent calculated by dividing additional funds by cumulative amount of public funds spent in the Universal Targets scenario. The latter expenditures do not include the other infrastructure category discussed earlier.</w:t>
            </w:r>
          </w:p>
        </w:tc>
      </w:tr>
    </w:tbl>
    <w:p w:rsidR="00972987" w:rsidRPr="007B268A" w:rsidRDefault="00972987" w:rsidP="00972987"/>
    <w:p w:rsidR="00972987" w:rsidRPr="007B268A" w:rsidRDefault="00972987" w:rsidP="00972987">
      <w:r w:rsidRPr="007B268A">
        <w:t>A majority of this $5.6 trillion dollars, just under 70 percent, is for roads (Table 6.8). This is due, in part, to the increasing marginal costs of improving road access (see again Box 6.1). Electricity accounts for another 24 percent and almost all of the remaining by water and sanitation. Again, there are variations across regions and within individual countries. What is consistent, though, is that roads and electricity make up the largest shares by far, and very little additional funds are needed for ICT.</w:t>
      </w:r>
    </w:p>
    <w:p w:rsidR="00972987" w:rsidRPr="007B268A" w:rsidRDefault="00972987" w:rsidP="00972987"/>
    <w:tbl>
      <w:tblPr>
        <w:tblW w:w="9570"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50"/>
        <w:gridCol w:w="1530"/>
        <w:gridCol w:w="1530"/>
        <w:gridCol w:w="1530"/>
        <w:gridCol w:w="1530"/>
      </w:tblGrid>
      <w:tr w:rsidR="00972987" w:rsidRPr="007B268A">
        <w:trPr>
          <w:trHeight w:val="362"/>
        </w:trPr>
        <w:tc>
          <w:tcPr>
            <w:tcW w:w="9570" w:type="dxa"/>
            <w:gridSpan w:val="5"/>
          </w:tcPr>
          <w:p w:rsidR="00972987" w:rsidRPr="00DE7F01" w:rsidRDefault="00972987" w:rsidP="0043092C">
            <w:pPr>
              <w:keepNext/>
              <w:autoSpaceDE w:val="0"/>
              <w:autoSpaceDN w:val="0"/>
              <w:adjustRightInd w:val="0"/>
              <w:rPr>
                <w:rFonts w:eastAsiaTheme="minorEastAsia"/>
                <w:b/>
                <w:color w:val="000000"/>
              </w:rPr>
            </w:pPr>
            <w:r w:rsidRPr="00DE7F01">
              <w:rPr>
                <w:rFonts w:eastAsiaTheme="minorEastAsia"/>
                <w:b/>
                <w:bCs/>
                <w:color w:val="000000"/>
              </w:rPr>
              <w:t>Table 6.8 Sectoral breakdown of additional public funds required to achieve universal targets for infrastructure 2010-2030</w:t>
            </w:r>
          </w:p>
        </w:tc>
      </w:tr>
      <w:tr w:rsidR="00972987" w:rsidRPr="007B268A">
        <w:trPr>
          <w:trHeight w:val="290"/>
        </w:trPr>
        <w:tc>
          <w:tcPr>
            <w:tcW w:w="3450" w:type="dxa"/>
            <w:vAlign w:val="center"/>
          </w:tcPr>
          <w:p w:rsidR="00972987" w:rsidRPr="00DE7F01" w:rsidRDefault="00972987" w:rsidP="0043092C">
            <w:pPr>
              <w:keepNext/>
              <w:autoSpaceDE w:val="0"/>
              <w:autoSpaceDN w:val="0"/>
              <w:adjustRightInd w:val="0"/>
              <w:jc w:val="center"/>
              <w:rPr>
                <w:rFonts w:eastAsiaTheme="minorEastAsia"/>
                <w:color w:val="000000"/>
              </w:rPr>
            </w:pPr>
          </w:p>
        </w:tc>
        <w:tc>
          <w:tcPr>
            <w:tcW w:w="1530" w:type="dxa"/>
            <w:vAlign w:val="center"/>
          </w:tcPr>
          <w:p w:rsidR="00972987" w:rsidRPr="00DE7F01" w:rsidRDefault="00972987" w:rsidP="0043092C">
            <w:pPr>
              <w:autoSpaceDE w:val="0"/>
              <w:autoSpaceDN w:val="0"/>
              <w:adjustRightInd w:val="0"/>
              <w:jc w:val="center"/>
              <w:rPr>
                <w:rFonts w:eastAsiaTheme="minorEastAsia"/>
                <w:bCs/>
                <w:color w:val="000000"/>
              </w:rPr>
            </w:pPr>
            <w:r w:rsidRPr="00DE7F01">
              <w:rPr>
                <w:color w:val="000000"/>
                <w:sz w:val="22"/>
              </w:rPr>
              <w:t>Road</w:t>
            </w:r>
          </w:p>
        </w:tc>
        <w:tc>
          <w:tcPr>
            <w:tcW w:w="1530" w:type="dxa"/>
            <w:vAlign w:val="center"/>
          </w:tcPr>
          <w:p w:rsidR="00972987" w:rsidRPr="00DE7F01" w:rsidRDefault="00972987" w:rsidP="0043092C">
            <w:pPr>
              <w:autoSpaceDE w:val="0"/>
              <w:autoSpaceDN w:val="0"/>
              <w:adjustRightInd w:val="0"/>
              <w:jc w:val="center"/>
              <w:rPr>
                <w:rFonts w:eastAsiaTheme="minorEastAsia"/>
                <w:bCs/>
                <w:color w:val="000000"/>
              </w:rPr>
            </w:pPr>
            <w:r w:rsidRPr="00DE7F01">
              <w:rPr>
                <w:color w:val="000000"/>
                <w:sz w:val="22"/>
              </w:rPr>
              <w:t>Electricity</w:t>
            </w:r>
          </w:p>
        </w:tc>
        <w:tc>
          <w:tcPr>
            <w:tcW w:w="1530" w:type="dxa"/>
            <w:vAlign w:val="center"/>
          </w:tcPr>
          <w:p w:rsidR="00972987" w:rsidRPr="00DE7F01" w:rsidRDefault="00972987" w:rsidP="0043092C">
            <w:pPr>
              <w:autoSpaceDE w:val="0"/>
              <w:autoSpaceDN w:val="0"/>
              <w:adjustRightInd w:val="0"/>
              <w:jc w:val="center"/>
              <w:rPr>
                <w:rFonts w:eastAsiaTheme="minorEastAsia"/>
                <w:bCs/>
                <w:color w:val="000000"/>
              </w:rPr>
            </w:pPr>
            <w:r w:rsidRPr="00DE7F01">
              <w:rPr>
                <w:color w:val="000000"/>
                <w:sz w:val="22"/>
              </w:rPr>
              <w:t>Water</w:t>
            </w:r>
          </w:p>
        </w:tc>
        <w:tc>
          <w:tcPr>
            <w:tcW w:w="1530" w:type="dxa"/>
            <w:vAlign w:val="center"/>
          </w:tcPr>
          <w:p w:rsidR="00972987" w:rsidRPr="00DE7F01" w:rsidRDefault="00972987" w:rsidP="0043092C">
            <w:pPr>
              <w:autoSpaceDE w:val="0"/>
              <w:autoSpaceDN w:val="0"/>
              <w:adjustRightInd w:val="0"/>
              <w:jc w:val="center"/>
              <w:rPr>
                <w:rFonts w:eastAsiaTheme="minorEastAsia"/>
                <w:bCs/>
                <w:color w:val="000000"/>
              </w:rPr>
            </w:pPr>
            <w:r w:rsidRPr="00DE7F01">
              <w:rPr>
                <w:color w:val="000000"/>
                <w:sz w:val="22"/>
              </w:rPr>
              <w:t>ICT</w:t>
            </w:r>
          </w:p>
        </w:tc>
      </w:tr>
      <w:tr w:rsidR="00972987" w:rsidRPr="007B268A">
        <w:trPr>
          <w:trHeight w:val="290"/>
        </w:trPr>
        <w:tc>
          <w:tcPr>
            <w:tcW w:w="9570" w:type="dxa"/>
            <w:gridSpan w:val="5"/>
            <w:shd w:val="clear" w:color="969696" w:fill="D9D9D9" w:themeFill="background1" w:themeFillShade="D9"/>
            <w:vAlign w:val="center"/>
          </w:tcPr>
          <w:p w:rsidR="00972987" w:rsidRPr="00DE7F01" w:rsidRDefault="00972987" w:rsidP="0043092C">
            <w:pPr>
              <w:keepNext/>
              <w:autoSpaceDE w:val="0"/>
              <w:autoSpaceDN w:val="0"/>
              <w:adjustRightInd w:val="0"/>
              <w:jc w:val="center"/>
              <w:rPr>
                <w:rFonts w:eastAsiaTheme="minorEastAsia"/>
                <w:b/>
                <w:color w:val="000000"/>
              </w:rPr>
            </w:pPr>
            <w:r w:rsidRPr="00DE7F01">
              <w:rPr>
                <w:rFonts w:eastAsiaTheme="minorEastAsia"/>
                <w:b/>
                <w:bCs/>
                <w:color w:val="000000"/>
                <w:sz w:val="22"/>
              </w:rPr>
              <w:t>By income class</w:t>
            </w:r>
          </w:p>
        </w:tc>
      </w:tr>
      <w:tr w:rsidR="00972987" w:rsidRPr="007B268A">
        <w:trPr>
          <w:trHeight w:val="290"/>
        </w:trPr>
        <w:tc>
          <w:tcPr>
            <w:tcW w:w="3450" w:type="dxa"/>
          </w:tcPr>
          <w:p w:rsidR="00972987" w:rsidRPr="00DE7F01" w:rsidRDefault="00972987" w:rsidP="0043092C">
            <w:pPr>
              <w:keepNext/>
              <w:autoSpaceDE w:val="0"/>
              <w:autoSpaceDN w:val="0"/>
              <w:adjustRightInd w:val="0"/>
              <w:rPr>
                <w:rFonts w:eastAsiaTheme="minorEastAsia"/>
                <w:bCs/>
                <w:color w:val="000000"/>
              </w:rPr>
            </w:pPr>
            <w:r w:rsidRPr="00DE7F01">
              <w:rPr>
                <w:rFonts w:eastAsiaTheme="minorEastAsia"/>
                <w:bCs/>
                <w:color w:val="000000"/>
                <w:sz w:val="22"/>
              </w:rPr>
              <w:t>Low-income economies</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83%</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13%</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4%</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1%</w:t>
            </w:r>
          </w:p>
        </w:tc>
      </w:tr>
      <w:tr w:rsidR="00972987" w:rsidRPr="007B268A">
        <w:trPr>
          <w:trHeight w:val="290"/>
        </w:trPr>
        <w:tc>
          <w:tcPr>
            <w:tcW w:w="3450" w:type="dxa"/>
          </w:tcPr>
          <w:p w:rsidR="00972987" w:rsidRPr="00DE7F01" w:rsidRDefault="00972987" w:rsidP="0043092C">
            <w:pPr>
              <w:keepNext/>
              <w:autoSpaceDE w:val="0"/>
              <w:autoSpaceDN w:val="0"/>
              <w:adjustRightInd w:val="0"/>
              <w:rPr>
                <w:rFonts w:eastAsiaTheme="minorEastAsia"/>
                <w:bCs/>
                <w:color w:val="000000"/>
              </w:rPr>
            </w:pPr>
            <w:r w:rsidRPr="00DE7F01">
              <w:rPr>
                <w:rFonts w:eastAsiaTheme="minorEastAsia"/>
                <w:bCs/>
                <w:color w:val="000000"/>
                <w:sz w:val="22"/>
              </w:rPr>
              <w:t>Lower-middle-income economies</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63%</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26%</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9%</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2%</w:t>
            </w:r>
          </w:p>
        </w:tc>
      </w:tr>
      <w:tr w:rsidR="00972987" w:rsidRPr="007B268A">
        <w:trPr>
          <w:trHeight w:val="290"/>
        </w:trPr>
        <w:tc>
          <w:tcPr>
            <w:tcW w:w="3450" w:type="dxa"/>
          </w:tcPr>
          <w:p w:rsidR="00972987" w:rsidRPr="00DE7F01" w:rsidRDefault="00972987" w:rsidP="0043092C">
            <w:pPr>
              <w:keepNext/>
              <w:autoSpaceDE w:val="0"/>
              <w:autoSpaceDN w:val="0"/>
              <w:adjustRightInd w:val="0"/>
              <w:rPr>
                <w:rFonts w:eastAsiaTheme="minorEastAsia"/>
                <w:bCs/>
                <w:color w:val="000000"/>
              </w:rPr>
            </w:pPr>
            <w:r w:rsidRPr="00DE7F01">
              <w:rPr>
                <w:rFonts w:eastAsiaTheme="minorEastAsia"/>
                <w:bCs/>
                <w:color w:val="000000"/>
                <w:sz w:val="22"/>
              </w:rPr>
              <w:t>Upper-middle-income economies</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50%</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40%</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8%</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2%</w:t>
            </w:r>
          </w:p>
        </w:tc>
      </w:tr>
      <w:tr w:rsidR="00972987" w:rsidRPr="007B268A">
        <w:trPr>
          <w:trHeight w:val="290"/>
        </w:trPr>
        <w:tc>
          <w:tcPr>
            <w:tcW w:w="3450" w:type="dxa"/>
          </w:tcPr>
          <w:p w:rsidR="00972987" w:rsidRPr="00DE7F01" w:rsidRDefault="00972987" w:rsidP="0043092C">
            <w:pPr>
              <w:keepNext/>
              <w:autoSpaceDE w:val="0"/>
              <w:autoSpaceDN w:val="0"/>
              <w:adjustRightInd w:val="0"/>
              <w:rPr>
                <w:rFonts w:eastAsiaTheme="minorEastAsia"/>
                <w:bCs/>
                <w:color w:val="000000"/>
              </w:rPr>
            </w:pPr>
            <w:r w:rsidRPr="00DE7F01">
              <w:rPr>
                <w:rFonts w:eastAsiaTheme="minorEastAsia"/>
                <w:bCs/>
                <w:color w:val="000000"/>
                <w:sz w:val="22"/>
              </w:rPr>
              <w:t>High-income economies</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38%</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54%</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7%</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1%</w:t>
            </w:r>
          </w:p>
        </w:tc>
      </w:tr>
      <w:tr w:rsidR="00972987" w:rsidRPr="007B268A">
        <w:trPr>
          <w:trHeight w:val="290"/>
        </w:trPr>
        <w:tc>
          <w:tcPr>
            <w:tcW w:w="9570" w:type="dxa"/>
            <w:gridSpan w:val="5"/>
            <w:shd w:val="clear" w:color="969696" w:fill="D9D9D9" w:themeFill="background1" w:themeFillShade="D9"/>
            <w:vAlign w:val="center"/>
          </w:tcPr>
          <w:p w:rsidR="00972987" w:rsidRPr="00DE7F01" w:rsidRDefault="00972987" w:rsidP="0043092C">
            <w:pPr>
              <w:keepNext/>
              <w:autoSpaceDE w:val="0"/>
              <w:autoSpaceDN w:val="0"/>
              <w:adjustRightInd w:val="0"/>
              <w:jc w:val="center"/>
              <w:rPr>
                <w:rFonts w:eastAsiaTheme="minorEastAsia"/>
                <w:b/>
                <w:color w:val="000000"/>
              </w:rPr>
            </w:pPr>
            <w:r w:rsidRPr="00DE7F01">
              <w:rPr>
                <w:rFonts w:eastAsiaTheme="minorEastAsia"/>
                <w:b/>
                <w:bCs/>
                <w:color w:val="000000"/>
                <w:sz w:val="22"/>
              </w:rPr>
              <w:t>By region</w:t>
            </w:r>
          </w:p>
        </w:tc>
      </w:tr>
      <w:tr w:rsidR="00972987" w:rsidRPr="007B268A">
        <w:trPr>
          <w:trHeight w:val="290"/>
        </w:trPr>
        <w:tc>
          <w:tcPr>
            <w:tcW w:w="3450" w:type="dxa"/>
          </w:tcPr>
          <w:p w:rsidR="00972987" w:rsidRPr="00DE7F01" w:rsidRDefault="00972987" w:rsidP="0043092C">
            <w:pPr>
              <w:keepNext/>
              <w:autoSpaceDE w:val="0"/>
              <w:autoSpaceDN w:val="0"/>
              <w:adjustRightInd w:val="0"/>
              <w:rPr>
                <w:rFonts w:eastAsiaTheme="minorEastAsia"/>
                <w:bCs/>
                <w:color w:val="000000"/>
              </w:rPr>
            </w:pPr>
            <w:r w:rsidRPr="00DE7F01">
              <w:rPr>
                <w:rFonts w:eastAsiaTheme="minorEastAsia"/>
                <w:bCs/>
                <w:color w:val="000000"/>
                <w:sz w:val="22"/>
              </w:rPr>
              <w:t>East Asia and Pacific</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43%</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43%</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11%</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2%</w:t>
            </w:r>
          </w:p>
        </w:tc>
      </w:tr>
      <w:tr w:rsidR="00972987" w:rsidRPr="007B268A">
        <w:trPr>
          <w:trHeight w:val="290"/>
        </w:trPr>
        <w:tc>
          <w:tcPr>
            <w:tcW w:w="3450" w:type="dxa"/>
          </w:tcPr>
          <w:p w:rsidR="00972987" w:rsidRPr="00DE7F01" w:rsidRDefault="00972987" w:rsidP="0043092C">
            <w:pPr>
              <w:keepNext/>
              <w:autoSpaceDE w:val="0"/>
              <w:autoSpaceDN w:val="0"/>
              <w:adjustRightInd w:val="0"/>
              <w:rPr>
                <w:rFonts w:eastAsiaTheme="minorEastAsia"/>
                <w:bCs/>
                <w:color w:val="000000"/>
              </w:rPr>
            </w:pPr>
            <w:r w:rsidRPr="00DE7F01">
              <w:rPr>
                <w:rFonts w:eastAsiaTheme="minorEastAsia"/>
                <w:bCs/>
                <w:color w:val="000000"/>
                <w:sz w:val="22"/>
              </w:rPr>
              <w:t>Europe and Central Asia</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54%</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38%</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7%</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2%</w:t>
            </w:r>
          </w:p>
        </w:tc>
      </w:tr>
      <w:tr w:rsidR="00972987" w:rsidRPr="007B268A">
        <w:trPr>
          <w:trHeight w:val="290"/>
        </w:trPr>
        <w:tc>
          <w:tcPr>
            <w:tcW w:w="3450" w:type="dxa"/>
          </w:tcPr>
          <w:p w:rsidR="00972987" w:rsidRPr="00DE7F01" w:rsidRDefault="00972987" w:rsidP="0043092C">
            <w:pPr>
              <w:keepNext/>
              <w:autoSpaceDE w:val="0"/>
              <w:autoSpaceDN w:val="0"/>
              <w:adjustRightInd w:val="0"/>
              <w:rPr>
                <w:rFonts w:eastAsiaTheme="minorEastAsia"/>
                <w:bCs/>
                <w:color w:val="000000"/>
              </w:rPr>
            </w:pPr>
            <w:r w:rsidRPr="00DE7F01">
              <w:rPr>
                <w:rFonts w:eastAsiaTheme="minorEastAsia"/>
                <w:bCs/>
                <w:color w:val="000000"/>
                <w:sz w:val="22"/>
              </w:rPr>
              <w:t>Latin America and the Caribbean</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69%</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24%</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6%</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1%</w:t>
            </w:r>
          </w:p>
        </w:tc>
      </w:tr>
      <w:tr w:rsidR="00972987" w:rsidRPr="007B268A">
        <w:trPr>
          <w:trHeight w:val="290"/>
        </w:trPr>
        <w:tc>
          <w:tcPr>
            <w:tcW w:w="3450" w:type="dxa"/>
          </w:tcPr>
          <w:p w:rsidR="00972987" w:rsidRPr="00DE7F01" w:rsidRDefault="00972987" w:rsidP="0043092C">
            <w:pPr>
              <w:keepNext/>
              <w:autoSpaceDE w:val="0"/>
              <w:autoSpaceDN w:val="0"/>
              <w:adjustRightInd w:val="0"/>
              <w:rPr>
                <w:rFonts w:eastAsiaTheme="minorEastAsia"/>
                <w:bCs/>
                <w:color w:val="000000"/>
              </w:rPr>
            </w:pPr>
            <w:r w:rsidRPr="00DE7F01">
              <w:rPr>
                <w:rFonts w:eastAsiaTheme="minorEastAsia"/>
                <w:bCs/>
                <w:color w:val="000000"/>
                <w:sz w:val="22"/>
              </w:rPr>
              <w:t>Middle East and North Africa</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75%</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19%</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5%</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1%</w:t>
            </w:r>
          </w:p>
        </w:tc>
      </w:tr>
      <w:tr w:rsidR="00972987" w:rsidRPr="007B268A">
        <w:trPr>
          <w:trHeight w:val="290"/>
        </w:trPr>
        <w:tc>
          <w:tcPr>
            <w:tcW w:w="3450" w:type="dxa"/>
          </w:tcPr>
          <w:p w:rsidR="00972987" w:rsidRPr="00DE7F01" w:rsidRDefault="00972987" w:rsidP="0043092C">
            <w:pPr>
              <w:keepNext/>
              <w:autoSpaceDE w:val="0"/>
              <w:autoSpaceDN w:val="0"/>
              <w:adjustRightInd w:val="0"/>
              <w:rPr>
                <w:rFonts w:eastAsiaTheme="minorEastAsia"/>
                <w:bCs/>
                <w:color w:val="000000"/>
              </w:rPr>
            </w:pPr>
            <w:r w:rsidRPr="00DE7F01">
              <w:rPr>
                <w:rFonts w:eastAsiaTheme="minorEastAsia"/>
                <w:bCs/>
                <w:color w:val="000000"/>
                <w:sz w:val="22"/>
              </w:rPr>
              <w:t>South Asia</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57%</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29%</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12%</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2%</w:t>
            </w:r>
          </w:p>
        </w:tc>
      </w:tr>
      <w:tr w:rsidR="00972987" w:rsidRPr="007B268A">
        <w:trPr>
          <w:trHeight w:val="290"/>
        </w:trPr>
        <w:tc>
          <w:tcPr>
            <w:tcW w:w="3450" w:type="dxa"/>
          </w:tcPr>
          <w:p w:rsidR="00972987" w:rsidRPr="00DE7F01" w:rsidRDefault="00972987" w:rsidP="0043092C">
            <w:pPr>
              <w:keepNext/>
              <w:autoSpaceDE w:val="0"/>
              <w:autoSpaceDN w:val="0"/>
              <w:adjustRightInd w:val="0"/>
              <w:rPr>
                <w:rFonts w:eastAsiaTheme="minorEastAsia"/>
                <w:bCs/>
                <w:color w:val="000000"/>
              </w:rPr>
            </w:pPr>
            <w:r w:rsidRPr="00DE7F01">
              <w:rPr>
                <w:rFonts w:eastAsiaTheme="minorEastAsia"/>
                <w:bCs/>
                <w:color w:val="000000"/>
                <w:sz w:val="22"/>
              </w:rPr>
              <w:t>Sub-Saharan Africa</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85%</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12%</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3%</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0%</w:t>
            </w:r>
          </w:p>
        </w:tc>
      </w:tr>
      <w:tr w:rsidR="00972987" w:rsidRPr="007B268A">
        <w:trPr>
          <w:trHeight w:val="290"/>
        </w:trPr>
        <w:tc>
          <w:tcPr>
            <w:tcW w:w="3450" w:type="dxa"/>
          </w:tcPr>
          <w:p w:rsidR="00972987" w:rsidRPr="00DE7F01" w:rsidRDefault="00972987" w:rsidP="0043092C">
            <w:pPr>
              <w:keepNext/>
              <w:autoSpaceDE w:val="0"/>
              <w:autoSpaceDN w:val="0"/>
              <w:adjustRightInd w:val="0"/>
              <w:rPr>
                <w:rFonts w:eastAsiaTheme="minorEastAsia"/>
                <w:bCs/>
                <w:color w:val="000000"/>
              </w:rPr>
            </w:pPr>
            <w:r w:rsidRPr="00DE7F01">
              <w:rPr>
                <w:rFonts w:eastAsiaTheme="minorEastAsia"/>
                <w:bCs/>
                <w:color w:val="000000"/>
                <w:sz w:val="22"/>
              </w:rPr>
              <w:t>High-income countries</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38%</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54%</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7%</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1%</w:t>
            </w:r>
          </w:p>
        </w:tc>
      </w:tr>
      <w:tr w:rsidR="00972987" w:rsidRPr="007B268A">
        <w:trPr>
          <w:trHeight w:val="290"/>
        </w:trPr>
        <w:tc>
          <w:tcPr>
            <w:tcW w:w="9570" w:type="dxa"/>
            <w:gridSpan w:val="5"/>
            <w:shd w:val="clear" w:color="969696" w:fill="D9D9D9" w:themeFill="background1" w:themeFillShade="D9"/>
            <w:vAlign w:val="center"/>
          </w:tcPr>
          <w:p w:rsidR="00972987" w:rsidRPr="00DE7F01" w:rsidRDefault="00972987" w:rsidP="0043092C">
            <w:pPr>
              <w:keepNext/>
              <w:autoSpaceDE w:val="0"/>
              <w:autoSpaceDN w:val="0"/>
              <w:adjustRightInd w:val="0"/>
              <w:jc w:val="center"/>
              <w:rPr>
                <w:rFonts w:eastAsiaTheme="minorEastAsia"/>
                <w:color w:val="000000"/>
              </w:rPr>
            </w:pPr>
          </w:p>
        </w:tc>
      </w:tr>
      <w:tr w:rsidR="00972987" w:rsidRPr="007B268A">
        <w:trPr>
          <w:trHeight w:val="305"/>
        </w:trPr>
        <w:tc>
          <w:tcPr>
            <w:tcW w:w="3450" w:type="dxa"/>
          </w:tcPr>
          <w:p w:rsidR="00972987" w:rsidRPr="00DE7F01" w:rsidRDefault="00972987" w:rsidP="0043092C">
            <w:pPr>
              <w:keepNext/>
              <w:autoSpaceDE w:val="0"/>
              <w:autoSpaceDN w:val="0"/>
              <w:adjustRightInd w:val="0"/>
              <w:rPr>
                <w:rFonts w:eastAsiaTheme="minorEastAsia"/>
                <w:bCs/>
                <w:color w:val="000000"/>
              </w:rPr>
            </w:pPr>
            <w:r w:rsidRPr="00DE7F01">
              <w:rPr>
                <w:rFonts w:eastAsiaTheme="minorEastAsia"/>
                <w:bCs/>
                <w:color w:val="000000"/>
                <w:sz w:val="22"/>
              </w:rPr>
              <w:t>World</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68%</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24%</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6%</w:t>
            </w:r>
          </w:p>
        </w:tc>
        <w:tc>
          <w:tcPr>
            <w:tcW w:w="1530" w:type="dxa"/>
            <w:vAlign w:val="center"/>
          </w:tcPr>
          <w:p w:rsidR="00972987" w:rsidRPr="00DE7F01" w:rsidRDefault="00972987" w:rsidP="0043092C">
            <w:pPr>
              <w:autoSpaceDE w:val="0"/>
              <w:autoSpaceDN w:val="0"/>
              <w:adjustRightInd w:val="0"/>
              <w:jc w:val="center"/>
              <w:rPr>
                <w:rFonts w:eastAsiaTheme="minorEastAsia"/>
                <w:color w:val="000000"/>
              </w:rPr>
            </w:pPr>
            <w:r w:rsidRPr="00DE7F01">
              <w:rPr>
                <w:color w:val="000000"/>
                <w:sz w:val="22"/>
              </w:rPr>
              <w:t>1%</w:t>
            </w:r>
          </w:p>
        </w:tc>
      </w:tr>
      <w:tr w:rsidR="00972987" w:rsidRPr="007B268A">
        <w:trPr>
          <w:trHeight w:val="290"/>
        </w:trPr>
        <w:tc>
          <w:tcPr>
            <w:tcW w:w="9570" w:type="dxa"/>
            <w:gridSpan w:val="5"/>
            <w:vAlign w:val="center"/>
          </w:tcPr>
          <w:p w:rsidR="00972987" w:rsidRPr="00DE7F01" w:rsidRDefault="00972987" w:rsidP="0043092C">
            <w:pPr>
              <w:autoSpaceDE w:val="0"/>
              <w:autoSpaceDN w:val="0"/>
              <w:adjustRightInd w:val="0"/>
              <w:rPr>
                <w:rFonts w:eastAsiaTheme="minorEastAsia"/>
                <w:color w:val="000000"/>
              </w:rPr>
            </w:pPr>
            <w:r w:rsidRPr="00DE7F01">
              <w:rPr>
                <w:rFonts w:eastAsiaTheme="minorEastAsia"/>
                <w:i/>
                <w:color w:val="000000"/>
                <w:sz w:val="22"/>
              </w:rPr>
              <w:t>Source</w:t>
            </w:r>
            <w:r w:rsidRPr="00DE7F01">
              <w:rPr>
                <w:rFonts w:eastAsiaTheme="minorEastAsia"/>
                <w:color w:val="000000"/>
                <w:sz w:val="22"/>
              </w:rPr>
              <w:t xml:space="preserve">: </w:t>
            </w:r>
            <w:r w:rsidRPr="00DE7F01">
              <w:rPr>
                <w:rFonts w:eastAsiaTheme="minorEastAsia"/>
                <w:i/>
                <w:color w:val="000000"/>
                <w:sz w:val="22"/>
              </w:rPr>
              <w:t>IFs v6.57 23 May 2012</w:t>
            </w:r>
          </w:p>
          <w:p w:rsidR="00972987" w:rsidRPr="00DE7F01" w:rsidRDefault="00972987" w:rsidP="0043092C">
            <w:pPr>
              <w:autoSpaceDE w:val="0"/>
              <w:autoSpaceDN w:val="0"/>
              <w:adjustRightInd w:val="0"/>
              <w:rPr>
                <w:rFonts w:eastAsiaTheme="minorEastAsia"/>
                <w:i/>
                <w:color w:val="000000"/>
              </w:rPr>
            </w:pPr>
            <w:r w:rsidRPr="00DE7F01">
              <w:rPr>
                <w:rFonts w:eastAsiaTheme="minorEastAsia"/>
                <w:i/>
                <w:color w:val="000000"/>
                <w:sz w:val="22"/>
              </w:rPr>
              <w:t xml:space="preserve">Note: These figures include the additional spending related to types of infrastructure that do not have targets, but also increase in the UTAF scenario due to the forward effects of achieving the targets. </w:t>
            </w:r>
          </w:p>
        </w:tc>
      </w:tr>
    </w:tbl>
    <w:p w:rsidR="00972987" w:rsidRPr="007B268A" w:rsidRDefault="00972987" w:rsidP="00972987"/>
    <w:p w:rsidR="00972987" w:rsidRPr="007B268A" w:rsidRDefault="00972987" w:rsidP="00972987">
      <w:r w:rsidRPr="007B268A">
        <w:t>Turning back to the original question, our $5.6 trillion estimate of the additional public funds at the global level that would be required to achieve the universal targets, above and beyond those spent in the Universal Targets scenario, is a conservative estimate because it does not include any of the redirected expenditures of the Universal Targets scenario, and we have emphasized that many countries could not afford the other costs of such diversion. To put even this $5.6 trillion in perspective, we estimate total ODA and FDI over the period 2010-2030 to be around 1.8 trillion dollars and a bit under 30 trillion dollars, respectively. Thus, ODA would need to quadruple over this period or FDI would need to increase by around 25 percent in order to meet the additional needs for public funding in order to achieve the universal targets.</w:t>
      </w:r>
    </w:p>
    <w:p w:rsidR="00972987" w:rsidRPr="007B268A" w:rsidRDefault="00972987" w:rsidP="00972987"/>
    <w:p w:rsidR="00972987" w:rsidRPr="007B268A" w:rsidRDefault="00972987" w:rsidP="00972987">
      <w:r w:rsidRPr="007B268A">
        <w:t xml:space="preserve">Of course, we should consider the benefits that this additional funding might bring. For example, what would the full additional $3 trillion dollars mean for sub-Saharan Africa (were external assistance to cover both the $335 billion of redirected infrastructure spending between the </w:t>
      </w:r>
      <w:r>
        <w:t>base case</w:t>
      </w:r>
      <w:r w:rsidRPr="007B268A">
        <w:t xml:space="preserve"> and the Universal Target pursuit scenario as well as the $2,6 trillion additional increment between that and the UTAF scenario)? Figure 6.9 shows that the region would see immediate benefits in terms of HDI, rather than a long period of waiting for the benefits of the additional infrastructure to outweigh the costs. Furthermore, the magnitude of the increased HDI compared to the </w:t>
      </w:r>
      <w:r>
        <w:t>base case</w:t>
      </w:r>
      <w:r w:rsidRPr="007B268A">
        <w:t xml:space="preserve"> would continue to far outpace that in the Universal Targets scenario without additional funds. Underlying this difference are, among other things, a 10 percent increase in average income and a nearly 30 percent reduction in the infant mortality rate in 2030 relative to the </w:t>
      </w:r>
      <w:r>
        <w:t>base case</w:t>
      </w:r>
      <w:r w:rsidRPr="007B268A">
        <w:t>.</w:t>
      </w:r>
    </w:p>
    <w:p w:rsidR="00972987" w:rsidRPr="007B268A" w:rsidRDefault="00972987" w:rsidP="00972987"/>
    <w:p w:rsidR="00972987" w:rsidRDefault="00972987" w:rsidP="00972987">
      <w:pPr>
        <w:jc w:val="center"/>
        <w:rPr>
          <w:b/>
        </w:rPr>
      </w:pPr>
      <w:r w:rsidRPr="008D3886">
        <w:rPr>
          <w:b/>
          <w:noProof/>
        </w:rPr>
        <w:drawing>
          <wp:inline distT="0" distB="0" distL="0" distR="0">
            <wp:extent cx="4775200" cy="3403600"/>
            <wp:effectExtent l="25400" t="25400" r="0" b="0"/>
            <wp:docPr id="352" name="C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972987" w:rsidRPr="007B268A" w:rsidRDefault="00972987" w:rsidP="00972987">
      <w:r w:rsidRPr="007B268A">
        <w:rPr>
          <w:b/>
        </w:rPr>
        <w:t xml:space="preserve">Figure 6.9 HDI relative to the </w:t>
      </w:r>
      <w:r>
        <w:rPr>
          <w:b/>
        </w:rPr>
        <w:t>Base case</w:t>
      </w:r>
      <w:r w:rsidRPr="007B268A">
        <w:rPr>
          <w:b/>
        </w:rPr>
        <w:t xml:space="preserve"> in the Universal Targets scenario and in a scenario with all necessary funds to meet universal targets, sub-Saharan Africa</w:t>
      </w:r>
    </w:p>
    <w:p w:rsidR="00972987" w:rsidRPr="007B268A" w:rsidRDefault="00972987" w:rsidP="00972987">
      <w:r w:rsidRPr="007B268A">
        <w:rPr>
          <w:i/>
        </w:rPr>
        <w:t>Source</w:t>
      </w:r>
      <w:r w:rsidRPr="007B268A">
        <w:t>: IFs v6.57 23 May 2012</w:t>
      </w:r>
    </w:p>
    <w:p w:rsidR="00972987" w:rsidRPr="007B268A" w:rsidRDefault="00972987" w:rsidP="00972987"/>
    <w:p w:rsidR="00972987" w:rsidRPr="007B268A" w:rsidRDefault="00972987" w:rsidP="00972987">
      <w:r w:rsidRPr="007B268A">
        <w:t>In spite of such theoretically possible benefits from attainment of universal access globally or in especially impacted regions such as sub-Saharan Africa, it is highly improbable that the prospects of the benefits will stimulate the additional ODA or FDI. Therefore, in the next section we ask if it might not make sense for the international community and individual countries to consider alternative targets.</w:t>
      </w:r>
    </w:p>
    <w:p w:rsidR="00972987" w:rsidRPr="007B268A" w:rsidRDefault="00972987" w:rsidP="00972987"/>
    <w:p w:rsidR="00972987" w:rsidRPr="007B268A" w:rsidRDefault="00972987" w:rsidP="00B67EF5">
      <w:pPr>
        <w:pStyle w:val="Heading2"/>
        <w:numPr>
          <w:ilvl w:val="0"/>
          <w:numId w:val="0"/>
        </w:numPr>
        <w:ind w:left="360" w:hanging="360"/>
      </w:pPr>
      <w:bookmarkStart w:id="187" w:name="_Toc325882429"/>
      <w:bookmarkStart w:id="188" w:name="_Toc199925078"/>
      <w:bookmarkStart w:id="189" w:name="_Toc200095334"/>
      <w:r w:rsidRPr="007B268A">
        <w:t>6.4 Alternatives to Universal Targets</w:t>
      </w:r>
      <w:bookmarkEnd w:id="187"/>
      <w:bookmarkEnd w:id="188"/>
      <w:bookmarkEnd w:id="189"/>
    </w:p>
    <w:p w:rsidR="00972987" w:rsidRPr="007B268A" w:rsidRDefault="00972987" w:rsidP="00972987">
      <w:r w:rsidRPr="007B268A">
        <w:t xml:space="preserve">The Universal Targets scenario shows that there can be significant net costs in the short-, and for some countries, the long-term in pursuing the extremely aggressive universal infrastructure-related targets being discussed at present. Furthermore, it is questionable if the additional assistance that would be required from other sources to allow all countries to meet these targets (the UTAF scenario) would manifest itself. What might be more reasonable alternatives if countries wish to move beyond the development of infrastructure seen in the </w:t>
      </w:r>
      <w:r>
        <w:t>base case</w:t>
      </w:r>
      <w:r w:rsidRPr="007B268A">
        <w:t>, but not necessarily aim for achieving universal access by 2030 in all forms of infrastructure?</w:t>
      </w:r>
    </w:p>
    <w:p w:rsidR="00972987" w:rsidRPr="007B268A" w:rsidRDefault="00B67EF5" w:rsidP="00B67EF5">
      <w:pPr>
        <w:pStyle w:val="Heading3"/>
        <w:numPr>
          <w:ilvl w:val="0"/>
          <w:numId w:val="0"/>
        </w:numPr>
      </w:pPr>
      <w:bookmarkStart w:id="190" w:name="_Toc325891573"/>
      <w:bookmarkStart w:id="191" w:name="_Toc325891760"/>
      <w:bookmarkStart w:id="192" w:name="_Toc325895852"/>
      <w:bookmarkStart w:id="193" w:name="_Toc325896008"/>
      <w:bookmarkStart w:id="194" w:name="_Toc325896348"/>
      <w:bookmarkStart w:id="195" w:name="_Toc325891574"/>
      <w:bookmarkStart w:id="196" w:name="_Toc325891761"/>
      <w:bookmarkStart w:id="197" w:name="_Toc325895853"/>
      <w:bookmarkStart w:id="198" w:name="_Toc325896009"/>
      <w:bookmarkStart w:id="199" w:name="_Toc325896349"/>
      <w:bookmarkStart w:id="200" w:name="_Toc199925079"/>
      <w:bookmarkStart w:id="201" w:name="_Toc200095335"/>
      <w:bookmarkStart w:id="202" w:name="_Toc313793775"/>
      <w:bookmarkStart w:id="203" w:name="_Toc287263528"/>
      <w:bookmarkStart w:id="204" w:name="_Toc287263551"/>
      <w:bookmarkEnd w:id="190"/>
      <w:bookmarkEnd w:id="191"/>
      <w:bookmarkEnd w:id="192"/>
      <w:bookmarkEnd w:id="193"/>
      <w:bookmarkEnd w:id="194"/>
      <w:bookmarkEnd w:id="195"/>
      <w:bookmarkEnd w:id="196"/>
      <w:bookmarkEnd w:id="197"/>
      <w:bookmarkEnd w:id="198"/>
      <w:bookmarkEnd w:id="199"/>
      <w:r>
        <w:t>6.4.1</w:t>
      </w:r>
      <w:r>
        <w:tab/>
      </w:r>
      <w:r w:rsidR="00972987" w:rsidRPr="007B268A">
        <w:t>Defining alternative targets</w:t>
      </w:r>
      <w:bookmarkEnd w:id="200"/>
      <w:bookmarkEnd w:id="201"/>
      <w:r w:rsidR="00972987" w:rsidRPr="007B268A">
        <w:t xml:space="preserve"> </w:t>
      </w:r>
      <w:bookmarkEnd w:id="202"/>
    </w:p>
    <w:p w:rsidR="00972987" w:rsidRPr="007B268A" w:rsidRDefault="00972987" w:rsidP="00972987">
      <w:r w:rsidRPr="007B268A">
        <w:t>There are a number of possible ways in which the international community and countries could tailor infrastructure targets to better suit the needs of individual countries, including those as different as Brazil and Chad. Any of these would involve some combination of the following:</w:t>
      </w:r>
    </w:p>
    <w:p w:rsidR="00972987" w:rsidRPr="007B268A" w:rsidRDefault="00972987" w:rsidP="00972987"/>
    <w:p w:rsidR="00972987" w:rsidRPr="007B268A" w:rsidRDefault="00972987" w:rsidP="00972987">
      <w:pPr>
        <w:pStyle w:val="ListParagraph"/>
        <w:numPr>
          <w:ilvl w:val="0"/>
          <w:numId w:val="27"/>
        </w:numPr>
      </w:pPr>
      <w:r w:rsidRPr="007B268A">
        <w:t>Adjusting the target date</w:t>
      </w:r>
    </w:p>
    <w:p w:rsidR="00972987" w:rsidRPr="007B268A" w:rsidRDefault="00972987" w:rsidP="00972987">
      <w:pPr>
        <w:pStyle w:val="ListParagraph"/>
        <w:numPr>
          <w:ilvl w:val="0"/>
          <w:numId w:val="27"/>
        </w:numPr>
      </w:pPr>
      <w:r w:rsidRPr="007B268A">
        <w:t>Adjusting the targeted level of access</w:t>
      </w:r>
    </w:p>
    <w:p w:rsidR="00972987" w:rsidRPr="007B268A" w:rsidRDefault="00972987" w:rsidP="00972987">
      <w:pPr>
        <w:pStyle w:val="ListParagraph"/>
        <w:numPr>
          <w:ilvl w:val="0"/>
          <w:numId w:val="27"/>
        </w:numPr>
      </w:pPr>
      <w:r w:rsidRPr="007B268A">
        <w:t>Prioritizing different categories of infrastructure</w:t>
      </w:r>
    </w:p>
    <w:p w:rsidR="00972987" w:rsidRPr="007B268A" w:rsidRDefault="00972987" w:rsidP="00972987"/>
    <w:p w:rsidR="00972987" w:rsidRPr="007B268A" w:rsidRDefault="00972987" w:rsidP="00972987">
      <w:r w:rsidRPr="007B268A">
        <w:t>With IFs, we can explore a range of scenarios built using these different possibilities. Box 6.2 describes one approach we use for adjusting the targeted level of access, which takes into account a country’s general level of development.</w:t>
      </w:r>
    </w:p>
    <w:p w:rsidR="00972987" w:rsidRPr="007B268A" w:rsidRDefault="00972987" w:rsidP="00972987"/>
    <w:p w:rsidR="00972987" w:rsidRPr="007B268A" w:rsidRDefault="00972987" w:rsidP="00972987">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7B268A">
        <w:rPr>
          <w:b/>
        </w:rPr>
        <w:t>Box 6.2 Adjusting targeted levels of access taking into account countries’ general level of development</w:t>
      </w:r>
    </w:p>
    <w:p w:rsidR="00972987" w:rsidRPr="007B268A" w:rsidRDefault="00972987" w:rsidP="00972987">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7B268A">
        <w:t>The historical levels of infrastructure and infrastructure access in a country are highly, but not completely, correlated with other indicators of development. In Chapter 4, we described the derivation of the equations we use to forecast future levels of infrastructure and access, highlighting the key driving variables, e.g., average income, in each case. The actual historical performance for individual countries varies around the expected value given the historical levels of the driving variables, with some countries performing better and some worse. One measure of this cross-country variation is the standard error of the regression line used to specify the forecasting equation.</w:t>
      </w:r>
    </w:p>
    <w:p w:rsidR="00972987" w:rsidRPr="007B268A" w:rsidRDefault="00972987" w:rsidP="00972987">
      <w:pPr>
        <w:pBdr>
          <w:top w:val="single" w:sz="4" w:space="1" w:color="auto"/>
          <w:left w:val="single" w:sz="4" w:space="4" w:color="auto"/>
          <w:bottom w:val="single" w:sz="4" w:space="1" w:color="auto"/>
          <w:right w:val="single" w:sz="4" w:space="4" w:color="auto"/>
        </w:pBdr>
        <w:shd w:val="clear" w:color="auto" w:fill="D9D9D9" w:themeFill="background1" w:themeFillShade="D9"/>
      </w:pPr>
    </w:p>
    <w:p w:rsidR="00972987" w:rsidRPr="007B268A" w:rsidRDefault="00972987" w:rsidP="00972987">
      <w:pPr>
        <w:pBdr>
          <w:top w:val="single" w:sz="4" w:space="1" w:color="auto"/>
          <w:left w:val="single" w:sz="4" w:space="4" w:color="auto"/>
          <w:bottom w:val="single" w:sz="4" w:space="1" w:color="auto"/>
          <w:right w:val="single" w:sz="4" w:space="4" w:color="auto"/>
        </w:pBdr>
        <w:shd w:val="clear" w:color="auto" w:fill="D9D9D9" w:themeFill="background1" w:themeFillShade="D9"/>
      </w:pPr>
      <w:r w:rsidRPr="007B268A">
        <w:t xml:space="preserve">We can interpret positive deviations, i.e., cases where countries perform better than would be expected given the level of their driving variables, as indications of better than average practices in these countries, and vice versa for negative deviations. In our </w:t>
      </w:r>
      <w:r>
        <w:t>base case</w:t>
      </w:r>
      <w:r w:rsidRPr="007B268A">
        <w:t>, we generally assume that these unexplained deviations gradually fade away over time.</w:t>
      </w:r>
      <w:r w:rsidRPr="007B268A">
        <w:rPr>
          <w:rStyle w:val="FootnoteReference"/>
        </w:rPr>
        <w:footnoteReference w:id="102"/>
      </w:r>
      <w:r w:rsidRPr="007B268A">
        <w:t xml:space="preserve"> In IFs, we can modify both the rate at which these deviations converge, as well as the level to which they converge. In this chapter, we include two such scenarios—one in which all countries strive to have levels of infrastructure access that are at least as high as expected given their level of development, and one in which they try to improve access to a level that is at least one standard error above expected (this level relative to a function is roughly comparable to one standard deviation relative to a mean).</w:t>
      </w:r>
    </w:p>
    <w:p w:rsidR="00972987" w:rsidRPr="007B268A" w:rsidRDefault="00972987" w:rsidP="00972987"/>
    <w:p w:rsidR="00972987" w:rsidRPr="007B268A" w:rsidRDefault="00972987" w:rsidP="00972987">
      <w:r w:rsidRPr="007B268A">
        <w:t>With 183 countries, multiple types of infrastructure, and a 50-year time horizon, there is an almost infinite range of scenarios we could explore. In order to simplify matters, we have chosen to focus on the set described in Table 6.9. The first four focus on specific categories of infrastructure; the All 2050 scenario extends the time period for achieving the universal targets; and the final two scenarios (Meet Expectations and High Performers) base the targeted levels of access on country’s general level of development (see again Box 6.2). Other than in the latter two scenarios the targets, as in the Universal Targets scenario, do not differentiate among countries based on starting conditions. The results from exploring these earlier scenarios, however, can be used as a basis for detailed country analyses.</w:t>
      </w:r>
    </w:p>
    <w:p w:rsidR="00972987" w:rsidRPr="007B268A" w:rsidRDefault="00972987" w:rsidP="00972987"/>
    <w:p w:rsidR="00972987" w:rsidRPr="007B268A" w:rsidRDefault="00972987" w:rsidP="00972987">
      <w:r w:rsidRPr="007B268A">
        <w:t xml:space="preserve">As with the pursuit of the full set of universal targets, these alternatives demand additional investment in infrastructure over that in the </w:t>
      </w:r>
      <w:r>
        <w:t>base case</w:t>
      </w:r>
      <w:r w:rsidRPr="007B268A">
        <w:t xml:space="preserve"> in many countries, which must balance this desire against other demands on the resources available to them. Thus, the actual amount of infrastructure forecasted will reflect any fiscal constraints. Because in most cases, the targets are less aspirational than those explored in the Universal Targets scenario</w:t>
      </w:r>
      <w:r>
        <w:t>,</w:t>
      </w:r>
      <w:r w:rsidRPr="007B268A">
        <w:rPr>
          <w:rStyle w:val="FootnoteReference"/>
        </w:rPr>
        <w:footnoteReference w:id="103"/>
      </w:r>
      <w:r w:rsidRPr="007B268A">
        <w:t xml:space="preserve"> we expect that fewer countries will suffer the types of short- and long-term tradeoffs we saw in the Universal Targets scenario. Given the dynamic and integrated nature of the interactions captured in the model, however, this remains an empirical question to be answered.</w:t>
      </w:r>
    </w:p>
    <w:p w:rsidR="00972987" w:rsidRPr="007B268A" w:rsidRDefault="00972987" w:rsidP="00972987"/>
    <w:tbl>
      <w:tblPr>
        <w:tblStyle w:val="TableGrid"/>
        <w:tblW w:w="0" w:type="auto"/>
        <w:tblLook w:val="04A0"/>
      </w:tblPr>
      <w:tblGrid>
        <w:gridCol w:w="2147"/>
        <w:gridCol w:w="2996"/>
        <w:gridCol w:w="1719"/>
        <w:gridCol w:w="2394"/>
      </w:tblGrid>
      <w:tr w:rsidR="00972987" w:rsidRPr="007B268A">
        <w:tc>
          <w:tcPr>
            <w:tcW w:w="9256" w:type="dxa"/>
            <w:gridSpan w:val="4"/>
          </w:tcPr>
          <w:p w:rsidR="00972987" w:rsidRPr="007B268A" w:rsidRDefault="00972987" w:rsidP="0043092C">
            <w:pPr>
              <w:rPr>
                <w:b/>
              </w:rPr>
            </w:pPr>
            <w:r w:rsidRPr="007B268A">
              <w:rPr>
                <w:b/>
              </w:rPr>
              <w:t>Table 6.9 Alternative scenarios and associated targets</w:t>
            </w:r>
          </w:p>
        </w:tc>
      </w:tr>
      <w:tr w:rsidR="00972987" w:rsidRPr="007B268A">
        <w:tc>
          <w:tcPr>
            <w:tcW w:w="2147" w:type="dxa"/>
            <w:vAlign w:val="center"/>
          </w:tcPr>
          <w:p w:rsidR="00972987" w:rsidRPr="00DE7F01" w:rsidRDefault="00972987" w:rsidP="0043092C">
            <w:r w:rsidRPr="00DE7F01">
              <w:t>Scenario name</w:t>
            </w:r>
          </w:p>
        </w:tc>
        <w:tc>
          <w:tcPr>
            <w:tcW w:w="2996" w:type="dxa"/>
            <w:vAlign w:val="center"/>
          </w:tcPr>
          <w:p w:rsidR="00972987" w:rsidRPr="00DE7F01" w:rsidRDefault="00972987" w:rsidP="0043092C">
            <w:pPr>
              <w:jc w:val="center"/>
            </w:pPr>
            <w:r w:rsidRPr="00DE7F01">
              <w:t>Infrastructure targeted</w:t>
            </w:r>
          </w:p>
        </w:tc>
        <w:tc>
          <w:tcPr>
            <w:tcW w:w="1719" w:type="dxa"/>
            <w:vAlign w:val="center"/>
          </w:tcPr>
          <w:p w:rsidR="00972987" w:rsidRPr="00DE7F01" w:rsidRDefault="00972987" w:rsidP="0043092C">
            <w:pPr>
              <w:jc w:val="center"/>
            </w:pPr>
            <w:r w:rsidRPr="00DE7F01">
              <w:t>Year of target</w:t>
            </w:r>
          </w:p>
        </w:tc>
        <w:tc>
          <w:tcPr>
            <w:tcW w:w="2394" w:type="dxa"/>
            <w:vAlign w:val="center"/>
          </w:tcPr>
          <w:p w:rsidR="00972987" w:rsidRPr="00DE7F01" w:rsidRDefault="00972987" w:rsidP="0043092C">
            <w:pPr>
              <w:jc w:val="center"/>
            </w:pPr>
            <w:r w:rsidRPr="00DE7F01">
              <w:t>Level of target</w:t>
            </w:r>
          </w:p>
        </w:tc>
      </w:tr>
      <w:tr w:rsidR="00972987" w:rsidRPr="007B268A">
        <w:tc>
          <w:tcPr>
            <w:tcW w:w="2147" w:type="dxa"/>
            <w:vAlign w:val="center"/>
          </w:tcPr>
          <w:p w:rsidR="00972987" w:rsidRPr="007B268A" w:rsidRDefault="00972987" w:rsidP="0043092C">
            <w:r w:rsidRPr="007B268A">
              <w:t>Roads Only</w:t>
            </w:r>
          </w:p>
        </w:tc>
        <w:tc>
          <w:tcPr>
            <w:tcW w:w="2996" w:type="dxa"/>
            <w:vAlign w:val="center"/>
          </w:tcPr>
          <w:p w:rsidR="00972987" w:rsidRPr="007B268A" w:rsidRDefault="00972987" w:rsidP="0043092C">
            <w:pPr>
              <w:jc w:val="center"/>
            </w:pPr>
            <w:r>
              <w:t>R</w:t>
            </w:r>
            <w:r w:rsidRPr="007B268A">
              <w:t>oad access</w:t>
            </w:r>
          </w:p>
        </w:tc>
        <w:tc>
          <w:tcPr>
            <w:tcW w:w="1719" w:type="dxa"/>
            <w:vAlign w:val="center"/>
          </w:tcPr>
          <w:p w:rsidR="00972987" w:rsidRPr="007B268A" w:rsidRDefault="00972987" w:rsidP="0043092C">
            <w:pPr>
              <w:jc w:val="center"/>
            </w:pPr>
            <w:r w:rsidRPr="007B268A">
              <w:t>2030</w:t>
            </w:r>
          </w:p>
        </w:tc>
        <w:tc>
          <w:tcPr>
            <w:tcW w:w="2394" w:type="dxa"/>
            <w:vAlign w:val="center"/>
          </w:tcPr>
          <w:p w:rsidR="00972987" w:rsidRPr="007B268A" w:rsidRDefault="00972987" w:rsidP="0043092C">
            <w:pPr>
              <w:jc w:val="center"/>
            </w:pPr>
            <w:r w:rsidRPr="007B268A">
              <w:t>100%</w:t>
            </w:r>
          </w:p>
        </w:tc>
      </w:tr>
      <w:tr w:rsidR="00972987" w:rsidRPr="007B268A">
        <w:tc>
          <w:tcPr>
            <w:tcW w:w="2147" w:type="dxa"/>
            <w:vAlign w:val="center"/>
          </w:tcPr>
          <w:p w:rsidR="00972987" w:rsidRPr="007B268A" w:rsidRDefault="00972987" w:rsidP="0043092C">
            <w:r w:rsidRPr="007B268A">
              <w:t>Energy Only</w:t>
            </w:r>
          </w:p>
        </w:tc>
        <w:tc>
          <w:tcPr>
            <w:tcW w:w="2996" w:type="dxa"/>
            <w:vAlign w:val="center"/>
          </w:tcPr>
          <w:p w:rsidR="00972987" w:rsidRPr="007B268A" w:rsidRDefault="00972987" w:rsidP="0043092C">
            <w:pPr>
              <w:jc w:val="center"/>
            </w:pPr>
            <w:r>
              <w:t>E</w:t>
            </w:r>
            <w:r w:rsidRPr="007B268A">
              <w:t>lectricity access*</w:t>
            </w:r>
          </w:p>
        </w:tc>
        <w:tc>
          <w:tcPr>
            <w:tcW w:w="1719" w:type="dxa"/>
            <w:vAlign w:val="center"/>
          </w:tcPr>
          <w:p w:rsidR="00972987" w:rsidRPr="007B268A" w:rsidRDefault="00972987" w:rsidP="0043092C">
            <w:pPr>
              <w:jc w:val="center"/>
            </w:pPr>
            <w:r w:rsidRPr="007B268A">
              <w:t>2030</w:t>
            </w:r>
          </w:p>
        </w:tc>
        <w:tc>
          <w:tcPr>
            <w:tcW w:w="2394" w:type="dxa"/>
            <w:vAlign w:val="center"/>
          </w:tcPr>
          <w:p w:rsidR="00972987" w:rsidRPr="007B268A" w:rsidRDefault="00972987" w:rsidP="0043092C">
            <w:pPr>
              <w:jc w:val="center"/>
            </w:pPr>
            <w:r w:rsidRPr="007B268A">
              <w:t>100%</w:t>
            </w:r>
          </w:p>
        </w:tc>
      </w:tr>
      <w:tr w:rsidR="00972987" w:rsidRPr="007B268A">
        <w:tc>
          <w:tcPr>
            <w:tcW w:w="2147" w:type="dxa"/>
            <w:vAlign w:val="center"/>
          </w:tcPr>
          <w:p w:rsidR="00972987" w:rsidRPr="007B268A" w:rsidRDefault="00972987" w:rsidP="0043092C">
            <w:r w:rsidRPr="007B268A">
              <w:t>Water and Sanitation Only</w:t>
            </w:r>
          </w:p>
        </w:tc>
        <w:tc>
          <w:tcPr>
            <w:tcW w:w="2996" w:type="dxa"/>
            <w:vAlign w:val="center"/>
          </w:tcPr>
          <w:p w:rsidR="00972987" w:rsidRPr="007B268A" w:rsidRDefault="00972987" w:rsidP="0043092C">
            <w:pPr>
              <w:jc w:val="center"/>
            </w:pPr>
            <w:r>
              <w:t>I</w:t>
            </w:r>
            <w:r w:rsidRPr="007B268A">
              <w:t>mproved water and sanitation</w:t>
            </w:r>
          </w:p>
        </w:tc>
        <w:tc>
          <w:tcPr>
            <w:tcW w:w="1719" w:type="dxa"/>
            <w:vAlign w:val="center"/>
          </w:tcPr>
          <w:p w:rsidR="00972987" w:rsidRPr="007B268A" w:rsidRDefault="00972987" w:rsidP="0043092C">
            <w:pPr>
              <w:jc w:val="center"/>
            </w:pPr>
            <w:r w:rsidRPr="007B268A">
              <w:t>2030</w:t>
            </w:r>
          </w:p>
        </w:tc>
        <w:tc>
          <w:tcPr>
            <w:tcW w:w="2394" w:type="dxa"/>
            <w:vAlign w:val="center"/>
          </w:tcPr>
          <w:p w:rsidR="00972987" w:rsidRPr="007B268A" w:rsidRDefault="00972987" w:rsidP="0043092C">
            <w:pPr>
              <w:jc w:val="center"/>
            </w:pPr>
            <w:r w:rsidRPr="007B268A">
              <w:t>100%</w:t>
            </w:r>
          </w:p>
        </w:tc>
      </w:tr>
      <w:tr w:rsidR="00972987" w:rsidRPr="007B268A">
        <w:tc>
          <w:tcPr>
            <w:tcW w:w="2147" w:type="dxa"/>
            <w:vAlign w:val="center"/>
          </w:tcPr>
          <w:p w:rsidR="00972987" w:rsidRPr="007B268A" w:rsidRDefault="00972987" w:rsidP="0043092C">
            <w:r w:rsidRPr="007B268A">
              <w:t>ICT Only</w:t>
            </w:r>
          </w:p>
        </w:tc>
        <w:tc>
          <w:tcPr>
            <w:tcW w:w="2996" w:type="dxa"/>
            <w:vAlign w:val="center"/>
          </w:tcPr>
          <w:p w:rsidR="00972987" w:rsidRPr="007B268A" w:rsidRDefault="00972987" w:rsidP="0043092C">
            <w:pPr>
              <w:jc w:val="center"/>
            </w:pPr>
            <w:r>
              <w:t>M</w:t>
            </w:r>
            <w:r w:rsidRPr="007B268A">
              <w:t>obile broadband</w:t>
            </w:r>
          </w:p>
        </w:tc>
        <w:tc>
          <w:tcPr>
            <w:tcW w:w="1719" w:type="dxa"/>
            <w:vAlign w:val="center"/>
          </w:tcPr>
          <w:p w:rsidR="00972987" w:rsidRPr="007B268A" w:rsidRDefault="00972987" w:rsidP="0043092C">
            <w:pPr>
              <w:jc w:val="center"/>
            </w:pPr>
            <w:r w:rsidRPr="007B268A">
              <w:t>2030</w:t>
            </w:r>
          </w:p>
        </w:tc>
        <w:tc>
          <w:tcPr>
            <w:tcW w:w="2394" w:type="dxa"/>
            <w:vAlign w:val="center"/>
          </w:tcPr>
          <w:p w:rsidR="00972987" w:rsidRPr="007B268A" w:rsidRDefault="00972987" w:rsidP="0043092C">
            <w:pPr>
              <w:jc w:val="center"/>
            </w:pPr>
            <w:r w:rsidRPr="007B268A">
              <w:t>100%</w:t>
            </w:r>
          </w:p>
        </w:tc>
      </w:tr>
      <w:tr w:rsidR="00972987" w:rsidRPr="007B268A">
        <w:tc>
          <w:tcPr>
            <w:tcW w:w="2147" w:type="dxa"/>
            <w:vAlign w:val="center"/>
          </w:tcPr>
          <w:p w:rsidR="00972987" w:rsidRPr="007B268A" w:rsidRDefault="00972987" w:rsidP="0043092C">
            <w:r w:rsidRPr="007B268A">
              <w:t>All 2050</w:t>
            </w:r>
          </w:p>
        </w:tc>
        <w:tc>
          <w:tcPr>
            <w:tcW w:w="2996" w:type="dxa"/>
            <w:vAlign w:val="center"/>
          </w:tcPr>
          <w:p w:rsidR="00972987" w:rsidRPr="007B268A" w:rsidRDefault="00972987" w:rsidP="0043092C">
            <w:pPr>
              <w:jc w:val="center"/>
            </w:pPr>
            <w:r>
              <w:t>A</w:t>
            </w:r>
            <w:r w:rsidRPr="007B268A">
              <w:t>ll</w:t>
            </w:r>
          </w:p>
        </w:tc>
        <w:tc>
          <w:tcPr>
            <w:tcW w:w="1719" w:type="dxa"/>
            <w:vAlign w:val="center"/>
          </w:tcPr>
          <w:p w:rsidR="00972987" w:rsidRPr="007B268A" w:rsidRDefault="00972987" w:rsidP="0043092C">
            <w:pPr>
              <w:jc w:val="center"/>
            </w:pPr>
            <w:r w:rsidRPr="007B268A">
              <w:t>2050</w:t>
            </w:r>
          </w:p>
        </w:tc>
        <w:tc>
          <w:tcPr>
            <w:tcW w:w="2394" w:type="dxa"/>
            <w:vAlign w:val="center"/>
          </w:tcPr>
          <w:p w:rsidR="00972987" w:rsidRPr="007B268A" w:rsidRDefault="00972987" w:rsidP="0043092C">
            <w:pPr>
              <w:jc w:val="center"/>
            </w:pPr>
            <w:r w:rsidRPr="007B268A">
              <w:t>100%</w:t>
            </w:r>
          </w:p>
        </w:tc>
      </w:tr>
      <w:tr w:rsidR="00972987" w:rsidRPr="007B268A">
        <w:tc>
          <w:tcPr>
            <w:tcW w:w="2147" w:type="dxa"/>
            <w:vAlign w:val="center"/>
          </w:tcPr>
          <w:p w:rsidR="00972987" w:rsidRPr="007B268A" w:rsidRDefault="00972987" w:rsidP="0043092C">
            <w:r w:rsidRPr="007B268A">
              <w:t>Meet expectations</w:t>
            </w:r>
          </w:p>
        </w:tc>
        <w:tc>
          <w:tcPr>
            <w:tcW w:w="2996" w:type="dxa"/>
            <w:vAlign w:val="center"/>
          </w:tcPr>
          <w:p w:rsidR="00972987" w:rsidRPr="007B268A" w:rsidRDefault="00972987" w:rsidP="0043092C">
            <w:pPr>
              <w:jc w:val="center"/>
            </w:pPr>
            <w:r>
              <w:t>A</w:t>
            </w:r>
            <w:r w:rsidRPr="007B268A">
              <w:t>ll</w:t>
            </w:r>
          </w:p>
        </w:tc>
        <w:tc>
          <w:tcPr>
            <w:tcW w:w="1719" w:type="dxa"/>
            <w:vAlign w:val="center"/>
          </w:tcPr>
          <w:p w:rsidR="00972987" w:rsidRPr="007B268A" w:rsidRDefault="00972987" w:rsidP="0043092C">
            <w:pPr>
              <w:jc w:val="center"/>
            </w:pPr>
            <w:r w:rsidRPr="007B268A">
              <w:t>2030</w:t>
            </w:r>
          </w:p>
        </w:tc>
        <w:tc>
          <w:tcPr>
            <w:tcW w:w="2394" w:type="dxa"/>
            <w:vAlign w:val="center"/>
          </w:tcPr>
          <w:p w:rsidR="00972987" w:rsidRPr="007B268A" w:rsidRDefault="00972987" w:rsidP="0043092C">
            <w:pPr>
              <w:jc w:val="center"/>
            </w:pPr>
            <w:r>
              <w:t>E</w:t>
            </w:r>
            <w:r w:rsidRPr="007B268A">
              <w:t>xpected level given general level of development</w:t>
            </w:r>
          </w:p>
        </w:tc>
      </w:tr>
      <w:tr w:rsidR="00972987" w:rsidRPr="007B268A">
        <w:tc>
          <w:tcPr>
            <w:tcW w:w="2147" w:type="dxa"/>
            <w:vAlign w:val="center"/>
          </w:tcPr>
          <w:p w:rsidR="00972987" w:rsidRPr="007B268A" w:rsidRDefault="00972987" w:rsidP="0043092C">
            <w:r w:rsidRPr="007B268A">
              <w:t>High performers</w:t>
            </w:r>
          </w:p>
        </w:tc>
        <w:tc>
          <w:tcPr>
            <w:tcW w:w="2996" w:type="dxa"/>
            <w:vAlign w:val="center"/>
          </w:tcPr>
          <w:p w:rsidR="00972987" w:rsidRPr="007B268A" w:rsidRDefault="00972987" w:rsidP="0043092C">
            <w:pPr>
              <w:jc w:val="center"/>
            </w:pPr>
            <w:r>
              <w:t>A</w:t>
            </w:r>
            <w:r w:rsidRPr="007B268A">
              <w:t>ll</w:t>
            </w:r>
          </w:p>
        </w:tc>
        <w:tc>
          <w:tcPr>
            <w:tcW w:w="1719" w:type="dxa"/>
            <w:vAlign w:val="center"/>
          </w:tcPr>
          <w:p w:rsidR="00972987" w:rsidRPr="007B268A" w:rsidRDefault="00972987" w:rsidP="0043092C">
            <w:pPr>
              <w:jc w:val="center"/>
            </w:pPr>
            <w:r w:rsidRPr="007B268A">
              <w:t>2030</w:t>
            </w:r>
          </w:p>
        </w:tc>
        <w:tc>
          <w:tcPr>
            <w:tcW w:w="2394" w:type="dxa"/>
            <w:vAlign w:val="center"/>
          </w:tcPr>
          <w:p w:rsidR="00972987" w:rsidRPr="007B268A" w:rsidRDefault="00972987" w:rsidP="0043092C">
            <w:pPr>
              <w:jc w:val="center"/>
            </w:pPr>
            <w:r>
              <w:t>O</w:t>
            </w:r>
            <w:r w:rsidRPr="007B268A">
              <w:t>ne standard error above expected level given general level of development</w:t>
            </w:r>
          </w:p>
        </w:tc>
      </w:tr>
      <w:tr w:rsidR="00972987" w:rsidRPr="007B268A">
        <w:tc>
          <w:tcPr>
            <w:tcW w:w="9256" w:type="dxa"/>
            <w:gridSpan w:val="4"/>
          </w:tcPr>
          <w:p w:rsidR="00972987" w:rsidRPr="007B268A" w:rsidRDefault="00972987" w:rsidP="0043092C">
            <w:pPr>
              <w:rPr>
                <w:i/>
              </w:rPr>
            </w:pPr>
            <w:r w:rsidRPr="007B268A">
              <w:rPr>
                <w:i/>
              </w:rPr>
              <w:t>* Targets for electricity access also include targets for reducing the use of solid fuels as the primary source of heating and cooking in the home.</w:t>
            </w:r>
          </w:p>
        </w:tc>
      </w:tr>
    </w:tbl>
    <w:p w:rsidR="00972987" w:rsidRPr="007B268A" w:rsidRDefault="00972987" w:rsidP="00972987">
      <w:pPr>
        <w:rPr>
          <w:i/>
        </w:rPr>
      </w:pPr>
    </w:p>
    <w:p w:rsidR="00972987" w:rsidRPr="007B268A" w:rsidRDefault="00972987" w:rsidP="00763BA1">
      <w:pPr>
        <w:pStyle w:val="Heading3"/>
        <w:numPr>
          <w:ilvl w:val="0"/>
          <w:numId w:val="0"/>
        </w:numPr>
      </w:pPr>
      <w:bookmarkStart w:id="205" w:name="_Toc199925080"/>
      <w:bookmarkStart w:id="206" w:name="_Toc200095336"/>
      <w:r w:rsidRPr="007B268A">
        <w:t xml:space="preserve">6.4.2 </w:t>
      </w:r>
      <w:r>
        <w:tab/>
      </w:r>
      <w:r w:rsidRPr="007B268A">
        <w:t>Comparing the alternatives</w:t>
      </w:r>
      <w:bookmarkEnd w:id="205"/>
      <w:bookmarkEnd w:id="206"/>
    </w:p>
    <w:p w:rsidR="00972987" w:rsidRPr="007B268A" w:rsidRDefault="00972987" w:rsidP="00972987">
      <w:r w:rsidRPr="007B268A">
        <w:t xml:space="preserve">We use two different metrics for comparing the potential preferences of countries for the different scenarios. The first is the ratio of the incremental GDP to the incremental spending on infrastructure, as shown earlier in Table 6.4 for analysis of Universal Targets. As there, both the GDP and the spending are cumulative and use a discount rate of 3 percent. The second metric is the United Nations Development Programme’s Human Development Index (HDI). These are obviously only two of a large number of possible metrics that could be used. We also include the </w:t>
      </w:r>
      <w:r>
        <w:t>base case</w:t>
      </w:r>
      <w:r w:rsidRPr="007B268A">
        <w:t xml:space="preserve"> and the Universal Targets scenario in our comparisons.</w:t>
      </w:r>
    </w:p>
    <w:p w:rsidR="00972987" w:rsidRPr="007B268A" w:rsidRDefault="00972987" w:rsidP="00972987"/>
    <w:p w:rsidR="00972987" w:rsidRPr="007B268A" w:rsidRDefault="00972987" w:rsidP="00972987">
      <w:r w:rsidRPr="007B268A">
        <w:t>For each country, time horizon, and metric we can rank the scenarios in order of preference. Table 6.10 shows the three highest ranked scenarios for three countries using the two different metrics and two different time horizons. These results show that the preferred scenarios depend upon the country, the time horizon, and the metric used.</w:t>
      </w:r>
    </w:p>
    <w:p w:rsidR="00972987" w:rsidRPr="007B268A" w:rsidRDefault="00972987" w:rsidP="00972987"/>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64"/>
        <w:gridCol w:w="1030"/>
        <w:gridCol w:w="1724"/>
        <w:gridCol w:w="1774"/>
        <w:gridCol w:w="15"/>
        <w:gridCol w:w="1773"/>
        <w:gridCol w:w="1796"/>
      </w:tblGrid>
      <w:tr w:rsidR="00972987" w:rsidRPr="007B268A">
        <w:trPr>
          <w:trHeight w:val="290"/>
        </w:trPr>
        <w:tc>
          <w:tcPr>
            <w:tcW w:w="5000" w:type="pct"/>
            <w:gridSpan w:val="7"/>
            <w:vAlign w:val="center"/>
          </w:tcPr>
          <w:p w:rsidR="00972987" w:rsidRPr="007B268A" w:rsidRDefault="00972987" w:rsidP="0043092C">
            <w:pPr>
              <w:keepNext/>
              <w:autoSpaceDE w:val="0"/>
              <w:autoSpaceDN w:val="0"/>
              <w:adjustRightInd w:val="0"/>
              <w:rPr>
                <w:rFonts w:eastAsiaTheme="minorEastAsia" w:cs="Calibri"/>
                <w:b/>
                <w:color w:val="000000"/>
              </w:rPr>
            </w:pPr>
            <w:r w:rsidRPr="007B268A">
              <w:rPr>
                <w:rFonts w:eastAsiaTheme="minorEastAsia" w:cs="Calibri"/>
                <w:b/>
                <w:color w:val="000000"/>
              </w:rPr>
              <w:t>Table 6.10 Sample rankings of scenarios by country using different time horizons</w:t>
            </w:r>
          </w:p>
        </w:tc>
      </w:tr>
      <w:tr w:rsidR="00972987" w:rsidRPr="00DE7F01">
        <w:trPr>
          <w:trHeight w:val="290"/>
        </w:trPr>
        <w:tc>
          <w:tcPr>
            <w:tcW w:w="768" w:type="pct"/>
          </w:tcPr>
          <w:p w:rsidR="00972987" w:rsidRPr="00DE7F01" w:rsidRDefault="00972987" w:rsidP="0043092C">
            <w:pPr>
              <w:keepNext/>
              <w:autoSpaceDE w:val="0"/>
              <w:autoSpaceDN w:val="0"/>
              <w:adjustRightInd w:val="0"/>
              <w:jc w:val="right"/>
              <w:rPr>
                <w:rFonts w:eastAsiaTheme="minorEastAsia" w:cs="Calibri"/>
                <w:color w:val="000000"/>
              </w:rPr>
            </w:pPr>
          </w:p>
        </w:tc>
        <w:tc>
          <w:tcPr>
            <w:tcW w:w="517" w:type="pct"/>
          </w:tcPr>
          <w:p w:rsidR="00972987" w:rsidRPr="00DE7F01" w:rsidRDefault="00972987" w:rsidP="0043092C">
            <w:pPr>
              <w:keepNext/>
              <w:autoSpaceDE w:val="0"/>
              <w:autoSpaceDN w:val="0"/>
              <w:adjustRightInd w:val="0"/>
              <w:jc w:val="right"/>
              <w:rPr>
                <w:rFonts w:eastAsiaTheme="minorEastAsia" w:cs="Calibri"/>
                <w:color w:val="000000"/>
              </w:rPr>
            </w:pPr>
          </w:p>
        </w:tc>
        <w:tc>
          <w:tcPr>
            <w:tcW w:w="3715" w:type="pct"/>
            <w:gridSpan w:val="5"/>
          </w:tcPr>
          <w:p w:rsidR="00972987" w:rsidRPr="00DE7F01" w:rsidRDefault="00972987" w:rsidP="0043092C">
            <w:pPr>
              <w:keepNext/>
              <w:autoSpaceDE w:val="0"/>
              <w:autoSpaceDN w:val="0"/>
              <w:adjustRightInd w:val="0"/>
              <w:jc w:val="center"/>
              <w:rPr>
                <w:rFonts w:eastAsiaTheme="minorEastAsia" w:cs="Calibri"/>
                <w:color w:val="000000"/>
              </w:rPr>
            </w:pPr>
            <w:r w:rsidRPr="00DE7F01">
              <w:rPr>
                <w:rFonts w:eastAsiaTheme="minorEastAsia" w:cs="Calibri"/>
                <w:color w:val="000000"/>
              </w:rPr>
              <w:t>Time horizon</w:t>
            </w:r>
          </w:p>
        </w:tc>
      </w:tr>
      <w:tr w:rsidR="00972987" w:rsidRPr="00DE7F01">
        <w:trPr>
          <w:trHeight w:val="290"/>
        </w:trPr>
        <w:tc>
          <w:tcPr>
            <w:tcW w:w="768" w:type="pct"/>
            <w:vAlign w:val="center"/>
          </w:tcPr>
          <w:p w:rsidR="00972987" w:rsidRPr="00DE7F01" w:rsidRDefault="00972987" w:rsidP="0043092C">
            <w:pPr>
              <w:keepNext/>
              <w:autoSpaceDE w:val="0"/>
              <w:autoSpaceDN w:val="0"/>
              <w:adjustRightInd w:val="0"/>
              <w:rPr>
                <w:rFonts w:eastAsiaTheme="minorEastAsia" w:cs="Calibri"/>
                <w:color w:val="000000"/>
              </w:rPr>
            </w:pPr>
            <w:r w:rsidRPr="00DE7F01">
              <w:rPr>
                <w:rFonts w:eastAsiaTheme="minorEastAsia" w:cs="Calibri"/>
                <w:color w:val="000000"/>
              </w:rPr>
              <w:t>Country</w:t>
            </w:r>
          </w:p>
        </w:tc>
        <w:tc>
          <w:tcPr>
            <w:tcW w:w="517" w:type="pct"/>
            <w:vAlign w:val="center"/>
          </w:tcPr>
          <w:p w:rsidR="00972987" w:rsidRPr="00DE7F01" w:rsidRDefault="00972987" w:rsidP="0043092C">
            <w:pPr>
              <w:keepNext/>
              <w:autoSpaceDE w:val="0"/>
              <w:autoSpaceDN w:val="0"/>
              <w:adjustRightInd w:val="0"/>
              <w:jc w:val="center"/>
              <w:rPr>
                <w:rFonts w:eastAsiaTheme="minorEastAsia" w:cs="Calibri"/>
                <w:color w:val="000000"/>
              </w:rPr>
            </w:pPr>
            <w:r w:rsidRPr="00DE7F01">
              <w:rPr>
                <w:rFonts w:eastAsiaTheme="minorEastAsia" w:cs="Calibri"/>
                <w:color w:val="000000"/>
              </w:rPr>
              <w:t>Ranking</w:t>
            </w:r>
          </w:p>
        </w:tc>
        <w:tc>
          <w:tcPr>
            <w:tcW w:w="1844" w:type="pct"/>
            <w:gridSpan w:val="3"/>
            <w:vAlign w:val="center"/>
          </w:tcPr>
          <w:p w:rsidR="00972987" w:rsidRPr="00DE7F01" w:rsidRDefault="00972987" w:rsidP="0043092C">
            <w:pPr>
              <w:keepNext/>
              <w:autoSpaceDE w:val="0"/>
              <w:autoSpaceDN w:val="0"/>
              <w:adjustRightInd w:val="0"/>
              <w:jc w:val="center"/>
              <w:rPr>
                <w:rFonts w:eastAsiaTheme="minorEastAsia" w:cs="Calibri"/>
                <w:color w:val="000000"/>
              </w:rPr>
            </w:pPr>
            <w:r w:rsidRPr="00DE7F01">
              <w:rPr>
                <w:rFonts w:eastAsiaTheme="minorEastAsia" w:cs="Calibri"/>
                <w:color w:val="000000"/>
              </w:rPr>
              <w:t>2030</w:t>
            </w:r>
          </w:p>
        </w:tc>
        <w:tc>
          <w:tcPr>
            <w:tcW w:w="1870" w:type="pct"/>
            <w:gridSpan w:val="2"/>
            <w:vAlign w:val="center"/>
          </w:tcPr>
          <w:p w:rsidR="00972987" w:rsidRPr="00DE7F01" w:rsidRDefault="00972987" w:rsidP="0043092C">
            <w:pPr>
              <w:keepNext/>
              <w:autoSpaceDE w:val="0"/>
              <w:autoSpaceDN w:val="0"/>
              <w:adjustRightInd w:val="0"/>
              <w:jc w:val="center"/>
              <w:rPr>
                <w:rFonts w:eastAsiaTheme="minorEastAsia" w:cs="Calibri"/>
                <w:color w:val="000000"/>
              </w:rPr>
            </w:pPr>
            <w:r w:rsidRPr="00DE7F01">
              <w:rPr>
                <w:rFonts w:eastAsiaTheme="minorEastAsia" w:cs="Calibri"/>
                <w:color w:val="000000"/>
              </w:rPr>
              <w:t>2060</w:t>
            </w:r>
          </w:p>
        </w:tc>
      </w:tr>
      <w:tr w:rsidR="00972987" w:rsidRPr="00DE7F01">
        <w:trPr>
          <w:trHeight w:val="290"/>
        </w:trPr>
        <w:tc>
          <w:tcPr>
            <w:tcW w:w="768" w:type="pct"/>
          </w:tcPr>
          <w:p w:rsidR="00972987" w:rsidRPr="00DE7F01" w:rsidRDefault="00972987" w:rsidP="0043092C">
            <w:pPr>
              <w:keepNext/>
              <w:autoSpaceDE w:val="0"/>
              <w:autoSpaceDN w:val="0"/>
              <w:adjustRightInd w:val="0"/>
              <w:rPr>
                <w:rFonts w:eastAsiaTheme="minorEastAsia" w:cs="Calibri"/>
                <w:color w:val="000000"/>
              </w:rPr>
            </w:pPr>
          </w:p>
        </w:tc>
        <w:tc>
          <w:tcPr>
            <w:tcW w:w="517" w:type="pct"/>
            <w:vAlign w:val="center"/>
          </w:tcPr>
          <w:p w:rsidR="00972987" w:rsidRPr="00DE7F01" w:rsidRDefault="00972987" w:rsidP="0043092C">
            <w:pPr>
              <w:keepNext/>
              <w:autoSpaceDE w:val="0"/>
              <w:autoSpaceDN w:val="0"/>
              <w:adjustRightInd w:val="0"/>
              <w:jc w:val="center"/>
              <w:rPr>
                <w:rFonts w:eastAsiaTheme="minorEastAsia" w:cs="Calibri"/>
                <w:color w:val="000000"/>
              </w:rPr>
            </w:pPr>
          </w:p>
        </w:tc>
        <w:tc>
          <w:tcPr>
            <w:tcW w:w="904" w:type="pct"/>
            <w:vAlign w:val="center"/>
          </w:tcPr>
          <w:p w:rsidR="00972987" w:rsidRPr="00DE7F01" w:rsidRDefault="00972987" w:rsidP="0043092C">
            <w:pPr>
              <w:keepNext/>
              <w:autoSpaceDE w:val="0"/>
              <w:autoSpaceDN w:val="0"/>
              <w:adjustRightInd w:val="0"/>
              <w:jc w:val="center"/>
              <w:rPr>
                <w:rFonts w:eastAsiaTheme="minorEastAsia" w:cs="Calibri"/>
                <w:color w:val="000000"/>
              </w:rPr>
            </w:pPr>
            <w:r w:rsidRPr="00DE7F01">
              <w:rPr>
                <w:rFonts w:eastAsiaTheme="minorEastAsia" w:cs="Calibri"/>
                <w:color w:val="000000"/>
              </w:rPr>
              <w:t>GDP/Spend</w:t>
            </w:r>
          </w:p>
        </w:tc>
        <w:tc>
          <w:tcPr>
            <w:tcW w:w="930" w:type="pct"/>
            <w:vAlign w:val="center"/>
          </w:tcPr>
          <w:p w:rsidR="00972987" w:rsidRPr="00DE7F01" w:rsidRDefault="00972987" w:rsidP="0043092C">
            <w:pPr>
              <w:keepNext/>
              <w:autoSpaceDE w:val="0"/>
              <w:autoSpaceDN w:val="0"/>
              <w:adjustRightInd w:val="0"/>
              <w:jc w:val="center"/>
              <w:rPr>
                <w:rFonts w:eastAsiaTheme="minorEastAsia" w:cs="Calibri"/>
                <w:color w:val="000000"/>
              </w:rPr>
            </w:pPr>
            <w:r w:rsidRPr="00DE7F01">
              <w:rPr>
                <w:rFonts w:eastAsiaTheme="minorEastAsia" w:cs="Calibri"/>
                <w:color w:val="000000"/>
              </w:rPr>
              <w:t>HDI</w:t>
            </w:r>
          </w:p>
        </w:tc>
        <w:tc>
          <w:tcPr>
            <w:tcW w:w="940" w:type="pct"/>
            <w:gridSpan w:val="2"/>
            <w:vAlign w:val="center"/>
          </w:tcPr>
          <w:p w:rsidR="00972987" w:rsidRPr="00DE7F01" w:rsidRDefault="00972987" w:rsidP="0043092C">
            <w:pPr>
              <w:keepNext/>
              <w:autoSpaceDE w:val="0"/>
              <w:autoSpaceDN w:val="0"/>
              <w:adjustRightInd w:val="0"/>
              <w:jc w:val="center"/>
              <w:rPr>
                <w:rFonts w:eastAsiaTheme="minorEastAsia" w:cs="Calibri"/>
                <w:color w:val="000000"/>
              </w:rPr>
            </w:pPr>
            <w:r w:rsidRPr="00DE7F01">
              <w:rPr>
                <w:rFonts w:eastAsiaTheme="minorEastAsia" w:cs="Calibri"/>
                <w:color w:val="000000"/>
              </w:rPr>
              <w:t>GDP/Spend</w:t>
            </w:r>
          </w:p>
        </w:tc>
        <w:tc>
          <w:tcPr>
            <w:tcW w:w="940" w:type="pct"/>
            <w:vAlign w:val="center"/>
          </w:tcPr>
          <w:p w:rsidR="00972987" w:rsidRPr="00DE7F01" w:rsidRDefault="00972987" w:rsidP="0043092C">
            <w:pPr>
              <w:keepNext/>
              <w:autoSpaceDE w:val="0"/>
              <w:autoSpaceDN w:val="0"/>
              <w:adjustRightInd w:val="0"/>
              <w:jc w:val="center"/>
              <w:rPr>
                <w:rFonts w:eastAsiaTheme="minorEastAsia" w:cs="Calibri"/>
                <w:color w:val="000000"/>
              </w:rPr>
            </w:pPr>
            <w:r w:rsidRPr="00DE7F01">
              <w:rPr>
                <w:rFonts w:eastAsiaTheme="minorEastAsia" w:cs="Calibri"/>
                <w:color w:val="000000"/>
              </w:rPr>
              <w:t>HDI</w:t>
            </w:r>
          </w:p>
        </w:tc>
      </w:tr>
      <w:tr w:rsidR="00972987" w:rsidRPr="007B268A">
        <w:trPr>
          <w:trHeight w:val="290"/>
        </w:trPr>
        <w:tc>
          <w:tcPr>
            <w:tcW w:w="768" w:type="pct"/>
            <w:vMerge w:val="restart"/>
            <w:vAlign w:val="center"/>
          </w:tcPr>
          <w:p w:rsidR="00972987" w:rsidRPr="00DE7F01" w:rsidRDefault="00972987" w:rsidP="0043092C">
            <w:pPr>
              <w:keepNext/>
              <w:autoSpaceDE w:val="0"/>
              <w:autoSpaceDN w:val="0"/>
              <w:adjustRightInd w:val="0"/>
              <w:rPr>
                <w:rFonts w:eastAsiaTheme="minorEastAsia" w:cs="Calibri"/>
                <w:color w:val="000000"/>
              </w:rPr>
            </w:pPr>
            <w:r w:rsidRPr="00DE7F01">
              <w:rPr>
                <w:rFonts w:eastAsiaTheme="minorEastAsia" w:cs="Calibri"/>
                <w:color w:val="000000"/>
              </w:rPr>
              <w:t>Bangladesh</w:t>
            </w:r>
          </w:p>
        </w:tc>
        <w:tc>
          <w:tcPr>
            <w:tcW w:w="517" w:type="pct"/>
            <w:vAlign w:val="center"/>
          </w:tcPr>
          <w:p w:rsidR="00972987" w:rsidRPr="007B268A" w:rsidRDefault="00972987" w:rsidP="0043092C">
            <w:pPr>
              <w:keepNext/>
              <w:autoSpaceDE w:val="0"/>
              <w:autoSpaceDN w:val="0"/>
              <w:adjustRightInd w:val="0"/>
              <w:jc w:val="center"/>
              <w:rPr>
                <w:rFonts w:eastAsiaTheme="minorEastAsia" w:cs="Calibri"/>
                <w:color w:val="000000"/>
              </w:rPr>
            </w:pPr>
            <w:r w:rsidRPr="007B268A">
              <w:rPr>
                <w:rFonts w:eastAsiaTheme="minorEastAsia" w:cs="Calibri"/>
                <w:color w:val="000000"/>
              </w:rPr>
              <w:t>1</w:t>
            </w:r>
          </w:p>
        </w:tc>
        <w:tc>
          <w:tcPr>
            <w:tcW w:w="904" w:type="pct"/>
            <w:vAlign w:val="center"/>
          </w:tcPr>
          <w:p w:rsidR="00972987" w:rsidRPr="007B268A" w:rsidRDefault="00972987" w:rsidP="0043092C">
            <w:pPr>
              <w:keepNext/>
              <w:autoSpaceDE w:val="0"/>
              <w:autoSpaceDN w:val="0"/>
              <w:adjustRightInd w:val="0"/>
              <w:jc w:val="center"/>
              <w:rPr>
                <w:rFonts w:eastAsiaTheme="minorEastAsia" w:cs="Calibri"/>
                <w:color w:val="000000"/>
              </w:rPr>
            </w:pPr>
            <w:r w:rsidRPr="007B268A">
              <w:rPr>
                <w:rFonts w:eastAsiaTheme="minorEastAsia" w:cs="Calibri"/>
                <w:color w:val="000000"/>
              </w:rPr>
              <w:t>Water and Sanitation Only</w:t>
            </w:r>
          </w:p>
        </w:tc>
        <w:tc>
          <w:tcPr>
            <w:tcW w:w="930" w:type="pct"/>
            <w:vAlign w:val="center"/>
          </w:tcPr>
          <w:p w:rsidR="00972987" w:rsidRPr="007B268A" w:rsidRDefault="00972987" w:rsidP="0043092C">
            <w:pPr>
              <w:keepNext/>
              <w:autoSpaceDE w:val="0"/>
              <w:autoSpaceDN w:val="0"/>
              <w:adjustRightInd w:val="0"/>
              <w:jc w:val="center"/>
              <w:rPr>
                <w:rFonts w:eastAsiaTheme="minorEastAsia" w:cs="Calibri"/>
                <w:color w:val="000000"/>
              </w:rPr>
            </w:pPr>
            <w:r w:rsidRPr="007B268A">
              <w:rPr>
                <w:rFonts w:eastAsiaTheme="minorEastAsia" w:cs="Calibri"/>
                <w:color w:val="000000"/>
              </w:rPr>
              <w:t>Water and Sanitation Only</w:t>
            </w:r>
          </w:p>
        </w:tc>
        <w:tc>
          <w:tcPr>
            <w:tcW w:w="940" w:type="pct"/>
            <w:gridSpan w:val="2"/>
            <w:vAlign w:val="center"/>
          </w:tcPr>
          <w:p w:rsidR="00972987" w:rsidRPr="007B268A" w:rsidRDefault="00972987" w:rsidP="0043092C">
            <w:pPr>
              <w:keepNext/>
              <w:autoSpaceDE w:val="0"/>
              <w:autoSpaceDN w:val="0"/>
              <w:adjustRightInd w:val="0"/>
              <w:jc w:val="center"/>
              <w:rPr>
                <w:rFonts w:eastAsiaTheme="minorEastAsia" w:cs="Calibri"/>
                <w:color w:val="000000"/>
              </w:rPr>
            </w:pPr>
            <w:r w:rsidRPr="007B268A">
              <w:rPr>
                <w:rFonts w:eastAsiaTheme="minorEastAsia" w:cs="Calibri"/>
                <w:color w:val="000000"/>
              </w:rPr>
              <w:t>Water and Sanitation Only</w:t>
            </w:r>
          </w:p>
        </w:tc>
        <w:tc>
          <w:tcPr>
            <w:tcW w:w="940" w:type="pct"/>
            <w:vAlign w:val="center"/>
          </w:tcPr>
          <w:p w:rsidR="00972987" w:rsidRPr="007B268A" w:rsidRDefault="00972987" w:rsidP="0043092C">
            <w:pPr>
              <w:keepNext/>
              <w:autoSpaceDE w:val="0"/>
              <w:autoSpaceDN w:val="0"/>
              <w:adjustRightInd w:val="0"/>
              <w:jc w:val="center"/>
              <w:rPr>
                <w:rFonts w:eastAsiaTheme="minorEastAsia" w:cs="Calibri"/>
                <w:color w:val="000000"/>
              </w:rPr>
            </w:pPr>
            <w:r w:rsidRPr="007B268A">
              <w:rPr>
                <w:rFonts w:eastAsiaTheme="minorEastAsia" w:cs="Calibri"/>
                <w:color w:val="000000"/>
              </w:rPr>
              <w:t>Universal Targets</w:t>
            </w:r>
          </w:p>
        </w:tc>
      </w:tr>
      <w:tr w:rsidR="00972987" w:rsidRPr="007B268A">
        <w:trPr>
          <w:trHeight w:val="290"/>
        </w:trPr>
        <w:tc>
          <w:tcPr>
            <w:tcW w:w="768" w:type="pct"/>
            <w:vMerge/>
            <w:vAlign w:val="center"/>
          </w:tcPr>
          <w:p w:rsidR="00972987" w:rsidRPr="00DE7F01" w:rsidRDefault="00972987" w:rsidP="0043092C">
            <w:pPr>
              <w:keepNext/>
              <w:autoSpaceDE w:val="0"/>
              <w:autoSpaceDN w:val="0"/>
              <w:adjustRightInd w:val="0"/>
              <w:rPr>
                <w:rFonts w:eastAsiaTheme="minorEastAsia" w:cs="Calibri"/>
                <w:color w:val="000000"/>
              </w:rPr>
            </w:pPr>
          </w:p>
        </w:tc>
        <w:tc>
          <w:tcPr>
            <w:tcW w:w="517" w:type="pct"/>
            <w:vAlign w:val="center"/>
          </w:tcPr>
          <w:p w:rsidR="00972987" w:rsidRPr="007B268A" w:rsidRDefault="00972987" w:rsidP="0043092C">
            <w:pPr>
              <w:keepNext/>
              <w:autoSpaceDE w:val="0"/>
              <w:autoSpaceDN w:val="0"/>
              <w:adjustRightInd w:val="0"/>
              <w:jc w:val="center"/>
              <w:rPr>
                <w:rFonts w:eastAsiaTheme="minorEastAsia" w:cs="Calibri"/>
                <w:color w:val="000000"/>
              </w:rPr>
            </w:pPr>
            <w:r w:rsidRPr="007B268A">
              <w:rPr>
                <w:rFonts w:eastAsiaTheme="minorEastAsia" w:cs="Calibri"/>
                <w:color w:val="000000"/>
              </w:rPr>
              <w:t>2</w:t>
            </w:r>
          </w:p>
        </w:tc>
        <w:tc>
          <w:tcPr>
            <w:tcW w:w="904" w:type="pct"/>
            <w:vAlign w:val="center"/>
          </w:tcPr>
          <w:p w:rsidR="00972987" w:rsidRPr="007B268A" w:rsidRDefault="00972987" w:rsidP="0043092C">
            <w:pPr>
              <w:keepNext/>
              <w:autoSpaceDE w:val="0"/>
              <w:autoSpaceDN w:val="0"/>
              <w:adjustRightInd w:val="0"/>
              <w:jc w:val="center"/>
              <w:rPr>
                <w:rFonts w:eastAsiaTheme="minorEastAsia" w:cs="Calibri"/>
                <w:color w:val="000000"/>
              </w:rPr>
            </w:pPr>
            <w:r w:rsidRPr="007B268A">
              <w:rPr>
                <w:rFonts w:eastAsiaTheme="minorEastAsia" w:cs="Calibri"/>
                <w:color w:val="000000"/>
              </w:rPr>
              <w:t>Universal Targets</w:t>
            </w:r>
          </w:p>
        </w:tc>
        <w:tc>
          <w:tcPr>
            <w:tcW w:w="930" w:type="pct"/>
            <w:vAlign w:val="center"/>
          </w:tcPr>
          <w:p w:rsidR="00972987" w:rsidRPr="007B268A" w:rsidRDefault="00972987" w:rsidP="0043092C">
            <w:pPr>
              <w:keepNext/>
              <w:autoSpaceDE w:val="0"/>
              <w:autoSpaceDN w:val="0"/>
              <w:adjustRightInd w:val="0"/>
              <w:jc w:val="center"/>
              <w:rPr>
                <w:rFonts w:eastAsiaTheme="minorEastAsia" w:cs="Calibri"/>
                <w:color w:val="000000"/>
              </w:rPr>
            </w:pPr>
            <w:r>
              <w:rPr>
                <w:rFonts w:eastAsiaTheme="minorEastAsia" w:cs="Calibri"/>
                <w:color w:val="000000"/>
              </w:rPr>
              <w:t>Base case</w:t>
            </w:r>
          </w:p>
        </w:tc>
        <w:tc>
          <w:tcPr>
            <w:tcW w:w="940" w:type="pct"/>
            <w:gridSpan w:val="2"/>
            <w:vAlign w:val="center"/>
          </w:tcPr>
          <w:p w:rsidR="00972987" w:rsidRPr="007B268A" w:rsidRDefault="00972987" w:rsidP="0043092C">
            <w:pPr>
              <w:keepNext/>
              <w:autoSpaceDE w:val="0"/>
              <w:autoSpaceDN w:val="0"/>
              <w:adjustRightInd w:val="0"/>
              <w:jc w:val="center"/>
              <w:rPr>
                <w:rFonts w:eastAsiaTheme="minorEastAsia" w:cs="Calibri"/>
                <w:color w:val="000000"/>
              </w:rPr>
            </w:pPr>
            <w:r w:rsidRPr="007B268A">
              <w:rPr>
                <w:rFonts w:eastAsiaTheme="minorEastAsia" w:cs="Calibri"/>
                <w:color w:val="000000"/>
              </w:rPr>
              <w:t>Electricity Only</w:t>
            </w:r>
          </w:p>
        </w:tc>
        <w:tc>
          <w:tcPr>
            <w:tcW w:w="940" w:type="pct"/>
            <w:vAlign w:val="center"/>
          </w:tcPr>
          <w:p w:rsidR="00972987" w:rsidRPr="007B268A" w:rsidRDefault="00972987" w:rsidP="0043092C">
            <w:pPr>
              <w:keepNext/>
              <w:autoSpaceDE w:val="0"/>
              <w:autoSpaceDN w:val="0"/>
              <w:adjustRightInd w:val="0"/>
              <w:jc w:val="center"/>
              <w:rPr>
                <w:rFonts w:eastAsiaTheme="minorEastAsia" w:cs="Calibri"/>
                <w:color w:val="000000"/>
              </w:rPr>
            </w:pPr>
            <w:r w:rsidRPr="007B268A">
              <w:rPr>
                <w:rFonts w:eastAsiaTheme="minorEastAsia" w:cs="Calibri"/>
                <w:color w:val="000000"/>
              </w:rPr>
              <w:t>Meet Expectations</w:t>
            </w:r>
          </w:p>
        </w:tc>
      </w:tr>
      <w:tr w:rsidR="00972987" w:rsidRPr="007B268A">
        <w:trPr>
          <w:trHeight w:val="290"/>
        </w:trPr>
        <w:tc>
          <w:tcPr>
            <w:tcW w:w="768" w:type="pct"/>
            <w:vMerge/>
            <w:vAlign w:val="center"/>
          </w:tcPr>
          <w:p w:rsidR="00972987" w:rsidRPr="00DE7F01" w:rsidRDefault="00972987" w:rsidP="0043092C">
            <w:pPr>
              <w:keepNext/>
              <w:autoSpaceDE w:val="0"/>
              <w:autoSpaceDN w:val="0"/>
              <w:adjustRightInd w:val="0"/>
              <w:rPr>
                <w:rFonts w:eastAsiaTheme="minorEastAsia" w:cs="Calibri"/>
                <w:color w:val="000000"/>
              </w:rPr>
            </w:pPr>
          </w:p>
        </w:tc>
        <w:tc>
          <w:tcPr>
            <w:tcW w:w="517" w:type="pct"/>
            <w:vAlign w:val="center"/>
          </w:tcPr>
          <w:p w:rsidR="00972987" w:rsidRPr="007B268A" w:rsidRDefault="00972987" w:rsidP="0043092C">
            <w:pPr>
              <w:keepNext/>
              <w:autoSpaceDE w:val="0"/>
              <w:autoSpaceDN w:val="0"/>
              <w:adjustRightInd w:val="0"/>
              <w:jc w:val="center"/>
              <w:rPr>
                <w:rFonts w:eastAsiaTheme="minorEastAsia" w:cs="Calibri"/>
                <w:color w:val="000000"/>
              </w:rPr>
            </w:pPr>
            <w:r w:rsidRPr="007B268A">
              <w:rPr>
                <w:rFonts w:eastAsiaTheme="minorEastAsia" w:cs="Calibri"/>
                <w:color w:val="000000"/>
              </w:rPr>
              <w:t>3</w:t>
            </w:r>
          </w:p>
        </w:tc>
        <w:tc>
          <w:tcPr>
            <w:tcW w:w="904" w:type="pct"/>
            <w:vAlign w:val="center"/>
          </w:tcPr>
          <w:p w:rsidR="00972987" w:rsidRPr="007B268A" w:rsidRDefault="00972987" w:rsidP="0043092C">
            <w:pPr>
              <w:keepNext/>
              <w:autoSpaceDE w:val="0"/>
              <w:autoSpaceDN w:val="0"/>
              <w:adjustRightInd w:val="0"/>
              <w:jc w:val="center"/>
              <w:rPr>
                <w:rFonts w:eastAsiaTheme="minorEastAsia" w:cs="Calibri"/>
                <w:color w:val="000000"/>
              </w:rPr>
            </w:pPr>
            <w:r>
              <w:rPr>
                <w:rFonts w:eastAsiaTheme="minorEastAsia" w:cs="Calibri"/>
                <w:color w:val="000000"/>
              </w:rPr>
              <w:t>Base case</w:t>
            </w:r>
          </w:p>
        </w:tc>
        <w:tc>
          <w:tcPr>
            <w:tcW w:w="930" w:type="pct"/>
            <w:vAlign w:val="center"/>
          </w:tcPr>
          <w:p w:rsidR="00972987" w:rsidRPr="007B268A" w:rsidRDefault="00972987" w:rsidP="0043092C">
            <w:pPr>
              <w:keepNext/>
              <w:autoSpaceDE w:val="0"/>
              <w:autoSpaceDN w:val="0"/>
              <w:adjustRightInd w:val="0"/>
              <w:jc w:val="center"/>
              <w:rPr>
                <w:rFonts w:eastAsiaTheme="minorEastAsia" w:cs="Calibri"/>
                <w:color w:val="000000"/>
              </w:rPr>
            </w:pPr>
            <w:r w:rsidRPr="007B268A">
              <w:rPr>
                <w:rFonts w:eastAsiaTheme="minorEastAsia" w:cs="Calibri"/>
                <w:color w:val="000000"/>
              </w:rPr>
              <w:t>ICT Only</w:t>
            </w:r>
          </w:p>
        </w:tc>
        <w:tc>
          <w:tcPr>
            <w:tcW w:w="940" w:type="pct"/>
            <w:gridSpan w:val="2"/>
            <w:vAlign w:val="center"/>
          </w:tcPr>
          <w:p w:rsidR="00972987" w:rsidRPr="007B268A" w:rsidRDefault="00972987" w:rsidP="0043092C">
            <w:pPr>
              <w:keepNext/>
              <w:autoSpaceDE w:val="0"/>
              <w:autoSpaceDN w:val="0"/>
              <w:adjustRightInd w:val="0"/>
              <w:jc w:val="center"/>
              <w:rPr>
                <w:rFonts w:eastAsiaTheme="minorEastAsia" w:cs="Calibri"/>
                <w:color w:val="000000"/>
              </w:rPr>
            </w:pPr>
            <w:r w:rsidRPr="007B268A">
              <w:rPr>
                <w:rFonts w:eastAsiaTheme="minorEastAsia" w:cs="Calibri"/>
                <w:color w:val="000000"/>
              </w:rPr>
              <w:t>Universal Targets</w:t>
            </w:r>
          </w:p>
        </w:tc>
        <w:tc>
          <w:tcPr>
            <w:tcW w:w="940" w:type="pct"/>
            <w:vAlign w:val="center"/>
          </w:tcPr>
          <w:p w:rsidR="00972987" w:rsidRPr="007B268A" w:rsidRDefault="00972987" w:rsidP="0043092C">
            <w:pPr>
              <w:keepNext/>
              <w:autoSpaceDE w:val="0"/>
              <w:autoSpaceDN w:val="0"/>
              <w:adjustRightInd w:val="0"/>
              <w:jc w:val="center"/>
              <w:rPr>
                <w:rFonts w:eastAsiaTheme="minorEastAsia" w:cs="Calibri"/>
                <w:color w:val="000000"/>
              </w:rPr>
            </w:pPr>
            <w:r w:rsidRPr="007B268A">
              <w:rPr>
                <w:rFonts w:eastAsiaTheme="minorEastAsia" w:cs="Calibri"/>
                <w:color w:val="000000"/>
              </w:rPr>
              <w:t>Roads Only</w:t>
            </w:r>
          </w:p>
        </w:tc>
      </w:tr>
      <w:tr w:rsidR="00972987" w:rsidRPr="007B268A">
        <w:trPr>
          <w:trHeight w:val="290"/>
        </w:trPr>
        <w:tc>
          <w:tcPr>
            <w:tcW w:w="768" w:type="pct"/>
            <w:vMerge w:val="restart"/>
            <w:shd w:val="clear" w:color="auto" w:fill="D9D9D9" w:themeFill="background1" w:themeFillShade="D9"/>
            <w:vAlign w:val="center"/>
          </w:tcPr>
          <w:p w:rsidR="00972987" w:rsidRPr="00DE7F01" w:rsidRDefault="00972987" w:rsidP="0043092C">
            <w:pPr>
              <w:keepNext/>
              <w:autoSpaceDE w:val="0"/>
              <w:autoSpaceDN w:val="0"/>
              <w:adjustRightInd w:val="0"/>
              <w:rPr>
                <w:rFonts w:eastAsiaTheme="minorEastAsia" w:cs="Calibri"/>
                <w:color w:val="000000"/>
              </w:rPr>
            </w:pPr>
            <w:r w:rsidRPr="00DE7F01">
              <w:rPr>
                <w:rFonts w:eastAsiaTheme="minorEastAsia" w:cs="Calibri"/>
                <w:color w:val="000000"/>
              </w:rPr>
              <w:t>Kenya</w:t>
            </w:r>
          </w:p>
        </w:tc>
        <w:tc>
          <w:tcPr>
            <w:tcW w:w="517" w:type="pct"/>
            <w:shd w:val="clear" w:color="auto" w:fill="D9D9D9" w:themeFill="background1" w:themeFillShade="D9"/>
            <w:vAlign w:val="center"/>
          </w:tcPr>
          <w:p w:rsidR="00972987" w:rsidRPr="007B268A" w:rsidRDefault="00972987" w:rsidP="0043092C">
            <w:pPr>
              <w:keepNext/>
              <w:autoSpaceDE w:val="0"/>
              <w:autoSpaceDN w:val="0"/>
              <w:adjustRightInd w:val="0"/>
              <w:jc w:val="center"/>
              <w:rPr>
                <w:rFonts w:eastAsiaTheme="minorEastAsia" w:cs="Calibri"/>
                <w:color w:val="000000"/>
              </w:rPr>
            </w:pPr>
            <w:r w:rsidRPr="007B268A">
              <w:rPr>
                <w:rFonts w:eastAsiaTheme="minorEastAsia" w:cs="Calibri"/>
                <w:color w:val="000000"/>
              </w:rPr>
              <w:t>1</w:t>
            </w:r>
          </w:p>
        </w:tc>
        <w:tc>
          <w:tcPr>
            <w:tcW w:w="904" w:type="pct"/>
            <w:shd w:val="clear" w:color="auto" w:fill="D9D9D9" w:themeFill="background1" w:themeFillShade="D9"/>
            <w:vAlign w:val="center"/>
          </w:tcPr>
          <w:p w:rsidR="00972987" w:rsidRPr="007B268A" w:rsidRDefault="00972987" w:rsidP="0043092C">
            <w:pPr>
              <w:keepNext/>
              <w:autoSpaceDE w:val="0"/>
              <w:autoSpaceDN w:val="0"/>
              <w:adjustRightInd w:val="0"/>
              <w:jc w:val="center"/>
              <w:rPr>
                <w:rFonts w:eastAsiaTheme="minorEastAsia" w:cs="Calibri"/>
                <w:color w:val="000000"/>
              </w:rPr>
            </w:pPr>
            <w:r>
              <w:rPr>
                <w:rFonts w:eastAsiaTheme="minorEastAsia" w:cs="Calibri"/>
                <w:color w:val="000000"/>
              </w:rPr>
              <w:t>Base case</w:t>
            </w:r>
          </w:p>
        </w:tc>
        <w:tc>
          <w:tcPr>
            <w:tcW w:w="930" w:type="pct"/>
            <w:shd w:val="clear" w:color="auto" w:fill="D9D9D9" w:themeFill="background1" w:themeFillShade="D9"/>
            <w:vAlign w:val="center"/>
          </w:tcPr>
          <w:p w:rsidR="00972987" w:rsidRPr="007B268A" w:rsidRDefault="00972987" w:rsidP="0043092C">
            <w:pPr>
              <w:keepNext/>
              <w:autoSpaceDE w:val="0"/>
              <w:autoSpaceDN w:val="0"/>
              <w:adjustRightInd w:val="0"/>
              <w:jc w:val="center"/>
              <w:rPr>
                <w:rFonts w:eastAsiaTheme="minorEastAsia" w:cs="Calibri"/>
                <w:color w:val="000000"/>
              </w:rPr>
            </w:pPr>
            <w:r w:rsidRPr="007B268A">
              <w:rPr>
                <w:rFonts w:eastAsiaTheme="minorEastAsia" w:cs="Calibri"/>
                <w:color w:val="000000"/>
              </w:rPr>
              <w:t>Water and Sanitation Only</w:t>
            </w:r>
          </w:p>
        </w:tc>
        <w:tc>
          <w:tcPr>
            <w:tcW w:w="940" w:type="pct"/>
            <w:gridSpan w:val="2"/>
            <w:shd w:val="clear" w:color="auto" w:fill="D9D9D9" w:themeFill="background1" w:themeFillShade="D9"/>
            <w:vAlign w:val="center"/>
          </w:tcPr>
          <w:p w:rsidR="00972987" w:rsidRPr="007B268A" w:rsidRDefault="00972987" w:rsidP="0043092C">
            <w:pPr>
              <w:keepNext/>
              <w:autoSpaceDE w:val="0"/>
              <w:autoSpaceDN w:val="0"/>
              <w:adjustRightInd w:val="0"/>
              <w:jc w:val="center"/>
              <w:rPr>
                <w:rFonts w:eastAsiaTheme="minorEastAsia" w:cs="Calibri"/>
                <w:color w:val="000000"/>
              </w:rPr>
            </w:pPr>
            <w:r w:rsidRPr="007B268A">
              <w:rPr>
                <w:rFonts w:eastAsiaTheme="minorEastAsia" w:cs="Calibri"/>
                <w:color w:val="000000"/>
              </w:rPr>
              <w:t>Water and Sanitation Only</w:t>
            </w:r>
          </w:p>
        </w:tc>
        <w:tc>
          <w:tcPr>
            <w:tcW w:w="940" w:type="pct"/>
            <w:shd w:val="clear" w:color="auto" w:fill="D9D9D9" w:themeFill="background1" w:themeFillShade="D9"/>
            <w:vAlign w:val="center"/>
          </w:tcPr>
          <w:p w:rsidR="00972987" w:rsidRPr="007B268A" w:rsidRDefault="00972987" w:rsidP="0043092C">
            <w:pPr>
              <w:keepNext/>
              <w:autoSpaceDE w:val="0"/>
              <w:autoSpaceDN w:val="0"/>
              <w:adjustRightInd w:val="0"/>
              <w:jc w:val="center"/>
              <w:rPr>
                <w:rFonts w:eastAsiaTheme="minorEastAsia" w:cs="Calibri"/>
                <w:color w:val="000000"/>
              </w:rPr>
            </w:pPr>
            <w:r w:rsidRPr="007B268A">
              <w:rPr>
                <w:rFonts w:eastAsiaTheme="minorEastAsia" w:cs="Calibri"/>
                <w:color w:val="000000"/>
              </w:rPr>
              <w:t>Water and Sanitation Only</w:t>
            </w:r>
          </w:p>
        </w:tc>
      </w:tr>
      <w:tr w:rsidR="00972987" w:rsidRPr="007B268A">
        <w:trPr>
          <w:trHeight w:val="290"/>
        </w:trPr>
        <w:tc>
          <w:tcPr>
            <w:tcW w:w="768" w:type="pct"/>
            <w:vMerge/>
            <w:shd w:val="clear" w:color="auto" w:fill="D9D9D9" w:themeFill="background1" w:themeFillShade="D9"/>
            <w:vAlign w:val="center"/>
          </w:tcPr>
          <w:p w:rsidR="00972987" w:rsidRPr="00DE7F01" w:rsidRDefault="00972987" w:rsidP="0043092C">
            <w:pPr>
              <w:keepNext/>
              <w:autoSpaceDE w:val="0"/>
              <w:autoSpaceDN w:val="0"/>
              <w:adjustRightInd w:val="0"/>
              <w:rPr>
                <w:rFonts w:eastAsiaTheme="minorEastAsia" w:cs="Calibri"/>
                <w:color w:val="000000"/>
              </w:rPr>
            </w:pPr>
          </w:p>
        </w:tc>
        <w:tc>
          <w:tcPr>
            <w:tcW w:w="517" w:type="pct"/>
            <w:shd w:val="clear" w:color="auto" w:fill="D9D9D9" w:themeFill="background1" w:themeFillShade="D9"/>
            <w:vAlign w:val="center"/>
          </w:tcPr>
          <w:p w:rsidR="00972987" w:rsidRPr="007B268A" w:rsidRDefault="00972987" w:rsidP="0043092C">
            <w:pPr>
              <w:keepNext/>
              <w:autoSpaceDE w:val="0"/>
              <w:autoSpaceDN w:val="0"/>
              <w:adjustRightInd w:val="0"/>
              <w:jc w:val="center"/>
              <w:rPr>
                <w:rFonts w:eastAsiaTheme="minorEastAsia" w:cs="Calibri"/>
                <w:color w:val="000000"/>
              </w:rPr>
            </w:pPr>
            <w:r w:rsidRPr="007B268A">
              <w:rPr>
                <w:rFonts w:eastAsiaTheme="minorEastAsia" w:cs="Calibri"/>
                <w:color w:val="000000"/>
              </w:rPr>
              <w:t>2</w:t>
            </w:r>
          </w:p>
        </w:tc>
        <w:tc>
          <w:tcPr>
            <w:tcW w:w="904" w:type="pct"/>
            <w:shd w:val="clear" w:color="auto" w:fill="D9D9D9" w:themeFill="background1" w:themeFillShade="D9"/>
            <w:vAlign w:val="center"/>
          </w:tcPr>
          <w:p w:rsidR="00972987" w:rsidRPr="007B268A" w:rsidRDefault="00972987" w:rsidP="0043092C">
            <w:pPr>
              <w:keepNext/>
              <w:autoSpaceDE w:val="0"/>
              <w:autoSpaceDN w:val="0"/>
              <w:adjustRightInd w:val="0"/>
              <w:jc w:val="center"/>
              <w:rPr>
                <w:rFonts w:eastAsiaTheme="minorEastAsia" w:cs="Calibri"/>
                <w:color w:val="000000"/>
              </w:rPr>
            </w:pPr>
            <w:r w:rsidRPr="007B268A">
              <w:rPr>
                <w:rFonts w:eastAsiaTheme="minorEastAsia" w:cs="Calibri"/>
                <w:color w:val="000000"/>
              </w:rPr>
              <w:t>Water and Sanitation Only</w:t>
            </w:r>
          </w:p>
        </w:tc>
        <w:tc>
          <w:tcPr>
            <w:tcW w:w="930" w:type="pct"/>
            <w:shd w:val="clear" w:color="auto" w:fill="D9D9D9" w:themeFill="background1" w:themeFillShade="D9"/>
            <w:vAlign w:val="center"/>
          </w:tcPr>
          <w:p w:rsidR="00972987" w:rsidRPr="007B268A" w:rsidRDefault="00972987" w:rsidP="0043092C">
            <w:pPr>
              <w:keepNext/>
              <w:autoSpaceDE w:val="0"/>
              <w:autoSpaceDN w:val="0"/>
              <w:adjustRightInd w:val="0"/>
              <w:jc w:val="center"/>
              <w:rPr>
                <w:rFonts w:eastAsiaTheme="minorEastAsia" w:cs="Calibri"/>
                <w:color w:val="000000"/>
              </w:rPr>
            </w:pPr>
            <w:r>
              <w:rPr>
                <w:rFonts w:eastAsiaTheme="minorEastAsia" w:cs="Calibri"/>
                <w:color w:val="000000"/>
              </w:rPr>
              <w:t>Base case</w:t>
            </w:r>
          </w:p>
        </w:tc>
        <w:tc>
          <w:tcPr>
            <w:tcW w:w="940" w:type="pct"/>
            <w:gridSpan w:val="2"/>
            <w:shd w:val="clear" w:color="auto" w:fill="D9D9D9" w:themeFill="background1" w:themeFillShade="D9"/>
            <w:vAlign w:val="center"/>
          </w:tcPr>
          <w:p w:rsidR="00972987" w:rsidRPr="007B268A" w:rsidRDefault="00972987" w:rsidP="0043092C">
            <w:pPr>
              <w:keepNext/>
              <w:autoSpaceDE w:val="0"/>
              <w:autoSpaceDN w:val="0"/>
              <w:adjustRightInd w:val="0"/>
              <w:jc w:val="center"/>
              <w:rPr>
                <w:rFonts w:eastAsiaTheme="minorEastAsia" w:cs="Calibri"/>
                <w:color w:val="000000"/>
              </w:rPr>
            </w:pPr>
            <w:r w:rsidRPr="007B268A">
              <w:rPr>
                <w:rFonts w:eastAsiaTheme="minorEastAsia" w:cs="Calibri"/>
                <w:color w:val="000000"/>
              </w:rPr>
              <w:t>Meet Expectations</w:t>
            </w:r>
          </w:p>
        </w:tc>
        <w:tc>
          <w:tcPr>
            <w:tcW w:w="940" w:type="pct"/>
            <w:shd w:val="clear" w:color="auto" w:fill="D9D9D9" w:themeFill="background1" w:themeFillShade="D9"/>
            <w:vAlign w:val="center"/>
          </w:tcPr>
          <w:p w:rsidR="00972987" w:rsidRPr="007B268A" w:rsidRDefault="00972987" w:rsidP="0043092C">
            <w:pPr>
              <w:keepNext/>
              <w:autoSpaceDE w:val="0"/>
              <w:autoSpaceDN w:val="0"/>
              <w:adjustRightInd w:val="0"/>
              <w:jc w:val="center"/>
              <w:rPr>
                <w:rFonts w:eastAsiaTheme="minorEastAsia" w:cs="Calibri"/>
                <w:color w:val="000000"/>
              </w:rPr>
            </w:pPr>
            <w:r w:rsidRPr="007B268A">
              <w:rPr>
                <w:rFonts w:eastAsiaTheme="minorEastAsia" w:cs="Calibri"/>
                <w:color w:val="000000"/>
              </w:rPr>
              <w:t>Universal Targets</w:t>
            </w:r>
          </w:p>
        </w:tc>
      </w:tr>
      <w:tr w:rsidR="00972987" w:rsidRPr="007B268A">
        <w:trPr>
          <w:trHeight w:val="290"/>
        </w:trPr>
        <w:tc>
          <w:tcPr>
            <w:tcW w:w="768" w:type="pct"/>
            <w:vMerge/>
            <w:shd w:val="clear" w:color="auto" w:fill="D9D9D9" w:themeFill="background1" w:themeFillShade="D9"/>
            <w:vAlign w:val="center"/>
          </w:tcPr>
          <w:p w:rsidR="00972987" w:rsidRPr="00DE7F01" w:rsidRDefault="00972987" w:rsidP="0043092C">
            <w:pPr>
              <w:keepNext/>
              <w:autoSpaceDE w:val="0"/>
              <w:autoSpaceDN w:val="0"/>
              <w:adjustRightInd w:val="0"/>
              <w:rPr>
                <w:rFonts w:eastAsiaTheme="minorEastAsia" w:cs="Calibri"/>
                <w:color w:val="000000"/>
              </w:rPr>
            </w:pPr>
          </w:p>
        </w:tc>
        <w:tc>
          <w:tcPr>
            <w:tcW w:w="517" w:type="pct"/>
            <w:shd w:val="clear" w:color="auto" w:fill="D9D9D9" w:themeFill="background1" w:themeFillShade="D9"/>
            <w:vAlign w:val="center"/>
          </w:tcPr>
          <w:p w:rsidR="00972987" w:rsidRPr="007B268A" w:rsidRDefault="00972987" w:rsidP="0043092C">
            <w:pPr>
              <w:keepNext/>
              <w:autoSpaceDE w:val="0"/>
              <w:autoSpaceDN w:val="0"/>
              <w:adjustRightInd w:val="0"/>
              <w:jc w:val="center"/>
              <w:rPr>
                <w:rFonts w:eastAsiaTheme="minorEastAsia" w:cs="Calibri"/>
                <w:color w:val="000000"/>
              </w:rPr>
            </w:pPr>
            <w:r w:rsidRPr="007B268A">
              <w:rPr>
                <w:rFonts w:eastAsiaTheme="minorEastAsia" w:cs="Calibri"/>
                <w:color w:val="000000"/>
              </w:rPr>
              <w:t>3</w:t>
            </w:r>
          </w:p>
        </w:tc>
        <w:tc>
          <w:tcPr>
            <w:tcW w:w="904" w:type="pct"/>
            <w:shd w:val="clear" w:color="auto" w:fill="D9D9D9" w:themeFill="background1" w:themeFillShade="D9"/>
            <w:vAlign w:val="center"/>
          </w:tcPr>
          <w:p w:rsidR="00972987" w:rsidRPr="007B268A" w:rsidRDefault="00972987" w:rsidP="0043092C">
            <w:pPr>
              <w:keepNext/>
              <w:autoSpaceDE w:val="0"/>
              <w:autoSpaceDN w:val="0"/>
              <w:adjustRightInd w:val="0"/>
              <w:jc w:val="center"/>
              <w:rPr>
                <w:rFonts w:eastAsiaTheme="minorEastAsia" w:cs="Calibri"/>
                <w:color w:val="000000"/>
              </w:rPr>
            </w:pPr>
            <w:r w:rsidRPr="007B268A">
              <w:rPr>
                <w:rFonts w:eastAsiaTheme="minorEastAsia" w:cs="Calibri"/>
                <w:color w:val="000000"/>
              </w:rPr>
              <w:t>ICT Only</w:t>
            </w:r>
          </w:p>
        </w:tc>
        <w:tc>
          <w:tcPr>
            <w:tcW w:w="930" w:type="pct"/>
            <w:shd w:val="clear" w:color="auto" w:fill="D9D9D9" w:themeFill="background1" w:themeFillShade="D9"/>
            <w:vAlign w:val="center"/>
          </w:tcPr>
          <w:p w:rsidR="00972987" w:rsidRPr="007B268A" w:rsidRDefault="00972987" w:rsidP="0043092C">
            <w:pPr>
              <w:keepNext/>
              <w:autoSpaceDE w:val="0"/>
              <w:autoSpaceDN w:val="0"/>
              <w:adjustRightInd w:val="0"/>
              <w:jc w:val="center"/>
              <w:rPr>
                <w:rFonts w:eastAsiaTheme="minorEastAsia" w:cs="Calibri"/>
                <w:color w:val="000000"/>
              </w:rPr>
            </w:pPr>
            <w:r w:rsidRPr="007B268A">
              <w:rPr>
                <w:rFonts w:eastAsiaTheme="minorEastAsia" w:cs="Calibri"/>
                <w:color w:val="000000"/>
              </w:rPr>
              <w:t>ICT Only</w:t>
            </w:r>
          </w:p>
        </w:tc>
        <w:tc>
          <w:tcPr>
            <w:tcW w:w="940" w:type="pct"/>
            <w:gridSpan w:val="2"/>
            <w:shd w:val="clear" w:color="auto" w:fill="D9D9D9" w:themeFill="background1" w:themeFillShade="D9"/>
            <w:vAlign w:val="center"/>
          </w:tcPr>
          <w:p w:rsidR="00972987" w:rsidRPr="007B268A" w:rsidRDefault="00972987" w:rsidP="0043092C">
            <w:pPr>
              <w:keepNext/>
              <w:autoSpaceDE w:val="0"/>
              <w:autoSpaceDN w:val="0"/>
              <w:adjustRightInd w:val="0"/>
              <w:jc w:val="center"/>
              <w:rPr>
                <w:rFonts w:eastAsiaTheme="minorEastAsia" w:cs="Calibri"/>
                <w:color w:val="000000"/>
              </w:rPr>
            </w:pPr>
            <w:r w:rsidRPr="007B268A">
              <w:rPr>
                <w:rFonts w:eastAsiaTheme="minorEastAsia" w:cs="Calibri"/>
                <w:color w:val="000000"/>
              </w:rPr>
              <w:t>Electricity Only</w:t>
            </w:r>
          </w:p>
        </w:tc>
        <w:tc>
          <w:tcPr>
            <w:tcW w:w="940" w:type="pct"/>
            <w:shd w:val="clear" w:color="auto" w:fill="D9D9D9" w:themeFill="background1" w:themeFillShade="D9"/>
            <w:vAlign w:val="center"/>
          </w:tcPr>
          <w:p w:rsidR="00972987" w:rsidRPr="007B268A" w:rsidRDefault="00972987" w:rsidP="0043092C">
            <w:pPr>
              <w:keepNext/>
              <w:autoSpaceDE w:val="0"/>
              <w:autoSpaceDN w:val="0"/>
              <w:adjustRightInd w:val="0"/>
              <w:jc w:val="center"/>
              <w:rPr>
                <w:rFonts w:eastAsiaTheme="minorEastAsia" w:cs="Calibri"/>
                <w:color w:val="000000"/>
              </w:rPr>
            </w:pPr>
            <w:r w:rsidRPr="007B268A">
              <w:rPr>
                <w:rFonts w:eastAsiaTheme="minorEastAsia" w:cs="Calibri"/>
                <w:color w:val="000000"/>
              </w:rPr>
              <w:t>Electricity Only</w:t>
            </w:r>
          </w:p>
        </w:tc>
      </w:tr>
      <w:tr w:rsidR="00972987" w:rsidRPr="007B268A">
        <w:trPr>
          <w:trHeight w:val="290"/>
        </w:trPr>
        <w:tc>
          <w:tcPr>
            <w:tcW w:w="768" w:type="pct"/>
            <w:vMerge w:val="restart"/>
            <w:vAlign w:val="center"/>
          </w:tcPr>
          <w:p w:rsidR="00972987" w:rsidRPr="00DE7F01" w:rsidRDefault="00972987" w:rsidP="0043092C">
            <w:pPr>
              <w:keepNext/>
              <w:autoSpaceDE w:val="0"/>
              <w:autoSpaceDN w:val="0"/>
              <w:adjustRightInd w:val="0"/>
              <w:rPr>
                <w:rFonts w:eastAsiaTheme="minorEastAsia" w:cs="Calibri"/>
                <w:color w:val="000000"/>
              </w:rPr>
            </w:pPr>
            <w:r w:rsidRPr="00DE7F01">
              <w:rPr>
                <w:rFonts w:eastAsiaTheme="minorEastAsia" w:cs="Calibri"/>
                <w:color w:val="000000"/>
              </w:rPr>
              <w:t>Panama</w:t>
            </w:r>
          </w:p>
        </w:tc>
        <w:tc>
          <w:tcPr>
            <w:tcW w:w="517" w:type="pct"/>
            <w:vAlign w:val="center"/>
          </w:tcPr>
          <w:p w:rsidR="00972987" w:rsidRPr="007B268A" w:rsidRDefault="00972987" w:rsidP="0043092C">
            <w:pPr>
              <w:keepNext/>
              <w:autoSpaceDE w:val="0"/>
              <w:autoSpaceDN w:val="0"/>
              <w:adjustRightInd w:val="0"/>
              <w:jc w:val="center"/>
              <w:rPr>
                <w:rFonts w:eastAsiaTheme="minorEastAsia" w:cs="Calibri"/>
                <w:color w:val="000000"/>
              </w:rPr>
            </w:pPr>
            <w:r w:rsidRPr="007B268A">
              <w:rPr>
                <w:rFonts w:eastAsiaTheme="minorEastAsia" w:cs="Calibri"/>
                <w:color w:val="000000"/>
              </w:rPr>
              <w:t>1</w:t>
            </w:r>
          </w:p>
        </w:tc>
        <w:tc>
          <w:tcPr>
            <w:tcW w:w="904" w:type="pct"/>
            <w:vAlign w:val="center"/>
          </w:tcPr>
          <w:p w:rsidR="00972987" w:rsidRPr="007B268A" w:rsidRDefault="00972987" w:rsidP="0043092C">
            <w:pPr>
              <w:keepNext/>
              <w:autoSpaceDE w:val="0"/>
              <w:autoSpaceDN w:val="0"/>
              <w:adjustRightInd w:val="0"/>
              <w:jc w:val="center"/>
              <w:rPr>
                <w:rFonts w:eastAsiaTheme="minorEastAsia" w:cs="Calibri"/>
                <w:color w:val="000000"/>
              </w:rPr>
            </w:pPr>
            <w:r w:rsidRPr="007B268A">
              <w:rPr>
                <w:rFonts w:eastAsiaTheme="minorEastAsia" w:cs="Calibri"/>
                <w:color w:val="000000"/>
              </w:rPr>
              <w:t>High Performers</w:t>
            </w:r>
          </w:p>
        </w:tc>
        <w:tc>
          <w:tcPr>
            <w:tcW w:w="930" w:type="pct"/>
            <w:vAlign w:val="center"/>
          </w:tcPr>
          <w:p w:rsidR="00972987" w:rsidRPr="007B268A" w:rsidRDefault="00972987" w:rsidP="0043092C">
            <w:pPr>
              <w:keepNext/>
              <w:autoSpaceDE w:val="0"/>
              <w:autoSpaceDN w:val="0"/>
              <w:adjustRightInd w:val="0"/>
              <w:jc w:val="center"/>
              <w:rPr>
                <w:rFonts w:eastAsiaTheme="minorEastAsia" w:cs="Calibri"/>
                <w:color w:val="000000"/>
              </w:rPr>
            </w:pPr>
            <w:r w:rsidRPr="007B268A">
              <w:rPr>
                <w:rFonts w:eastAsiaTheme="minorEastAsia" w:cs="Calibri"/>
                <w:color w:val="000000"/>
              </w:rPr>
              <w:t>High Performers</w:t>
            </w:r>
          </w:p>
        </w:tc>
        <w:tc>
          <w:tcPr>
            <w:tcW w:w="940" w:type="pct"/>
            <w:gridSpan w:val="2"/>
            <w:vAlign w:val="center"/>
          </w:tcPr>
          <w:p w:rsidR="00972987" w:rsidRPr="007B268A" w:rsidRDefault="00972987" w:rsidP="0043092C">
            <w:pPr>
              <w:keepNext/>
              <w:autoSpaceDE w:val="0"/>
              <w:autoSpaceDN w:val="0"/>
              <w:adjustRightInd w:val="0"/>
              <w:jc w:val="center"/>
              <w:rPr>
                <w:rFonts w:eastAsiaTheme="minorEastAsia" w:cs="Calibri"/>
                <w:color w:val="000000"/>
              </w:rPr>
            </w:pPr>
            <w:r w:rsidRPr="007B268A">
              <w:rPr>
                <w:rFonts w:eastAsiaTheme="minorEastAsia" w:cs="Calibri"/>
                <w:color w:val="000000"/>
              </w:rPr>
              <w:t>Roads Only</w:t>
            </w:r>
          </w:p>
        </w:tc>
        <w:tc>
          <w:tcPr>
            <w:tcW w:w="940" w:type="pct"/>
            <w:vAlign w:val="center"/>
          </w:tcPr>
          <w:p w:rsidR="00972987" w:rsidRPr="007B268A" w:rsidRDefault="00972987" w:rsidP="0043092C">
            <w:pPr>
              <w:keepNext/>
              <w:autoSpaceDE w:val="0"/>
              <w:autoSpaceDN w:val="0"/>
              <w:adjustRightInd w:val="0"/>
              <w:jc w:val="center"/>
              <w:rPr>
                <w:rFonts w:eastAsiaTheme="minorEastAsia" w:cs="Calibri"/>
                <w:color w:val="000000"/>
              </w:rPr>
            </w:pPr>
            <w:r w:rsidRPr="007B268A">
              <w:rPr>
                <w:rFonts w:eastAsiaTheme="minorEastAsia" w:cs="Calibri"/>
                <w:color w:val="000000"/>
              </w:rPr>
              <w:t>Water and Sanitation Only</w:t>
            </w:r>
          </w:p>
        </w:tc>
      </w:tr>
      <w:tr w:rsidR="00972987" w:rsidRPr="007B268A">
        <w:trPr>
          <w:trHeight w:val="290"/>
        </w:trPr>
        <w:tc>
          <w:tcPr>
            <w:tcW w:w="768" w:type="pct"/>
            <w:vMerge/>
          </w:tcPr>
          <w:p w:rsidR="00972987" w:rsidRPr="007B268A" w:rsidRDefault="00972987" w:rsidP="0043092C">
            <w:pPr>
              <w:autoSpaceDE w:val="0"/>
              <w:autoSpaceDN w:val="0"/>
              <w:adjustRightInd w:val="0"/>
              <w:rPr>
                <w:rFonts w:eastAsiaTheme="minorEastAsia" w:cs="Calibri"/>
                <w:color w:val="000000"/>
              </w:rPr>
            </w:pPr>
          </w:p>
        </w:tc>
        <w:tc>
          <w:tcPr>
            <w:tcW w:w="517" w:type="pct"/>
            <w:vAlign w:val="center"/>
          </w:tcPr>
          <w:p w:rsidR="00972987" w:rsidRPr="007B268A" w:rsidRDefault="00972987" w:rsidP="0043092C">
            <w:pPr>
              <w:autoSpaceDE w:val="0"/>
              <w:autoSpaceDN w:val="0"/>
              <w:adjustRightInd w:val="0"/>
              <w:jc w:val="center"/>
              <w:rPr>
                <w:rFonts w:eastAsiaTheme="minorEastAsia" w:cs="Calibri"/>
                <w:color w:val="000000"/>
              </w:rPr>
            </w:pPr>
            <w:r w:rsidRPr="007B268A">
              <w:rPr>
                <w:rFonts w:eastAsiaTheme="minorEastAsia" w:cs="Calibri"/>
                <w:color w:val="000000"/>
              </w:rPr>
              <w:t>2</w:t>
            </w:r>
          </w:p>
        </w:tc>
        <w:tc>
          <w:tcPr>
            <w:tcW w:w="904" w:type="pct"/>
            <w:vAlign w:val="center"/>
          </w:tcPr>
          <w:p w:rsidR="00972987" w:rsidRPr="007B268A" w:rsidRDefault="00972987" w:rsidP="0043092C">
            <w:pPr>
              <w:autoSpaceDE w:val="0"/>
              <w:autoSpaceDN w:val="0"/>
              <w:adjustRightInd w:val="0"/>
              <w:jc w:val="center"/>
              <w:rPr>
                <w:rFonts w:eastAsiaTheme="minorEastAsia" w:cs="Calibri"/>
                <w:color w:val="000000"/>
              </w:rPr>
            </w:pPr>
            <w:r w:rsidRPr="007B268A">
              <w:rPr>
                <w:rFonts w:eastAsiaTheme="minorEastAsia" w:cs="Calibri"/>
                <w:color w:val="000000"/>
              </w:rPr>
              <w:t>Meet Expectation</w:t>
            </w:r>
          </w:p>
        </w:tc>
        <w:tc>
          <w:tcPr>
            <w:tcW w:w="930" w:type="pct"/>
            <w:vAlign w:val="center"/>
          </w:tcPr>
          <w:p w:rsidR="00972987" w:rsidRPr="007B268A" w:rsidRDefault="00972987" w:rsidP="0043092C">
            <w:pPr>
              <w:autoSpaceDE w:val="0"/>
              <w:autoSpaceDN w:val="0"/>
              <w:adjustRightInd w:val="0"/>
              <w:jc w:val="center"/>
              <w:rPr>
                <w:rFonts w:eastAsiaTheme="minorEastAsia" w:cs="Calibri"/>
                <w:color w:val="000000"/>
              </w:rPr>
            </w:pPr>
            <w:r w:rsidRPr="007B268A">
              <w:rPr>
                <w:rFonts w:eastAsiaTheme="minorEastAsia" w:cs="Calibri"/>
                <w:color w:val="000000"/>
              </w:rPr>
              <w:t>Universal Targets</w:t>
            </w:r>
          </w:p>
        </w:tc>
        <w:tc>
          <w:tcPr>
            <w:tcW w:w="940" w:type="pct"/>
            <w:gridSpan w:val="2"/>
            <w:vAlign w:val="center"/>
          </w:tcPr>
          <w:p w:rsidR="00972987" w:rsidRPr="007B268A" w:rsidRDefault="00972987" w:rsidP="0043092C">
            <w:pPr>
              <w:autoSpaceDE w:val="0"/>
              <w:autoSpaceDN w:val="0"/>
              <w:adjustRightInd w:val="0"/>
              <w:jc w:val="center"/>
              <w:rPr>
                <w:rFonts w:eastAsiaTheme="minorEastAsia" w:cs="Calibri"/>
                <w:color w:val="000000"/>
              </w:rPr>
            </w:pPr>
            <w:r w:rsidRPr="007B268A">
              <w:rPr>
                <w:rFonts w:eastAsiaTheme="minorEastAsia" w:cs="Calibri"/>
                <w:color w:val="000000"/>
              </w:rPr>
              <w:t>Water and Sanitation Only</w:t>
            </w:r>
          </w:p>
        </w:tc>
        <w:tc>
          <w:tcPr>
            <w:tcW w:w="940" w:type="pct"/>
            <w:vAlign w:val="center"/>
          </w:tcPr>
          <w:p w:rsidR="00972987" w:rsidRPr="007B268A" w:rsidRDefault="00972987" w:rsidP="0043092C">
            <w:pPr>
              <w:autoSpaceDE w:val="0"/>
              <w:autoSpaceDN w:val="0"/>
              <w:adjustRightInd w:val="0"/>
              <w:jc w:val="center"/>
              <w:rPr>
                <w:rFonts w:eastAsiaTheme="minorEastAsia" w:cs="Calibri"/>
                <w:color w:val="000000"/>
              </w:rPr>
            </w:pPr>
            <w:r w:rsidRPr="007B268A">
              <w:rPr>
                <w:rFonts w:eastAsiaTheme="minorEastAsia" w:cs="Calibri"/>
                <w:color w:val="000000"/>
              </w:rPr>
              <w:t>Universal Targets</w:t>
            </w:r>
          </w:p>
        </w:tc>
      </w:tr>
      <w:tr w:rsidR="00972987" w:rsidRPr="007B268A">
        <w:trPr>
          <w:trHeight w:val="290"/>
        </w:trPr>
        <w:tc>
          <w:tcPr>
            <w:tcW w:w="768" w:type="pct"/>
            <w:vMerge/>
          </w:tcPr>
          <w:p w:rsidR="00972987" w:rsidRPr="007B268A" w:rsidRDefault="00972987" w:rsidP="0043092C">
            <w:pPr>
              <w:autoSpaceDE w:val="0"/>
              <w:autoSpaceDN w:val="0"/>
              <w:adjustRightInd w:val="0"/>
              <w:rPr>
                <w:rFonts w:eastAsiaTheme="minorEastAsia" w:cs="Calibri"/>
                <w:color w:val="000000"/>
              </w:rPr>
            </w:pPr>
          </w:p>
        </w:tc>
        <w:tc>
          <w:tcPr>
            <w:tcW w:w="517" w:type="pct"/>
            <w:vAlign w:val="center"/>
          </w:tcPr>
          <w:p w:rsidR="00972987" w:rsidRPr="007B268A" w:rsidRDefault="00972987" w:rsidP="0043092C">
            <w:pPr>
              <w:autoSpaceDE w:val="0"/>
              <w:autoSpaceDN w:val="0"/>
              <w:adjustRightInd w:val="0"/>
              <w:jc w:val="center"/>
              <w:rPr>
                <w:rFonts w:eastAsiaTheme="minorEastAsia" w:cs="Calibri"/>
                <w:color w:val="000000"/>
              </w:rPr>
            </w:pPr>
            <w:r w:rsidRPr="007B268A">
              <w:rPr>
                <w:rFonts w:eastAsiaTheme="minorEastAsia" w:cs="Calibri"/>
                <w:color w:val="000000"/>
              </w:rPr>
              <w:t>3</w:t>
            </w:r>
          </w:p>
        </w:tc>
        <w:tc>
          <w:tcPr>
            <w:tcW w:w="904" w:type="pct"/>
            <w:vAlign w:val="center"/>
          </w:tcPr>
          <w:p w:rsidR="00972987" w:rsidRPr="007B268A" w:rsidRDefault="00972987" w:rsidP="0043092C">
            <w:pPr>
              <w:autoSpaceDE w:val="0"/>
              <w:autoSpaceDN w:val="0"/>
              <w:adjustRightInd w:val="0"/>
              <w:jc w:val="center"/>
              <w:rPr>
                <w:rFonts w:eastAsiaTheme="minorEastAsia" w:cs="Calibri"/>
                <w:color w:val="000000"/>
              </w:rPr>
            </w:pPr>
            <w:r w:rsidRPr="007B268A">
              <w:rPr>
                <w:rFonts w:eastAsiaTheme="minorEastAsia" w:cs="Calibri"/>
                <w:color w:val="000000"/>
              </w:rPr>
              <w:t>Water and Sanitation Only</w:t>
            </w:r>
          </w:p>
        </w:tc>
        <w:tc>
          <w:tcPr>
            <w:tcW w:w="930" w:type="pct"/>
            <w:vAlign w:val="center"/>
          </w:tcPr>
          <w:p w:rsidR="00972987" w:rsidRPr="007B268A" w:rsidRDefault="00972987" w:rsidP="0043092C">
            <w:pPr>
              <w:autoSpaceDE w:val="0"/>
              <w:autoSpaceDN w:val="0"/>
              <w:adjustRightInd w:val="0"/>
              <w:jc w:val="center"/>
              <w:rPr>
                <w:rFonts w:eastAsiaTheme="minorEastAsia" w:cs="Calibri"/>
                <w:color w:val="000000"/>
              </w:rPr>
            </w:pPr>
            <w:r w:rsidRPr="007B268A">
              <w:rPr>
                <w:rFonts w:eastAsiaTheme="minorEastAsia" w:cs="Calibri"/>
                <w:color w:val="000000"/>
              </w:rPr>
              <w:t>Water and Sanitation Only</w:t>
            </w:r>
          </w:p>
        </w:tc>
        <w:tc>
          <w:tcPr>
            <w:tcW w:w="940" w:type="pct"/>
            <w:gridSpan w:val="2"/>
            <w:vAlign w:val="center"/>
          </w:tcPr>
          <w:p w:rsidR="00972987" w:rsidRPr="007B268A" w:rsidRDefault="00972987" w:rsidP="0043092C">
            <w:pPr>
              <w:autoSpaceDE w:val="0"/>
              <w:autoSpaceDN w:val="0"/>
              <w:adjustRightInd w:val="0"/>
              <w:jc w:val="center"/>
              <w:rPr>
                <w:rFonts w:eastAsiaTheme="minorEastAsia" w:cs="Calibri"/>
                <w:color w:val="000000"/>
              </w:rPr>
            </w:pPr>
            <w:r w:rsidRPr="007B268A">
              <w:rPr>
                <w:rFonts w:eastAsiaTheme="minorEastAsia" w:cs="Calibri"/>
                <w:color w:val="000000"/>
              </w:rPr>
              <w:t>High Performers</w:t>
            </w:r>
          </w:p>
        </w:tc>
        <w:tc>
          <w:tcPr>
            <w:tcW w:w="940" w:type="pct"/>
            <w:vAlign w:val="center"/>
          </w:tcPr>
          <w:p w:rsidR="00972987" w:rsidRPr="007B268A" w:rsidRDefault="00972987" w:rsidP="0043092C">
            <w:pPr>
              <w:autoSpaceDE w:val="0"/>
              <w:autoSpaceDN w:val="0"/>
              <w:adjustRightInd w:val="0"/>
              <w:jc w:val="center"/>
              <w:rPr>
                <w:rFonts w:eastAsiaTheme="minorEastAsia" w:cs="Calibri"/>
                <w:color w:val="000000"/>
              </w:rPr>
            </w:pPr>
            <w:r w:rsidRPr="007B268A">
              <w:rPr>
                <w:rFonts w:eastAsiaTheme="minorEastAsia" w:cs="Calibri"/>
                <w:color w:val="000000"/>
              </w:rPr>
              <w:t>All 2050</w:t>
            </w:r>
          </w:p>
        </w:tc>
      </w:tr>
      <w:tr w:rsidR="00972987" w:rsidRPr="007B268A">
        <w:trPr>
          <w:trHeight w:val="290"/>
        </w:trPr>
        <w:tc>
          <w:tcPr>
            <w:tcW w:w="5000" w:type="pct"/>
            <w:gridSpan w:val="7"/>
            <w:vAlign w:val="center"/>
          </w:tcPr>
          <w:p w:rsidR="00972987" w:rsidRPr="007B268A" w:rsidRDefault="00972987" w:rsidP="0043092C">
            <w:pPr>
              <w:autoSpaceDE w:val="0"/>
              <w:autoSpaceDN w:val="0"/>
              <w:adjustRightInd w:val="0"/>
              <w:rPr>
                <w:rFonts w:eastAsiaTheme="minorEastAsia" w:cs="Calibri"/>
                <w:color w:val="000000"/>
              </w:rPr>
            </w:pPr>
            <w:r w:rsidRPr="007B268A">
              <w:rPr>
                <w:rFonts w:eastAsiaTheme="minorEastAsia" w:cs="Calibri"/>
                <w:i/>
                <w:color w:val="000000"/>
              </w:rPr>
              <w:t>Source</w:t>
            </w:r>
            <w:r w:rsidRPr="007B268A">
              <w:rPr>
                <w:rFonts w:eastAsiaTheme="minorEastAsia" w:cs="Calibri"/>
                <w:color w:val="000000"/>
              </w:rPr>
              <w:t xml:space="preserve">: </w:t>
            </w:r>
            <w:r w:rsidRPr="007B268A">
              <w:rPr>
                <w:rFonts w:eastAsiaTheme="minorEastAsia" w:cs="Calibri"/>
                <w:i/>
                <w:color w:val="000000"/>
              </w:rPr>
              <w:t>IFs v6.57</w:t>
            </w:r>
          </w:p>
          <w:p w:rsidR="00972987" w:rsidRPr="007B268A" w:rsidRDefault="00972987" w:rsidP="0043092C">
            <w:pPr>
              <w:autoSpaceDE w:val="0"/>
              <w:autoSpaceDN w:val="0"/>
              <w:adjustRightInd w:val="0"/>
              <w:rPr>
                <w:rFonts w:eastAsiaTheme="minorEastAsia" w:cs="Calibri"/>
                <w:i/>
                <w:color w:val="000000"/>
              </w:rPr>
            </w:pPr>
            <w:r w:rsidRPr="007B268A">
              <w:rPr>
                <w:rFonts w:eastAsiaTheme="minorEastAsia" w:cs="Calibri"/>
                <w:i/>
                <w:color w:val="000000"/>
              </w:rPr>
              <w:t>Note: Rankings defined by level of HDI in final year of the time horizon.</w:t>
            </w:r>
          </w:p>
        </w:tc>
      </w:tr>
    </w:tbl>
    <w:p w:rsidR="00972987" w:rsidRPr="007B268A" w:rsidRDefault="00972987" w:rsidP="00972987"/>
    <w:p w:rsidR="00972987" w:rsidRPr="007B268A" w:rsidRDefault="00972987" w:rsidP="00972987">
      <w:r w:rsidRPr="007B268A">
        <w:t xml:space="preserve">Recognizing these differences, do any of the scenarios consistently outperform the others? The simple answer to this question is "no". Figure 6.10 contrasts the scenarios in terms of the number of countries for which each scenario performs best using the two metrics and two time horizons. Irrespective of the time horizon or the metric, none of the scenarios is the top choice of more than 60 percent of countries. Furthermore, the only situation in which a scenario is not best performing for at least one country is when we use a time horizon of 2060 and GDP/spending as the metric. Interestingly, under those conditions no country should prefer the </w:t>
      </w:r>
      <w:r>
        <w:t>base case</w:t>
      </w:r>
      <w:r w:rsidRPr="007B268A">
        <w:t>.</w:t>
      </w:r>
    </w:p>
    <w:p w:rsidR="00972987" w:rsidRPr="007B268A" w:rsidRDefault="00972987" w:rsidP="00972987"/>
    <w:p w:rsidR="00972987" w:rsidRPr="007B268A" w:rsidRDefault="00972987" w:rsidP="00972987">
      <w:r w:rsidRPr="007B268A">
        <w:t xml:space="preserve">If we look closer, however, a number of patterns do appear in these results. First, the </w:t>
      </w:r>
      <w:r>
        <w:t>base case</w:t>
      </w:r>
      <w:r w:rsidRPr="007B268A">
        <w:t xml:space="preserve"> is very rarely the most preferred of the scenarios for any country. Thus, there is some net benefit to trying to accelerate infrastructure development in some way for almost all countries.</w:t>
      </w:r>
      <w:r>
        <w:t xml:space="preserve"> </w:t>
      </w:r>
      <w:r w:rsidRPr="007B268A">
        <w:t xml:space="preserve">That reinforces our understanding that expenditures on public goods like infrastructure tends to be sub-optimal—we have emphasized that the </w:t>
      </w:r>
      <w:r>
        <w:t>base case</w:t>
      </w:r>
      <w:r w:rsidRPr="007B268A">
        <w:t xml:space="preserve"> uses demand equations based on historical patterns.</w:t>
      </w:r>
    </w:p>
    <w:p w:rsidR="00972987" w:rsidRPr="007B268A" w:rsidRDefault="00972987" w:rsidP="00972987"/>
    <w:p w:rsidR="00972987" w:rsidRPr="007B268A" w:rsidRDefault="00972987" w:rsidP="00972987">
      <w:r w:rsidRPr="007B268A">
        <w:t>Looking across the different types of infrastructure, prioritizing water and sanitation is consistently preferred by more countries than other single-emphasis scenarios, followed by electricity and ICT. The fact that fewer countries choose ICT as their main priority with longer time horizons is almost certainly due to our inability to envision and capture all of the potential developments in ICT and its benefits, in our analysis. There appears to be much less benefit in focusing on roads based on this analysis. This is not surprising as we have already noted the increasing marginal costs in improving road access, which in turn requires greater diversions of public resources from other expenditure categories.</w:t>
      </w:r>
    </w:p>
    <w:p w:rsidR="00972987" w:rsidRPr="007B268A" w:rsidRDefault="00972987" w:rsidP="00972987"/>
    <w:p w:rsidR="00972987" w:rsidRPr="007B268A" w:rsidRDefault="00972987" w:rsidP="00972987">
      <w:r w:rsidRPr="007B268A">
        <w:t>Turning to the scenarios that include targets for the full range of infrastructure types, we see that the more aggressive scenarios, i.e., Universal Targets and High Performers, perform much better when we use HDI as the metric rather than the narrow, purely economic metric. Furthermore, more countries prefer both as we increase the time horizon. Based on these two metrics, it would be hard to say, however, which one is better overall, but we have seen that the pursuit (often without achievement) of universal targets has very substantial near-term human development costs for a large number of countries that would need to divert resources from other public priorities. That would be true for many countries also of the High Performers scenario. Only a few countries would consider delaying the target date for the universal targets by 20 years to be optimal. For most countries the lost benefits quickly outweigh the cost savings. Comparing the two scenarios in which the targeted levels of access are linked to a country’s general level of development, we find that the metric matters. Using the economic metric, more countries prefer just meeting expectations to trying to reach the level of the better performers. The opposite is the case when we use HDI as our metric.</w:t>
      </w:r>
    </w:p>
    <w:p w:rsidR="00972987" w:rsidRPr="007B268A" w:rsidRDefault="00972987" w:rsidP="00972987"/>
    <w:p w:rsidR="00972987" w:rsidRDefault="00972987" w:rsidP="00972987">
      <w:pPr>
        <w:jc w:val="center"/>
        <w:rPr>
          <w:b/>
        </w:rPr>
      </w:pPr>
      <w:r w:rsidRPr="008D3886">
        <w:rPr>
          <w:b/>
          <w:noProof/>
        </w:rPr>
        <w:drawing>
          <wp:inline distT="0" distB="0" distL="0" distR="0">
            <wp:extent cx="5486400" cy="3550920"/>
            <wp:effectExtent l="25400" t="25400" r="0" b="5080"/>
            <wp:docPr id="353" name="C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972987" w:rsidRPr="007B268A" w:rsidRDefault="00972987" w:rsidP="00972987">
      <w:pPr>
        <w:rPr>
          <w:b/>
        </w:rPr>
      </w:pPr>
      <w:r w:rsidRPr="007B268A">
        <w:rPr>
          <w:b/>
        </w:rPr>
        <w:t xml:space="preserve">Figure 6.10 </w:t>
      </w:r>
      <w:r>
        <w:rPr>
          <w:b/>
        </w:rPr>
        <w:t>P</w:t>
      </w:r>
      <w:r w:rsidRPr="007B268A">
        <w:rPr>
          <w:b/>
        </w:rPr>
        <w:t xml:space="preserve">ercentage of </w:t>
      </w:r>
      <w:r>
        <w:rPr>
          <w:b/>
        </w:rPr>
        <w:t>c</w:t>
      </w:r>
      <w:r w:rsidRPr="007B268A">
        <w:rPr>
          <w:b/>
        </w:rPr>
        <w:t xml:space="preserve">ountries with </w:t>
      </w:r>
      <w:r>
        <w:rPr>
          <w:b/>
        </w:rPr>
        <w:t>p</w:t>
      </w:r>
      <w:r w:rsidRPr="007B268A">
        <w:rPr>
          <w:b/>
        </w:rPr>
        <w:t xml:space="preserve">reference for </w:t>
      </w:r>
      <w:r>
        <w:rPr>
          <w:b/>
        </w:rPr>
        <w:t>p</w:t>
      </w:r>
      <w:r w:rsidRPr="007B268A">
        <w:rPr>
          <w:b/>
        </w:rPr>
        <w:t xml:space="preserve">articular </w:t>
      </w:r>
      <w:r>
        <w:rPr>
          <w:b/>
        </w:rPr>
        <w:t>s</w:t>
      </w:r>
      <w:r w:rsidRPr="007B268A">
        <w:rPr>
          <w:b/>
        </w:rPr>
        <w:t xml:space="preserve">cenarios, </w:t>
      </w:r>
      <w:r>
        <w:rPr>
          <w:b/>
        </w:rPr>
        <w:t>a</w:t>
      </w:r>
      <w:r w:rsidRPr="007B268A">
        <w:rPr>
          <w:b/>
        </w:rPr>
        <w:t xml:space="preserve">ll </w:t>
      </w:r>
      <w:r>
        <w:rPr>
          <w:b/>
        </w:rPr>
        <w:t>c</w:t>
      </w:r>
      <w:r w:rsidRPr="007B268A">
        <w:rPr>
          <w:b/>
        </w:rPr>
        <w:t>ountries</w:t>
      </w:r>
    </w:p>
    <w:p w:rsidR="00972987" w:rsidRPr="007B268A" w:rsidRDefault="00972987" w:rsidP="00972987">
      <w:r w:rsidRPr="007B268A">
        <w:rPr>
          <w:i/>
        </w:rPr>
        <w:t>Source</w:t>
      </w:r>
      <w:r w:rsidRPr="007B268A">
        <w:t xml:space="preserve">: </w:t>
      </w:r>
      <w:r w:rsidRPr="007B268A">
        <w:rPr>
          <w:i/>
        </w:rPr>
        <w:t>IFs v6.57</w:t>
      </w:r>
    </w:p>
    <w:p w:rsidR="00972987" w:rsidRPr="007B268A" w:rsidRDefault="00972987" w:rsidP="00972987"/>
    <w:p w:rsidR="00972987" w:rsidRPr="007B268A" w:rsidRDefault="00972987" w:rsidP="00972987">
      <w:r w:rsidRPr="007B268A">
        <w:t>Figure 6.11 repeats Figure 6.10, but only includes countries in sub-Saharan Africa. Some of the same patterns re-emerge here, but they are exaggerated somewhat. For example, the relative attractiveness of prioritizing water and sanitation is even more evident in this region. The larger number of countries preferring the pursuit of the universal targets when HDI is used as the metric is also apparent. At the same time, very few countries in this region would opt for the High Performers scenario based on our two metrics. For some countries, however, High Performers would require less pain from short-term costs associated with fund diversion (this analysis is not considering the first 10 years) than would Universal Targets. Meet Expectations would generally require still less immediate redirection of funds, and that scenario also provides important returns by 2030, especially economic ones.</w:t>
      </w:r>
      <w:r>
        <w:t xml:space="preserve"> </w:t>
      </w:r>
      <w:r w:rsidRPr="007B268A">
        <w:t xml:space="preserve"> That means that the other more affordable options become very important alternatives for these countries. </w:t>
      </w:r>
    </w:p>
    <w:p w:rsidR="00972987" w:rsidRPr="007B268A" w:rsidRDefault="00972987" w:rsidP="00972987"/>
    <w:p w:rsidR="00972987" w:rsidRDefault="00972987" w:rsidP="00972987">
      <w:pPr>
        <w:jc w:val="center"/>
        <w:rPr>
          <w:b/>
        </w:rPr>
      </w:pPr>
      <w:r w:rsidRPr="008D3886">
        <w:rPr>
          <w:b/>
          <w:noProof/>
        </w:rPr>
        <w:drawing>
          <wp:inline distT="0" distB="0" distL="0" distR="0">
            <wp:extent cx="5486400" cy="3488055"/>
            <wp:effectExtent l="25400" t="25400" r="0" b="0"/>
            <wp:docPr id="355" name="C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972987" w:rsidRPr="007B268A" w:rsidRDefault="00972987" w:rsidP="00972987">
      <w:pPr>
        <w:rPr>
          <w:b/>
        </w:rPr>
      </w:pPr>
      <w:r w:rsidRPr="007B268A">
        <w:rPr>
          <w:b/>
        </w:rPr>
        <w:t xml:space="preserve">Figure 6.11 Percentage of </w:t>
      </w:r>
      <w:r>
        <w:rPr>
          <w:b/>
        </w:rPr>
        <w:t>c</w:t>
      </w:r>
      <w:r w:rsidRPr="007B268A">
        <w:rPr>
          <w:b/>
        </w:rPr>
        <w:t xml:space="preserve">ountries with </w:t>
      </w:r>
      <w:r>
        <w:rPr>
          <w:b/>
        </w:rPr>
        <w:t>p</w:t>
      </w:r>
      <w:r w:rsidRPr="007B268A">
        <w:rPr>
          <w:b/>
        </w:rPr>
        <w:t xml:space="preserve">reference for </w:t>
      </w:r>
      <w:r>
        <w:rPr>
          <w:b/>
        </w:rPr>
        <w:t>p</w:t>
      </w:r>
      <w:r w:rsidRPr="007B268A">
        <w:rPr>
          <w:b/>
        </w:rPr>
        <w:t xml:space="preserve">articular </w:t>
      </w:r>
      <w:r>
        <w:rPr>
          <w:b/>
        </w:rPr>
        <w:t>s</w:t>
      </w:r>
      <w:r w:rsidRPr="007B268A">
        <w:rPr>
          <w:b/>
        </w:rPr>
        <w:t>cenarios, sub-Saharan Africa</w:t>
      </w:r>
    </w:p>
    <w:p w:rsidR="00972987" w:rsidRPr="007B268A" w:rsidRDefault="00972987" w:rsidP="00972987">
      <w:r w:rsidRPr="007B268A">
        <w:rPr>
          <w:i/>
        </w:rPr>
        <w:t>Source</w:t>
      </w:r>
      <w:r w:rsidRPr="007B268A">
        <w:t xml:space="preserve">: </w:t>
      </w:r>
      <w:r w:rsidRPr="007B268A">
        <w:rPr>
          <w:i/>
        </w:rPr>
        <w:t>IFs v6.57</w:t>
      </w:r>
    </w:p>
    <w:p w:rsidR="00972987" w:rsidRPr="007B268A" w:rsidRDefault="00972987" w:rsidP="00972987"/>
    <w:p w:rsidR="00972987" w:rsidRPr="007B268A" w:rsidRDefault="00972987" w:rsidP="00763BA1">
      <w:pPr>
        <w:pStyle w:val="Heading3"/>
        <w:numPr>
          <w:ilvl w:val="0"/>
          <w:numId w:val="0"/>
        </w:numPr>
      </w:pPr>
      <w:bookmarkStart w:id="207" w:name="_Toc199925081"/>
      <w:bookmarkStart w:id="208" w:name="_Toc200095337"/>
      <w:r>
        <w:t>6.4.3</w:t>
      </w:r>
      <w:r>
        <w:tab/>
      </w:r>
      <w:r w:rsidRPr="007B268A">
        <w:t>Lessons from the results for target and priority setting by countries</w:t>
      </w:r>
      <w:bookmarkEnd w:id="207"/>
      <w:bookmarkEnd w:id="208"/>
    </w:p>
    <w:p w:rsidR="00972987" w:rsidRPr="007B268A" w:rsidRDefault="00972987" w:rsidP="00972987">
      <w:r w:rsidRPr="007B268A">
        <w:t>The results presented in the previous section obviously depend upon the myriad assumptions in IFs, as well as the metrics we have chosen for ranking the desirability of the alternative scenarios. Still, they can provide some guidance for priority setting related to infrastructure development for individual countries.</w:t>
      </w:r>
    </w:p>
    <w:p w:rsidR="00972987" w:rsidRPr="007B268A" w:rsidRDefault="00972987" w:rsidP="00972987"/>
    <w:p w:rsidR="00972987" w:rsidRPr="007B268A" w:rsidRDefault="00972987" w:rsidP="00972987">
      <w:r w:rsidRPr="007B268A">
        <w:t>The primary message is that there is no universally preferred set of targets; these will differ by country and time horizon. Every country differs in terms of where it starts in terms of levels of access, economic resources to pursue infrastructure development, and the other development challenges it faces.</w:t>
      </w:r>
    </w:p>
    <w:p w:rsidR="00972987" w:rsidRPr="007B268A" w:rsidRDefault="00972987" w:rsidP="00972987"/>
    <w:p w:rsidR="00972987" w:rsidRPr="007B268A" w:rsidRDefault="00972987" w:rsidP="00972987">
      <w:r w:rsidRPr="007B268A">
        <w:t>Referring back to Table 6.10, assuming a time horizon of 2030, Bangladesh and Kenya should prioritize achieving universal access to water and sanitation, while Panama should take a more balanced approach, without necessarily trying to achieve universal access. Table 6.11 extends these results by presenting the most preferred scenario for each country based on a time horizon of 2030 using HDI as the metric of preference. These should be viewed as only preliminary recommendations. In actual priority setting individual countries would want to refine the analysis using additional information, such as country-specific costs for construction and maintenance, a broader range of scenarios, and a set of alternative metrics for comparing scenarios. Perhaps most importantly, they would need to compare the net benefits of increasing investment in infrastructure, as explored in these scenarios, vis-à-vis increasing other public investments.</w:t>
      </w:r>
    </w:p>
    <w:p w:rsidR="00972987" w:rsidRPr="007B268A" w:rsidRDefault="00972987" w:rsidP="00763BA1">
      <w:pPr>
        <w:pStyle w:val="Heading3"/>
        <w:numPr>
          <w:ilvl w:val="0"/>
          <w:numId w:val="0"/>
        </w:numPr>
      </w:pPr>
      <w:bookmarkStart w:id="209" w:name="_Toc199925082"/>
      <w:bookmarkStart w:id="210" w:name="_Toc200095338"/>
      <w:r>
        <w:t>6.4.4</w:t>
      </w:r>
      <w:r>
        <w:tab/>
      </w:r>
      <w:r w:rsidRPr="007B268A">
        <w:t>Lessons for international donors</w:t>
      </w:r>
      <w:bookmarkEnd w:id="209"/>
      <w:bookmarkEnd w:id="210"/>
    </w:p>
    <w:p w:rsidR="00972987" w:rsidRPr="007B268A" w:rsidRDefault="00972987" w:rsidP="00972987">
      <w:r w:rsidRPr="007B268A">
        <w:t>The alternative scenarios considered thus far have continued to assume that the additional resources being used for infrastructure arise within the country. Therefore, the results provide guidance on how countries might wish to allocate their own resources. If we adopt the perspective of an international donor, however, the same conclusions may not hold. In particular, of key concern to domestic governments is the tradeoff inherent in diverting limited public resources from other sectors in order to accelerate infrastructure development. International donors, however, face further tradeoffs. For example, the influx of potentially large sums of funding from external sources can have wider macroeconomic and social impacts (including the potential for corruption or misuse of funds and for adverse effects on currency valuation, the so-called "Dutch disease") that would need to be considered in making any decisions concerning infrastructure funding. This level of analysis goes beyond the scope of the current volume, however.</w:t>
      </w:r>
    </w:p>
    <w:p w:rsidR="00972987" w:rsidRDefault="00972987" w:rsidP="00972987">
      <w:r w:rsidRPr="007B268A">
        <w:br w:type="page"/>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0"/>
        <w:gridCol w:w="1530"/>
        <w:gridCol w:w="1350"/>
        <w:gridCol w:w="1170"/>
        <w:gridCol w:w="1350"/>
        <w:gridCol w:w="1170"/>
        <w:gridCol w:w="1350"/>
      </w:tblGrid>
      <w:tr w:rsidR="00972987" w:rsidRPr="007B268A">
        <w:trPr>
          <w:trHeight w:val="300"/>
        </w:trPr>
        <w:tc>
          <w:tcPr>
            <w:tcW w:w="9450"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972987" w:rsidRPr="007B268A" w:rsidRDefault="00972987" w:rsidP="0043092C">
            <w:pPr>
              <w:rPr>
                <w:b/>
                <w:bCs/>
                <w:color w:val="000000"/>
                <w:sz w:val="20"/>
                <w:u w:val="single"/>
              </w:rPr>
            </w:pPr>
            <w:r w:rsidRPr="007B268A">
              <w:rPr>
                <w:b/>
                <w:bCs/>
                <w:color w:val="000000"/>
                <w:sz w:val="20"/>
                <w:u w:val="single"/>
              </w:rPr>
              <w:t xml:space="preserve">Table 6.11 Most </w:t>
            </w:r>
            <w:r>
              <w:rPr>
                <w:b/>
                <w:bCs/>
                <w:color w:val="000000"/>
                <w:sz w:val="20"/>
                <w:u w:val="single"/>
              </w:rPr>
              <w:t>p</w:t>
            </w:r>
            <w:r w:rsidRPr="007B268A">
              <w:rPr>
                <w:b/>
                <w:bCs/>
                <w:color w:val="000000"/>
                <w:sz w:val="20"/>
                <w:u w:val="single"/>
              </w:rPr>
              <w:t xml:space="preserve">referred </w:t>
            </w:r>
            <w:r>
              <w:rPr>
                <w:b/>
                <w:bCs/>
                <w:color w:val="000000"/>
                <w:sz w:val="20"/>
                <w:u w:val="single"/>
              </w:rPr>
              <w:t>s</w:t>
            </w:r>
            <w:r w:rsidRPr="007B268A">
              <w:rPr>
                <w:b/>
                <w:bCs/>
                <w:color w:val="000000"/>
                <w:sz w:val="20"/>
                <w:u w:val="single"/>
              </w:rPr>
              <w:t xml:space="preserve">cenario by </w:t>
            </w:r>
            <w:r>
              <w:rPr>
                <w:b/>
                <w:bCs/>
                <w:color w:val="000000"/>
                <w:sz w:val="20"/>
                <w:u w:val="single"/>
              </w:rPr>
              <w:t>c</w:t>
            </w:r>
            <w:r w:rsidRPr="007B268A">
              <w:rPr>
                <w:b/>
                <w:bCs/>
                <w:color w:val="000000"/>
                <w:sz w:val="20"/>
                <w:u w:val="single"/>
              </w:rPr>
              <w:t xml:space="preserve">ountry using a </w:t>
            </w:r>
            <w:r>
              <w:rPr>
                <w:b/>
                <w:bCs/>
                <w:color w:val="000000"/>
                <w:sz w:val="20"/>
                <w:u w:val="single"/>
              </w:rPr>
              <w:t>t</w:t>
            </w:r>
            <w:r w:rsidRPr="007B268A">
              <w:rPr>
                <w:b/>
                <w:bCs/>
                <w:color w:val="000000"/>
                <w:sz w:val="20"/>
                <w:u w:val="single"/>
              </w:rPr>
              <w:t xml:space="preserve">ime </w:t>
            </w:r>
            <w:r>
              <w:rPr>
                <w:b/>
                <w:bCs/>
                <w:color w:val="000000"/>
                <w:sz w:val="20"/>
                <w:u w:val="single"/>
              </w:rPr>
              <w:t>h</w:t>
            </w:r>
            <w:r w:rsidRPr="007B268A">
              <w:rPr>
                <w:b/>
                <w:bCs/>
                <w:color w:val="000000"/>
                <w:sz w:val="20"/>
                <w:u w:val="single"/>
              </w:rPr>
              <w:t>orizon of 2030</w:t>
            </w:r>
          </w:p>
        </w:tc>
      </w:tr>
      <w:tr w:rsidR="00972987" w:rsidRPr="007B268A">
        <w:trPr>
          <w:trHeight w:val="300"/>
        </w:trPr>
        <w:tc>
          <w:tcPr>
            <w:tcW w:w="1530" w:type="dxa"/>
            <w:tcBorders>
              <w:top w:val="single" w:sz="4" w:space="0" w:color="auto"/>
              <w:left w:val="single" w:sz="4" w:space="0" w:color="auto"/>
              <w:bottom w:val="nil"/>
              <w:right w:val="nil"/>
            </w:tcBorders>
            <w:shd w:val="clear" w:color="auto" w:fill="D9D9D9" w:themeFill="background1" w:themeFillShade="D9"/>
            <w:noWrap/>
            <w:vAlign w:val="center"/>
          </w:tcPr>
          <w:p w:rsidR="00972987" w:rsidRPr="007B268A" w:rsidRDefault="00972987" w:rsidP="0043092C">
            <w:pPr>
              <w:rPr>
                <w:b/>
                <w:bCs/>
                <w:color w:val="000000"/>
                <w:sz w:val="20"/>
              </w:rPr>
            </w:pPr>
            <w:r>
              <w:rPr>
                <w:b/>
                <w:bCs/>
                <w:color w:val="000000"/>
                <w:sz w:val="20"/>
              </w:rPr>
              <w:t>Base case</w:t>
            </w:r>
          </w:p>
        </w:tc>
        <w:tc>
          <w:tcPr>
            <w:tcW w:w="1530" w:type="dxa"/>
            <w:tcBorders>
              <w:top w:val="single" w:sz="4" w:space="0" w:color="auto"/>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Jordan</w:t>
            </w:r>
          </w:p>
        </w:tc>
        <w:tc>
          <w:tcPr>
            <w:tcW w:w="1350" w:type="dxa"/>
            <w:tcBorders>
              <w:top w:val="single" w:sz="4" w:space="0" w:color="auto"/>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Turkey</w:t>
            </w:r>
          </w:p>
        </w:tc>
        <w:tc>
          <w:tcPr>
            <w:tcW w:w="1170" w:type="dxa"/>
            <w:tcBorders>
              <w:top w:val="single" w:sz="4" w:space="0" w:color="auto"/>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Burkina Faso</w:t>
            </w:r>
          </w:p>
        </w:tc>
        <w:tc>
          <w:tcPr>
            <w:tcW w:w="1350" w:type="dxa"/>
            <w:tcBorders>
              <w:top w:val="single" w:sz="4" w:space="0" w:color="auto"/>
              <w:left w:val="nil"/>
              <w:bottom w:val="nil"/>
              <w:right w:val="nil"/>
            </w:tcBorders>
            <w:shd w:val="clear" w:color="auto" w:fill="D9D9D9" w:themeFill="background1" w:themeFillShade="D9"/>
            <w:noWrap/>
            <w:vAlign w:val="center"/>
          </w:tcPr>
          <w:p w:rsidR="00972987" w:rsidRPr="007B268A" w:rsidRDefault="00972987" w:rsidP="0043092C">
            <w:pPr>
              <w:rPr>
                <w:b/>
                <w:color w:val="000000"/>
                <w:sz w:val="20"/>
              </w:rPr>
            </w:pPr>
            <w:r w:rsidRPr="007B268A">
              <w:rPr>
                <w:b/>
                <w:color w:val="000000"/>
                <w:sz w:val="20"/>
              </w:rPr>
              <w:t>ICT Only</w:t>
            </w:r>
          </w:p>
        </w:tc>
        <w:tc>
          <w:tcPr>
            <w:tcW w:w="1170" w:type="dxa"/>
            <w:tcBorders>
              <w:top w:val="single" w:sz="4" w:space="0" w:color="auto"/>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Azerbaijan</w:t>
            </w:r>
          </w:p>
        </w:tc>
        <w:tc>
          <w:tcPr>
            <w:tcW w:w="1350" w:type="dxa"/>
            <w:tcBorders>
              <w:top w:val="single" w:sz="4" w:space="0" w:color="auto"/>
              <w:left w:val="nil"/>
              <w:bottom w:val="nil"/>
              <w:right w:val="single" w:sz="4" w:space="0" w:color="auto"/>
            </w:tcBorders>
            <w:shd w:val="clear" w:color="auto" w:fill="auto"/>
            <w:noWrap/>
            <w:vAlign w:val="center"/>
          </w:tcPr>
          <w:p w:rsidR="00972987" w:rsidRPr="007B268A" w:rsidRDefault="00972987" w:rsidP="0043092C">
            <w:pPr>
              <w:rPr>
                <w:b/>
                <w:bCs/>
                <w:color w:val="000000"/>
                <w:sz w:val="20"/>
                <w:u w:val="single"/>
              </w:rPr>
            </w:pPr>
            <w:r w:rsidRPr="007B268A">
              <w:rPr>
                <w:color w:val="000000"/>
                <w:sz w:val="20"/>
              </w:rPr>
              <w:t>Libya</w:t>
            </w:r>
          </w:p>
        </w:tc>
      </w:tr>
      <w:tr w:rsidR="00972987" w:rsidRPr="007B268A">
        <w:trPr>
          <w:trHeight w:val="300"/>
        </w:trPr>
        <w:tc>
          <w:tcPr>
            <w:tcW w:w="1530" w:type="dxa"/>
            <w:tcBorders>
              <w:top w:val="nil"/>
              <w:left w:val="single" w:sz="4" w:space="0" w:color="auto"/>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Mali</w:t>
            </w:r>
          </w:p>
        </w:tc>
        <w:tc>
          <w:tcPr>
            <w:tcW w:w="153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Korea North</w:t>
            </w:r>
          </w:p>
        </w:tc>
        <w:tc>
          <w:tcPr>
            <w:tcW w:w="1350" w:type="dxa"/>
            <w:tcBorders>
              <w:top w:val="nil"/>
              <w:left w:val="nil"/>
              <w:bottom w:val="nil"/>
              <w:right w:val="nil"/>
            </w:tcBorders>
            <w:shd w:val="clear" w:color="auto" w:fill="auto"/>
            <w:noWrap/>
            <w:vAlign w:val="center"/>
          </w:tcPr>
          <w:p w:rsidR="00972987" w:rsidRPr="007B268A" w:rsidRDefault="00972987" w:rsidP="0043092C">
            <w:pPr>
              <w:rPr>
                <w:b/>
                <w:bCs/>
                <w:color w:val="000000"/>
                <w:sz w:val="20"/>
                <w:u w:val="single"/>
              </w:rPr>
            </w:pPr>
            <w:r w:rsidRPr="007B268A">
              <w:rPr>
                <w:color w:val="000000"/>
                <w:sz w:val="20"/>
              </w:rPr>
              <w:t>Ukraine</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Burundi</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Egypt</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Bahrain</w:t>
            </w:r>
          </w:p>
        </w:tc>
        <w:tc>
          <w:tcPr>
            <w:tcW w:w="1350" w:type="dxa"/>
            <w:tcBorders>
              <w:top w:val="nil"/>
              <w:left w:val="nil"/>
              <w:bottom w:val="nil"/>
              <w:right w:val="single" w:sz="4" w:space="0" w:color="auto"/>
            </w:tcBorders>
            <w:shd w:val="clear" w:color="auto" w:fill="auto"/>
            <w:noWrap/>
            <w:vAlign w:val="center"/>
          </w:tcPr>
          <w:p w:rsidR="00972987" w:rsidRPr="007B268A" w:rsidRDefault="00972987" w:rsidP="0043092C">
            <w:pPr>
              <w:rPr>
                <w:color w:val="000000"/>
                <w:sz w:val="20"/>
              </w:rPr>
            </w:pPr>
            <w:r w:rsidRPr="007B268A">
              <w:rPr>
                <w:color w:val="000000"/>
                <w:sz w:val="20"/>
              </w:rPr>
              <w:t>Lithuania</w:t>
            </w:r>
          </w:p>
        </w:tc>
      </w:tr>
      <w:tr w:rsidR="00972987" w:rsidRPr="007B268A">
        <w:trPr>
          <w:trHeight w:val="300"/>
        </w:trPr>
        <w:tc>
          <w:tcPr>
            <w:tcW w:w="1530" w:type="dxa"/>
            <w:tcBorders>
              <w:top w:val="nil"/>
              <w:left w:val="single" w:sz="4" w:space="0" w:color="auto"/>
              <w:bottom w:val="nil"/>
              <w:right w:val="nil"/>
            </w:tcBorders>
            <w:shd w:val="clear" w:color="auto" w:fill="D9D9D9" w:themeFill="background1" w:themeFillShade="D9"/>
            <w:noWrap/>
            <w:vAlign w:val="center"/>
          </w:tcPr>
          <w:p w:rsidR="00972987" w:rsidRPr="007B268A" w:rsidRDefault="00972987" w:rsidP="0043092C">
            <w:pPr>
              <w:rPr>
                <w:b/>
                <w:color w:val="000000"/>
                <w:sz w:val="20"/>
              </w:rPr>
            </w:pPr>
            <w:r w:rsidRPr="007B268A">
              <w:rPr>
                <w:b/>
                <w:color w:val="000000"/>
                <w:sz w:val="20"/>
              </w:rPr>
              <w:t>Universal Targets</w:t>
            </w:r>
          </w:p>
        </w:tc>
        <w:tc>
          <w:tcPr>
            <w:tcW w:w="153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Laos</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Uruguay</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Chad</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Gambia</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Barbados</w:t>
            </w:r>
          </w:p>
        </w:tc>
        <w:tc>
          <w:tcPr>
            <w:tcW w:w="1350" w:type="dxa"/>
            <w:tcBorders>
              <w:top w:val="nil"/>
              <w:left w:val="nil"/>
              <w:bottom w:val="nil"/>
              <w:right w:val="single" w:sz="4" w:space="0" w:color="auto"/>
            </w:tcBorders>
            <w:shd w:val="clear" w:color="auto" w:fill="auto"/>
            <w:noWrap/>
            <w:vAlign w:val="center"/>
          </w:tcPr>
          <w:p w:rsidR="00972987" w:rsidRPr="007B268A" w:rsidRDefault="00972987" w:rsidP="0043092C">
            <w:pPr>
              <w:rPr>
                <w:color w:val="000000"/>
                <w:sz w:val="20"/>
              </w:rPr>
            </w:pPr>
            <w:r w:rsidRPr="007B268A">
              <w:rPr>
                <w:color w:val="000000"/>
                <w:sz w:val="20"/>
              </w:rPr>
              <w:t>Luxembourg</w:t>
            </w:r>
          </w:p>
        </w:tc>
      </w:tr>
      <w:tr w:rsidR="00972987" w:rsidRPr="007B268A">
        <w:trPr>
          <w:trHeight w:val="300"/>
        </w:trPr>
        <w:tc>
          <w:tcPr>
            <w:tcW w:w="1530" w:type="dxa"/>
            <w:tcBorders>
              <w:top w:val="nil"/>
              <w:left w:val="single" w:sz="4" w:space="0" w:color="auto"/>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Angola</w:t>
            </w:r>
          </w:p>
        </w:tc>
        <w:tc>
          <w:tcPr>
            <w:tcW w:w="153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Latvia</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Venezuela</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Cote d'Ivoire</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Guinea</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Belize</w:t>
            </w:r>
          </w:p>
        </w:tc>
        <w:tc>
          <w:tcPr>
            <w:tcW w:w="1350" w:type="dxa"/>
            <w:tcBorders>
              <w:top w:val="nil"/>
              <w:left w:val="nil"/>
              <w:bottom w:val="nil"/>
              <w:right w:val="single" w:sz="4" w:space="0" w:color="auto"/>
            </w:tcBorders>
            <w:shd w:val="clear" w:color="auto" w:fill="auto"/>
            <w:noWrap/>
            <w:vAlign w:val="center"/>
          </w:tcPr>
          <w:p w:rsidR="00972987" w:rsidRPr="007B268A" w:rsidRDefault="00972987" w:rsidP="0043092C">
            <w:pPr>
              <w:rPr>
                <w:color w:val="000000"/>
                <w:sz w:val="20"/>
              </w:rPr>
            </w:pPr>
            <w:r w:rsidRPr="007B268A">
              <w:rPr>
                <w:color w:val="000000"/>
                <w:sz w:val="20"/>
              </w:rPr>
              <w:t>Mauritius</w:t>
            </w:r>
          </w:p>
        </w:tc>
      </w:tr>
      <w:tr w:rsidR="00972987" w:rsidRPr="007B268A">
        <w:trPr>
          <w:trHeight w:val="300"/>
        </w:trPr>
        <w:tc>
          <w:tcPr>
            <w:tcW w:w="1530" w:type="dxa"/>
            <w:tcBorders>
              <w:top w:val="nil"/>
              <w:left w:val="single" w:sz="4" w:space="0" w:color="auto"/>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Bahamas</w:t>
            </w:r>
          </w:p>
        </w:tc>
        <w:tc>
          <w:tcPr>
            <w:tcW w:w="153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Lesotho</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Vietnam</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Djibouti</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Guyana</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Bulgaria</w:t>
            </w:r>
          </w:p>
        </w:tc>
        <w:tc>
          <w:tcPr>
            <w:tcW w:w="1350" w:type="dxa"/>
            <w:tcBorders>
              <w:top w:val="nil"/>
              <w:left w:val="nil"/>
              <w:bottom w:val="nil"/>
              <w:right w:val="single" w:sz="4" w:space="0" w:color="auto"/>
            </w:tcBorders>
            <w:shd w:val="clear" w:color="auto" w:fill="auto"/>
            <w:noWrap/>
            <w:vAlign w:val="center"/>
          </w:tcPr>
          <w:p w:rsidR="00972987" w:rsidRPr="007B268A" w:rsidRDefault="00972987" w:rsidP="0043092C">
            <w:pPr>
              <w:rPr>
                <w:color w:val="000000"/>
                <w:sz w:val="20"/>
              </w:rPr>
            </w:pPr>
            <w:r w:rsidRPr="007B268A">
              <w:rPr>
                <w:color w:val="000000"/>
                <w:sz w:val="20"/>
              </w:rPr>
              <w:t>Netherlands</w:t>
            </w:r>
          </w:p>
        </w:tc>
      </w:tr>
      <w:tr w:rsidR="00972987" w:rsidRPr="007B268A">
        <w:trPr>
          <w:trHeight w:val="300"/>
        </w:trPr>
        <w:tc>
          <w:tcPr>
            <w:tcW w:w="1530" w:type="dxa"/>
            <w:tcBorders>
              <w:top w:val="nil"/>
              <w:left w:val="single" w:sz="4" w:space="0" w:color="auto"/>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Belarus</w:t>
            </w:r>
          </w:p>
        </w:tc>
        <w:tc>
          <w:tcPr>
            <w:tcW w:w="153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Liberia</w:t>
            </w:r>
          </w:p>
        </w:tc>
        <w:tc>
          <w:tcPr>
            <w:tcW w:w="1350" w:type="dxa"/>
            <w:tcBorders>
              <w:top w:val="nil"/>
              <w:left w:val="nil"/>
              <w:bottom w:val="nil"/>
              <w:right w:val="nil"/>
            </w:tcBorders>
            <w:shd w:val="clear" w:color="auto" w:fill="D9D9D9" w:themeFill="background1" w:themeFillShade="D9"/>
            <w:noWrap/>
            <w:vAlign w:val="center"/>
          </w:tcPr>
          <w:p w:rsidR="00972987" w:rsidRPr="007B268A" w:rsidRDefault="00972987" w:rsidP="0043092C">
            <w:pPr>
              <w:rPr>
                <w:b/>
                <w:color w:val="000000"/>
                <w:sz w:val="20"/>
              </w:rPr>
            </w:pPr>
            <w:r w:rsidRPr="007B268A">
              <w:rPr>
                <w:b/>
                <w:color w:val="000000"/>
                <w:sz w:val="20"/>
              </w:rPr>
              <w:t>Roads Only</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Eritrea</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Madagascar</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Canada</w:t>
            </w:r>
          </w:p>
        </w:tc>
        <w:tc>
          <w:tcPr>
            <w:tcW w:w="1350" w:type="dxa"/>
            <w:tcBorders>
              <w:top w:val="nil"/>
              <w:left w:val="nil"/>
              <w:bottom w:val="nil"/>
              <w:right w:val="single" w:sz="4" w:space="0" w:color="auto"/>
            </w:tcBorders>
            <w:shd w:val="clear" w:color="auto" w:fill="auto"/>
            <w:noWrap/>
            <w:vAlign w:val="center"/>
          </w:tcPr>
          <w:p w:rsidR="00972987" w:rsidRPr="007B268A" w:rsidRDefault="00972987" w:rsidP="0043092C">
            <w:pPr>
              <w:rPr>
                <w:color w:val="000000"/>
                <w:sz w:val="20"/>
              </w:rPr>
            </w:pPr>
            <w:r w:rsidRPr="007B268A">
              <w:rPr>
                <w:color w:val="000000"/>
                <w:sz w:val="20"/>
              </w:rPr>
              <w:t>Norway</w:t>
            </w:r>
          </w:p>
        </w:tc>
      </w:tr>
      <w:tr w:rsidR="00972987" w:rsidRPr="007B268A">
        <w:trPr>
          <w:trHeight w:val="300"/>
        </w:trPr>
        <w:tc>
          <w:tcPr>
            <w:tcW w:w="1530" w:type="dxa"/>
            <w:tcBorders>
              <w:top w:val="nil"/>
              <w:left w:val="single" w:sz="4" w:space="0" w:color="auto"/>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Belgium</w:t>
            </w:r>
          </w:p>
        </w:tc>
        <w:tc>
          <w:tcPr>
            <w:tcW w:w="153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Macedonia</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Timor-Leste</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Gabon</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Malawi</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Cuba</w:t>
            </w:r>
          </w:p>
        </w:tc>
        <w:tc>
          <w:tcPr>
            <w:tcW w:w="1350" w:type="dxa"/>
            <w:tcBorders>
              <w:top w:val="nil"/>
              <w:left w:val="nil"/>
              <w:bottom w:val="nil"/>
              <w:right w:val="single" w:sz="4" w:space="0" w:color="auto"/>
            </w:tcBorders>
            <w:shd w:val="clear" w:color="auto" w:fill="auto"/>
            <w:noWrap/>
            <w:vAlign w:val="center"/>
          </w:tcPr>
          <w:p w:rsidR="00972987" w:rsidRPr="007B268A" w:rsidRDefault="00972987" w:rsidP="0043092C">
            <w:pPr>
              <w:rPr>
                <w:color w:val="000000"/>
                <w:sz w:val="20"/>
              </w:rPr>
            </w:pPr>
            <w:r w:rsidRPr="007B268A">
              <w:rPr>
                <w:color w:val="000000"/>
                <w:sz w:val="20"/>
              </w:rPr>
              <w:t>Panama</w:t>
            </w:r>
          </w:p>
        </w:tc>
      </w:tr>
      <w:tr w:rsidR="00972987" w:rsidRPr="007B268A">
        <w:trPr>
          <w:trHeight w:val="300"/>
        </w:trPr>
        <w:tc>
          <w:tcPr>
            <w:tcW w:w="1530" w:type="dxa"/>
            <w:tcBorders>
              <w:top w:val="nil"/>
              <w:left w:val="single" w:sz="4" w:space="0" w:color="auto"/>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Bosnia</w:t>
            </w:r>
          </w:p>
        </w:tc>
        <w:tc>
          <w:tcPr>
            <w:tcW w:w="153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Maldives</w:t>
            </w:r>
          </w:p>
        </w:tc>
        <w:tc>
          <w:tcPr>
            <w:tcW w:w="1350" w:type="dxa"/>
            <w:tcBorders>
              <w:top w:val="nil"/>
              <w:left w:val="nil"/>
              <w:bottom w:val="nil"/>
              <w:right w:val="nil"/>
            </w:tcBorders>
            <w:shd w:val="clear" w:color="auto" w:fill="D9D9D9" w:themeFill="background1" w:themeFillShade="D9"/>
            <w:noWrap/>
            <w:vAlign w:val="center"/>
          </w:tcPr>
          <w:p w:rsidR="00972987" w:rsidRPr="007B268A" w:rsidRDefault="00972987" w:rsidP="0043092C">
            <w:pPr>
              <w:rPr>
                <w:b/>
                <w:color w:val="000000"/>
                <w:sz w:val="20"/>
              </w:rPr>
            </w:pPr>
            <w:r w:rsidRPr="007B268A">
              <w:rPr>
                <w:b/>
                <w:color w:val="000000"/>
                <w:sz w:val="20"/>
              </w:rPr>
              <w:t>Electricity Only</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Ghana</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Moldova</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Cyprus</w:t>
            </w:r>
          </w:p>
        </w:tc>
        <w:tc>
          <w:tcPr>
            <w:tcW w:w="1350" w:type="dxa"/>
            <w:tcBorders>
              <w:top w:val="nil"/>
              <w:left w:val="nil"/>
              <w:bottom w:val="nil"/>
              <w:right w:val="single" w:sz="4" w:space="0" w:color="auto"/>
            </w:tcBorders>
            <w:shd w:val="clear" w:color="auto" w:fill="auto"/>
            <w:noWrap/>
            <w:vAlign w:val="center"/>
          </w:tcPr>
          <w:p w:rsidR="00972987" w:rsidRPr="007B268A" w:rsidRDefault="00972987" w:rsidP="0043092C">
            <w:pPr>
              <w:rPr>
                <w:color w:val="000000"/>
                <w:sz w:val="20"/>
              </w:rPr>
            </w:pPr>
            <w:r w:rsidRPr="007B268A">
              <w:rPr>
                <w:color w:val="000000"/>
                <w:sz w:val="20"/>
              </w:rPr>
              <w:t>Paraguay</w:t>
            </w:r>
          </w:p>
        </w:tc>
      </w:tr>
      <w:tr w:rsidR="00972987" w:rsidRPr="007B268A">
        <w:trPr>
          <w:trHeight w:val="300"/>
        </w:trPr>
        <w:tc>
          <w:tcPr>
            <w:tcW w:w="1530" w:type="dxa"/>
            <w:tcBorders>
              <w:top w:val="nil"/>
              <w:left w:val="single" w:sz="4" w:space="0" w:color="auto"/>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Botswana</w:t>
            </w:r>
          </w:p>
        </w:tc>
        <w:tc>
          <w:tcPr>
            <w:tcW w:w="153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Malta</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Congo; Democratic Republic of</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GuineaBiss</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Myanmar</w:t>
            </w:r>
          </w:p>
        </w:tc>
        <w:tc>
          <w:tcPr>
            <w:tcW w:w="1170" w:type="dxa"/>
            <w:tcBorders>
              <w:top w:val="nil"/>
              <w:left w:val="nil"/>
              <w:bottom w:val="nil"/>
              <w:right w:val="nil"/>
            </w:tcBorders>
            <w:shd w:val="clear" w:color="auto" w:fill="auto"/>
            <w:noWrap/>
            <w:vAlign w:val="center"/>
          </w:tcPr>
          <w:p w:rsidR="00972987" w:rsidRPr="007B268A" w:rsidRDefault="00972987" w:rsidP="0043092C">
            <w:pPr>
              <w:rPr>
                <w:b/>
                <w:bCs/>
                <w:color w:val="000000"/>
                <w:sz w:val="20"/>
                <w:u w:val="single"/>
              </w:rPr>
            </w:pPr>
            <w:r w:rsidRPr="007B268A">
              <w:rPr>
                <w:color w:val="000000"/>
                <w:sz w:val="20"/>
              </w:rPr>
              <w:t>Czech Republic</w:t>
            </w:r>
          </w:p>
        </w:tc>
        <w:tc>
          <w:tcPr>
            <w:tcW w:w="1350" w:type="dxa"/>
            <w:tcBorders>
              <w:top w:val="nil"/>
              <w:left w:val="nil"/>
              <w:bottom w:val="nil"/>
              <w:right w:val="single" w:sz="4" w:space="0" w:color="auto"/>
            </w:tcBorders>
            <w:shd w:val="clear" w:color="auto" w:fill="auto"/>
            <w:noWrap/>
            <w:vAlign w:val="center"/>
          </w:tcPr>
          <w:p w:rsidR="00972987" w:rsidRPr="007B268A" w:rsidRDefault="00972987" w:rsidP="0043092C">
            <w:pPr>
              <w:rPr>
                <w:b/>
                <w:bCs/>
                <w:color w:val="000000"/>
                <w:sz w:val="20"/>
                <w:u w:val="single"/>
              </w:rPr>
            </w:pPr>
            <w:r w:rsidRPr="007B268A">
              <w:rPr>
                <w:color w:val="000000"/>
                <w:sz w:val="20"/>
              </w:rPr>
              <w:t>Poland</w:t>
            </w:r>
          </w:p>
        </w:tc>
      </w:tr>
      <w:tr w:rsidR="00972987" w:rsidRPr="007B268A">
        <w:trPr>
          <w:trHeight w:val="300"/>
        </w:trPr>
        <w:tc>
          <w:tcPr>
            <w:tcW w:w="1530" w:type="dxa"/>
            <w:tcBorders>
              <w:top w:val="nil"/>
              <w:left w:val="single" w:sz="4" w:space="0" w:color="auto"/>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Brazil</w:t>
            </w:r>
          </w:p>
        </w:tc>
        <w:tc>
          <w:tcPr>
            <w:tcW w:w="153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Mexico</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Costa Rica</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Haiti</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Niger</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Denmark</w:t>
            </w:r>
          </w:p>
        </w:tc>
        <w:tc>
          <w:tcPr>
            <w:tcW w:w="1350" w:type="dxa"/>
            <w:tcBorders>
              <w:top w:val="nil"/>
              <w:left w:val="nil"/>
              <w:bottom w:val="nil"/>
              <w:right w:val="single" w:sz="4" w:space="0" w:color="auto"/>
            </w:tcBorders>
            <w:shd w:val="clear" w:color="auto" w:fill="auto"/>
            <w:noWrap/>
            <w:vAlign w:val="center"/>
          </w:tcPr>
          <w:p w:rsidR="00972987" w:rsidRPr="007B268A" w:rsidRDefault="00972987" w:rsidP="0043092C">
            <w:pPr>
              <w:rPr>
                <w:color w:val="000000"/>
                <w:sz w:val="20"/>
              </w:rPr>
            </w:pPr>
            <w:r w:rsidRPr="007B268A">
              <w:rPr>
                <w:color w:val="000000"/>
                <w:sz w:val="20"/>
              </w:rPr>
              <w:t>Puerto Rico</w:t>
            </w:r>
          </w:p>
        </w:tc>
      </w:tr>
      <w:tr w:rsidR="00972987" w:rsidRPr="007B268A">
        <w:trPr>
          <w:trHeight w:val="300"/>
        </w:trPr>
        <w:tc>
          <w:tcPr>
            <w:tcW w:w="1530" w:type="dxa"/>
            <w:tcBorders>
              <w:top w:val="nil"/>
              <w:left w:val="single" w:sz="4" w:space="0" w:color="auto"/>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Cambodia</w:t>
            </w:r>
          </w:p>
        </w:tc>
        <w:tc>
          <w:tcPr>
            <w:tcW w:w="153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Micronesia; Fed. Sts.</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Fiji</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Kenya</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Togo</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Ecuador</w:t>
            </w:r>
          </w:p>
        </w:tc>
        <w:tc>
          <w:tcPr>
            <w:tcW w:w="1350" w:type="dxa"/>
            <w:tcBorders>
              <w:top w:val="nil"/>
              <w:left w:val="nil"/>
              <w:bottom w:val="nil"/>
              <w:right w:val="single" w:sz="4" w:space="0" w:color="auto"/>
            </w:tcBorders>
            <w:shd w:val="clear" w:color="auto" w:fill="auto"/>
            <w:noWrap/>
            <w:vAlign w:val="center"/>
          </w:tcPr>
          <w:p w:rsidR="00972987" w:rsidRPr="007B268A" w:rsidRDefault="00972987" w:rsidP="0043092C">
            <w:pPr>
              <w:rPr>
                <w:color w:val="000000"/>
                <w:sz w:val="20"/>
              </w:rPr>
            </w:pPr>
            <w:r w:rsidRPr="007B268A">
              <w:rPr>
                <w:color w:val="000000"/>
                <w:sz w:val="20"/>
              </w:rPr>
              <w:t>Qatar</w:t>
            </w:r>
          </w:p>
        </w:tc>
      </w:tr>
      <w:tr w:rsidR="00972987" w:rsidRPr="007B268A">
        <w:trPr>
          <w:trHeight w:val="300"/>
        </w:trPr>
        <w:tc>
          <w:tcPr>
            <w:tcW w:w="1530" w:type="dxa"/>
            <w:tcBorders>
              <w:top w:val="nil"/>
              <w:left w:val="single" w:sz="4" w:space="0" w:color="auto"/>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Cameroon</w:t>
            </w:r>
          </w:p>
        </w:tc>
        <w:tc>
          <w:tcPr>
            <w:tcW w:w="153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Mozambique</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Honduras</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Mauritania</w:t>
            </w:r>
          </w:p>
        </w:tc>
        <w:tc>
          <w:tcPr>
            <w:tcW w:w="1350" w:type="dxa"/>
            <w:tcBorders>
              <w:top w:val="nil"/>
              <w:left w:val="nil"/>
              <w:bottom w:val="nil"/>
              <w:right w:val="nil"/>
            </w:tcBorders>
            <w:shd w:val="clear" w:color="auto" w:fill="D9D9D9" w:themeFill="background1" w:themeFillShade="D9"/>
            <w:noWrap/>
            <w:vAlign w:val="center"/>
          </w:tcPr>
          <w:p w:rsidR="00972987" w:rsidRPr="007B268A" w:rsidRDefault="00972987" w:rsidP="0043092C">
            <w:pPr>
              <w:rPr>
                <w:b/>
                <w:color w:val="000000"/>
                <w:sz w:val="20"/>
              </w:rPr>
            </w:pPr>
            <w:r w:rsidRPr="007B268A">
              <w:rPr>
                <w:b/>
                <w:color w:val="000000"/>
                <w:sz w:val="20"/>
              </w:rPr>
              <w:t>All 2050</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Equa Guinea</w:t>
            </w:r>
          </w:p>
        </w:tc>
        <w:tc>
          <w:tcPr>
            <w:tcW w:w="1350" w:type="dxa"/>
            <w:tcBorders>
              <w:top w:val="nil"/>
              <w:left w:val="nil"/>
              <w:bottom w:val="nil"/>
              <w:right w:val="single" w:sz="4" w:space="0" w:color="auto"/>
            </w:tcBorders>
            <w:shd w:val="clear" w:color="auto" w:fill="auto"/>
            <w:noWrap/>
            <w:vAlign w:val="center"/>
          </w:tcPr>
          <w:p w:rsidR="00972987" w:rsidRPr="007B268A" w:rsidRDefault="00972987" w:rsidP="0043092C">
            <w:pPr>
              <w:rPr>
                <w:color w:val="000000"/>
                <w:sz w:val="20"/>
              </w:rPr>
            </w:pPr>
            <w:r w:rsidRPr="007B268A">
              <w:rPr>
                <w:color w:val="000000"/>
                <w:sz w:val="20"/>
              </w:rPr>
              <w:t>Russia</w:t>
            </w:r>
          </w:p>
        </w:tc>
      </w:tr>
      <w:tr w:rsidR="00972987" w:rsidRPr="007B268A">
        <w:trPr>
          <w:trHeight w:val="300"/>
        </w:trPr>
        <w:tc>
          <w:tcPr>
            <w:tcW w:w="1530" w:type="dxa"/>
            <w:tcBorders>
              <w:top w:val="nil"/>
              <w:left w:val="single" w:sz="4" w:space="0" w:color="auto"/>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Cape Verde</w:t>
            </w:r>
          </w:p>
        </w:tc>
        <w:tc>
          <w:tcPr>
            <w:tcW w:w="153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Namibia</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Malaysia</w:t>
            </w:r>
          </w:p>
        </w:tc>
        <w:tc>
          <w:tcPr>
            <w:tcW w:w="1170" w:type="dxa"/>
            <w:tcBorders>
              <w:top w:val="nil"/>
              <w:left w:val="nil"/>
              <w:bottom w:val="nil"/>
              <w:right w:val="nil"/>
            </w:tcBorders>
            <w:shd w:val="clear" w:color="auto" w:fill="auto"/>
            <w:noWrap/>
            <w:vAlign w:val="center"/>
          </w:tcPr>
          <w:p w:rsidR="00972987" w:rsidRPr="007B268A" w:rsidRDefault="00972987" w:rsidP="0043092C">
            <w:pPr>
              <w:rPr>
                <w:b/>
                <w:bCs/>
                <w:color w:val="000000"/>
                <w:sz w:val="20"/>
                <w:u w:val="single"/>
              </w:rPr>
            </w:pPr>
            <w:r w:rsidRPr="007B268A">
              <w:rPr>
                <w:color w:val="000000"/>
                <w:sz w:val="20"/>
              </w:rPr>
              <w:t>Nigeria</w:t>
            </w:r>
          </w:p>
        </w:tc>
        <w:tc>
          <w:tcPr>
            <w:tcW w:w="1350" w:type="dxa"/>
            <w:tcBorders>
              <w:top w:val="nil"/>
              <w:left w:val="nil"/>
              <w:bottom w:val="nil"/>
              <w:right w:val="nil"/>
            </w:tcBorders>
            <w:shd w:val="clear" w:color="auto" w:fill="auto"/>
            <w:noWrap/>
            <w:vAlign w:val="center"/>
          </w:tcPr>
          <w:p w:rsidR="00972987" w:rsidRPr="007B268A" w:rsidRDefault="00972987" w:rsidP="0043092C">
            <w:pPr>
              <w:rPr>
                <w:b/>
                <w:bCs/>
                <w:color w:val="000000"/>
                <w:sz w:val="20"/>
                <w:u w:val="single"/>
              </w:rPr>
            </w:pPr>
            <w:r w:rsidRPr="007B268A">
              <w:rPr>
                <w:color w:val="000000"/>
                <w:sz w:val="20"/>
              </w:rPr>
              <w:t>Albania</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Estonia</w:t>
            </w:r>
          </w:p>
        </w:tc>
        <w:tc>
          <w:tcPr>
            <w:tcW w:w="1350" w:type="dxa"/>
            <w:tcBorders>
              <w:top w:val="nil"/>
              <w:left w:val="nil"/>
              <w:bottom w:val="nil"/>
              <w:right w:val="single" w:sz="4" w:space="0" w:color="auto"/>
            </w:tcBorders>
            <w:shd w:val="clear" w:color="auto" w:fill="auto"/>
            <w:noWrap/>
            <w:vAlign w:val="center"/>
          </w:tcPr>
          <w:p w:rsidR="00972987" w:rsidRPr="007B268A" w:rsidRDefault="00972987" w:rsidP="0043092C">
            <w:pPr>
              <w:rPr>
                <w:color w:val="000000"/>
                <w:sz w:val="20"/>
              </w:rPr>
            </w:pPr>
            <w:r w:rsidRPr="007B268A">
              <w:rPr>
                <w:color w:val="000000"/>
                <w:sz w:val="20"/>
              </w:rPr>
              <w:t>Saudi Arabia</w:t>
            </w:r>
          </w:p>
        </w:tc>
      </w:tr>
      <w:tr w:rsidR="00972987" w:rsidRPr="007B268A">
        <w:trPr>
          <w:trHeight w:val="300"/>
        </w:trPr>
        <w:tc>
          <w:tcPr>
            <w:tcW w:w="1530" w:type="dxa"/>
            <w:tcBorders>
              <w:top w:val="nil"/>
              <w:left w:val="single" w:sz="4" w:space="0" w:color="auto"/>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Central AfR</w:t>
            </w:r>
          </w:p>
        </w:tc>
        <w:tc>
          <w:tcPr>
            <w:tcW w:w="153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Nepal</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Mongolia</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Pakistan</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Armenia</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Finland</w:t>
            </w:r>
          </w:p>
        </w:tc>
        <w:tc>
          <w:tcPr>
            <w:tcW w:w="1350" w:type="dxa"/>
            <w:tcBorders>
              <w:top w:val="nil"/>
              <w:left w:val="nil"/>
              <w:bottom w:val="nil"/>
              <w:right w:val="single" w:sz="4" w:space="0" w:color="auto"/>
            </w:tcBorders>
            <w:shd w:val="clear" w:color="auto" w:fill="auto"/>
            <w:noWrap/>
            <w:vAlign w:val="center"/>
          </w:tcPr>
          <w:p w:rsidR="00972987" w:rsidRPr="007B268A" w:rsidRDefault="00972987" w:rsidP="0043092C">
            <w:pPr>
              <w:rPr>
                <w:color w:val="000000"/>
                <w:sz w:val="20"/>
              </w:rPr>
            </w:pPr>
            <w:r w:rsidRPr="007B268A">
              <w:rPr>
                <w:color w:val="000000"/>
                <w:sz w:val="20"/>
              </w:rPr>
              <w:t>Singapore</w:t>
            </w:r>
          </w:p>
        </w:tc>
      </w:tr>
      <w:tr w:rsidR="00972987" w:rsidRPr="007B268A">
        <w:trPr>
          <w:trHeight w:val="300"/>
        </w:trPr>
        <w:tc>
          <w:tcPr>
            <w:tcW w:w="1530" w:type="dxa"/>
            <w:tcBorders>
              <w:top w:val="nil"/>
              <w:left w:val="single" w:sz="4" w:space="0" w:color="auto"/>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Chile</w:t>
            </w:r>
          </w:p>
        </w:tc>
        <w:tc>
          <w:tcPr>
            <w:tcW w:w="153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New Zealand</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Nicaragua</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Papua NG</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Iraq</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France</w:t>
            </w:r>
          </w:p>
        </w:tc>
        <w:tc>
          <w:tcPr>
            <w:tcW w:w="1350" w:type="dxa"/>
            <w:tcBorders>
              <w:top w:val="nil"/>
              <w:left w:val="nil"/>
              <w:bottom w:val="nil"/>
              <w:right w:val="single" w:sz="4" w:space="0" w:color="auto"/>
            </w:tcBorders>
            <w:shd w:val="clear" w:color="auto" w:fill="auto"/>
            <w:noWrap/>
            <w:vAlign w:val="center"/>
          </w:tcPr>
          <w:p w:rsidR="00972987" w:rsidRPr="007B268A" w:rsidRDefault="00972987" w:rsidP="0043092C">
            <w:pPr>
              <w:rPr>
                <w:color w:val="000000"/>
                <w:sz w:val="20"/>
              </w:rPr>
            </w:pPr>
            <w:r w:rsidRPr="007B268A">
              <w:rPr>
                <w:color w:val="000000"/>
                <w:sz w:val="20"/>
              </w:rPr>
              <w:t>Slovenia</w:t>
            </w:r>
          </w:p>
        </w:tc>
      </w:tr>
      <w:tr w:rsidR="00972987" w:rsidRPr="007B268A">
        <w:trPr>
          <w:trHeight w:val="300"/>
        </w:trPr>
        <w:tc>
          <w:tcPr>
            <w:tcW w:w="1530" w:type="dxa"/>
            <w:tcBorders>
              <w:top w:val="nil"/>
              <w:left w:val="single" w:sz="4" w:space="0" w:color="auto"/>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China</w:t>
            </w:r>
          </w:p>
        </w:tc>
        <w:tc>
          <w:tcPr>
            <w:tcW w:w="153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Oman</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Palestine</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Romania</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Montenegro</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Germany</w:t>
            </w:r>
          </w:p>
        </w:tc>
        <w:tc>
          <w:tcPr>
            <w:tcW w:w="1350" w:type="dxa"/>
            <w:tcBorders>
              <w:top w:val="nil"/>
              <w:left w:val="nil"/>
              <w:bottom w:val="nil"/>
              <w:right w:val="single" w:sz="4" w:space="0" w:color="auto"/>
            </w:tcBorders>
            <w:shd w:val="clear" w:color="auto" w:fill="auto"/>
            <w:noWrap/>
            <w:vAlign w:val="center"/>
          </w:tcPr>
          <w:p w:rsidR="00972987" w:rsidRPr="007B268A" w:rsidRDefault="00972987" w:rsidP="0043092C">
            <w:pPr>
              <w:rPr>
                <w:b/>
                <w:bCs/>
                <w:color w:val="000000"/>
                <w:sz w:val="20"/>
                <w:u w:val="single"/>
              </w:rPr>
            </w:pPr>
            <w:r w:rsidRPr="007B268A">
              <w:rPr>
                <w:color w:val="000000"/>
                <w:sz w:val="20"/>
              </w:rPr>
              <w:t>St. Vincent and the Grenadines</w:t>
            </w:r>
          </w:p>
        </w:tc>
      </w:tr>
      <w:tr w:rsidR="00972987" w:rsidRPr="007B268A">
        <w:trPr>
          <w:trHeight w:val="300"/>
        </w:trPr>
        <w:tc>
          <w:tcPr>
            <w:tcW w:w="1530" w:type="dxa"/>
            <w:tcBorders>
              <w:top w:val="nil"/>
              <w:left w:val="single" w:sz="4" w:space="0" w:color="auto"/>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Colombia</w:t>
            </w:r>
          </w:p>
        </w:tc>
        <w:tc>
          <w:tcPr>
            <w:tcW w:w="153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Philippines</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Portugal</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Rwanda</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Morocco</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Hong Kong</w:t>
            </w:r>
          </w:p>
        </w:tc>
        <w:tc>
          <w:tcPr>
            <w:tcW w:w="1350" w:type="dxa"/>
            <w:tcBorders>
              <w:top w:val="nil"/>
              <w:left w:val="nil"/>
              <w:bottom w:val="nil"/>
              <w:right w:val="single" w:sz="4" w:space="0" w:color="auto"/>
            </w:tcBorders>
            <w:shd w:val="clear" w:color="auto" w:fill="auto"/>
            <w:noWrap/>
            <w:vAlign w:val="center"/>
          </w:tcPr>
          <w:p w:rsidR="00972987" w:rsidRPr="007B268A" w:rsidRDefault="00972987" w:rsidP="0043092C">
            <w:pPr>
              <w:rPr>
                <w:color w:val="000000"/>
                <w:sz w:val="20"/>
              </w:rPr>
            </w:pPr>
            <w:r w:rsidRPr="007B268A">
              <w:rPr>
                <w:color w:val="000000"/>
                <w:sz w:val="20"/>
              </w:rPr>
              <w:t>Sweden</w:t>
            </w:r>
          </w:p>
        </w:tc>
      </w:tr>
      <w:tr w:rsidR="00972987" w:rsidRPr="007B268A">
        <w:trPr>
          <w:trHeight w:val="300"/>
        </w:trPr>
        <w:tc>
          <w:tcPr>
            <w:tcW w:w="1530" w:type="dxa"/>
            <w:tcBorders>
              <w:top w:val="nil"/>
              <w:left w:val="single" w:sz="4" w:space="0" w:color="auto"/>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Congo; Republic of</w:t>
            </w:r>
          </w:p>
        </w:tc>
        <w:tc>
          <w:tcPr>
            <w:tcW w:w="153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Sao Tome and Principe</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Samoa</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Senegal</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Syria</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Hungary</w:t>
            </w:r>
          </w:p>
        </w:tc>
        <w:tc>
          <w:tcPr>
            <w:tcW w:w="1350" w:type="dxa"/>
            <w:tcBorders>
              <w:top w:val="nil"/>
              <w:left w:val="nil"/>
              <w:bottom w:val="nil"/>
              <w:right w:val="single" w:sz="4" w:space="0" w:color="auto"/>
            </w:tcBorders>
            <w:shd w:val="clear" w:color="auto" w:fill="auto"/>
            <w:noWrap/>
            <w:vAlign w:val="center"/>
          </w:tcPr>
          <w:p w:rsidR="00972987" w:rsidRPr="007B268A" w:rsidRDefault="00972987" w:rsidP="0043092C">
            <w:pPr>
              <w:rPr>
                <w:color w:val="000000"/>
                <w:sz w:val="20"/>
              </w:rPr>
            </w:pPr>
            <w:r w:rsidRPr="007B268A">
              <w:rPr>
                <w:color w:val="000000"/>
                <w:sz w:val="20"/>
              </w:rPr>
              <w:t>Switzerland</w:t>
            </w:r>
          </w:p>
        </w:tc>
      </w:tr>
      <w:tr w:rsidR="00972987" w:rsidRPr="007B268A">
        <w:trPr>
          <w:trHeight w:val="300"/>
        </w:trPr>
        <w:tc>
          <w:tcPr>
            <w:tcW w:w="1530" w:type="dxa"/>
            <w:tcBorders>
              <w:top w:val="nil"/>
              <w:left w:val="single" w:sz="4" w:space="0" w:color="auto"/>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Croatia</w:t>
            </w:r>
          </w:p>
        </w:tc>
        <w:tc>
          <w:tcPr>
            <w:tcW w:w="153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Serbia</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Tonga</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SierraLeo</w:t>
            </w:r>
          </w:p>
        </w:tc>
        <w:tc>
          <w:tcPr>
            <w:tcW w:w="1350" w:type="dxa"/>
            <w:tcBorders>
              <w:top w:val="nil"/>
              <w:left w:val="nil"/>
              <w:bottom w:val="nil"/>
              <w:right w:val="nil"/>
            </w:tcBorders>
            <w:shd w:val="clear" w:color="auto" w:fill="D9D9D9" w:themeFill="background1" w:themeFillShade="D9"/>
            <w:noWrap/>
            <w:vAlign w:val="center"/>
          </w:tcPr>
          <w:p w:rsidR="00972987" w:rsidRPr="007B268A" w:rsidRDefault="00972987" w:rsidP="0043092C">
            <w:pPr>
              <w:rPr>
                <w:b/>
                <w:color w:val="000000"/>
                <w:sz w:val="20"/>
              </w:rPr>
            </w:pPr>
            <w:r w:rsidRPr="007B268A">
              <w:rPr>
                <w:b/>
                <w:color w:val="000000"/>
                <w:sz w:val="20"/>
              </w:rPr>
              <w:t>Meet Expectations</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Iran</w:t>
            </w:r>
          </w:p>
        </w:tc>
        <w:tc>
          <w:tcPr>
            <w:tcW w:w="1350" w:type="dxa"/>
            <w:tcBorders>
              <w:top w:val="nil"/>
              <w:left w:val="nil"/>
              <w:bottom w:val="nil"/>
              <w:right w:val="single" w:sz="4" w:space="0" w:color="auto"/>
            </w:tcBorders>
            <w:shd w:val="clear" w:color="auto" w:fill="auto"/>
            <w:noWrap/>
            <w:vAlign w:val="center"/>
          </w:tcPr>
          <w:p w:rsidR="00972987" w:rsidRPr="007B268A" w:rsidRDefault="00972987" w:rsidP="0043092C">
            <w:pPr>
              <w:rPr>
                <w:color w:val="000000"/>
                <w:sz w:val="20"/>
              </w:rPr>
            </w:pPr>
            <w:r w:rsidRPr="007B268A">
              <w:rPr>
                <w:color w:val="000000"/>
                <w:sz w:val="20"/>
              </w:rPr>
              <w:t>Taiwan</w:t>
            </w:r>
          </w:p>
        </w:tc>
      </w:tr>
      <w:tr w:rsidR="00972987" w:rsidRPr="007B268A">
        <w:trPr>
          <w:trHeight w:val="300"/>
        </w:trPr>
        <w:tc>
          <w:tcPr>
            <w:tcW w:w="1530" w:type="dxa"/>
            <w:tcBorders>
              <w:top w:val="nil"/>
              <w:left w:val="single" w:sz="4" w:space="0" w:color="auto"/>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DominicanRep</w:t>
            </w:r>
          </w:p>
        </w:tc>
        <w:tc>
          <w:tcPr>
            <w:tcW w:w="153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Solomon Islands</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Uzbekistan</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Slovak Rep</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Brunei</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Ireland</w:t>
            </w:r>
          </w:p>
        </w:tc>
        <w:tc>
          <w:tcPr>
            <w:tcW w:w="1350" w:type="dxa"/>
            <w:tcBorders>
              <w:top w:val="nil"/>
              <w:left w:val="nil"/>
              <w:bottom w:val="nil"/>
              <w:right w:val="single" w:sz="4" w:space="0" w:color="auto"/>
            </w:tcBorders>
            <w:shd w:val="clear" w:color="auto" w:fill="auto"/>
            <w:noWrap/>
            <w:vAlign w:val="center"/>
          </w:tcPr>
          <w:p w:rsidR="00972987" w:rsidRPr="007B268A" w:rsidRDefault="00972987" w:rsidP="0043092C">
            <w:pPr>
              <w:rPr>
                <w:color w:val="000000"/>
                <w:sz w:val="20"/>
              </w:rPr>
            </w:pPr>
            <w:r w:rsidRPr="007B268A">
              <w:rPr>
                <w:color w:val="000000"/>
                <w:sz w:val="20"/>
              </w:rPr>
              <w:t>Tajikistan</w:t>
            </w:r>
          </w:p>
        </w:tc>
      </w:tr>
      <w:tr w:rsidR="00972987" w:rsidRPr="007B268A">
        <w:trPr>
          <w:trHeight w:val="300"/>
        </w:trPr>
        <w:tc>
          <w:tcPr>
            <w:tcW w:w="1530" w:type="dxa"/>
            <w:tcBorders>
              <w:top w:val="nil"/>
              <w:left w:val="single" w:sz="4" w:space="0" w:color="auto"/>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El Salvador</w:t>
            </w:r>
          </w:p>
        </w:tc>
        <w:tc>
          <w:tcPr>
            <w:tcW w:w="153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South Africa</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Vanuatu</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Somalia</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Comoros</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Israel</w:t>
            </w:r>
          </w:p>
        </w:tc>
        <w:tc>
          <w:tcPr>
            <w:tcW w:w="1350" w:type="dxa"/>
            <w:tcBorders>
              <w:top w:val="nil"/>
              <w:left w:val="nil"/>
              <w:bottom w:val="nil"/>
              <w:right w:val="single" w:sz="4" w:space="0" w:color="auto"/>
            </w:tcBorders>
            <w:shd w:val="clear" w:color="auto" w:fill="auto"/>
            <w:noWrap/>
            <w:vAlign w:val="center"/>
          </w:tcPr>
          <w:p w:rsidR="00972987" w:rsidRPr="007B268A" w:rsidRDefault="00972987" w:rsidP="0043092C">
            <w:pPr>
              <w:rPr>
                <w:color w:val="000000"/>
                <w:sz w:val="20"/>
              </w:rPr>
            </w:pPr>
            <w:r w:rsidRPr="007B268A">
              <w:rPr>
                <w:color w:val="000000"/>
                <w:sz w:val="20"/>
              </w:rPr>
              <w:t>Trinidad</w:t>
            </w:r>
          </w:p>
        </w:tc>
      </w:tr>
      <w:tr w:rsidR="00972987" w:rsidRPr="007B268A">
        <w:trPr>
          <w:trHeight w:val="300"/>
        </w:trPr>
        <w:tc>
          <w:tcPr>
            <w:tcW w:w="1530" w:type="dxa"/>
            <w:tcBorders>
              <w:top w:val="nil"/>
              <w:left w:val="single" w:sz="4" w:space="0" w:color="auto"/>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Ethiopia</w:t>
            </w:r>
          </w:p>
        </w:tc>
        <w:tc>
          <w:tcPr>
            <w:tcW w:w="153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Spain</w:t>
            </w:r>
          </w:p>
        </w:tc>
        <w:tc>
          <w:tcPr>
            <w:tcW w:w="1350" w:type="dxa"/>
            <w:tcBorders>
              <w:top w:val="nil"/>
              <w:left w:val="nil"/>
              <w:bottom w:val="nil"/>
              <w:right w:val="nil"/>
            </w:tcBorders>
            <w:shd w:val="clear" w:color="auto" w:fill="D9D9D9" w:themeFill="background1" w:themeFillShade="D9"/>
            <w:noWrap/>
            <w:vAlign w:val="center"/>
          </w:tcPr>
          <w:p w:rsidR="00972987" w:rsidRPr="007B268A" w:rsidRDefault="00972987" w:rsidP="0043092C">
            <w:pPr>
              <w:rPr>
                <w:b/>
                <w:color w:val="000000"/>
                <w:sz w:val="20"/>
              </w:rPr>
            </w:pPr>
            <w:r w:rsidRPr="007B268A">
              <w:rPr>
                <w:b/>
                <w:color w:val="000000"/>
                <w:sz w:val="20"/>
              </w:rPr>
              <w:t>Water and Sanitation Only</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Sudan</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Guatemala</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Italy</w:t>
            </w:r>
          </w:p>
        </w:tc>
        <w:tc>
          <w:tcPr>
            <w:tcW w:w="1350" w:type="dxa"/>
            <w:tcBorders>
              <w:top w:val="nil"/>
              <w:left w:val="nil"/>
              <w:bottom w:val="nil"/>
              <w:right w:val="single" w:sz="4" w:space="0" w:color="auto"/>
            </w:tcBorders>
            <w:shd w:val="clear" w:color="auto" w:fill="auto"/>
            <w:noWrap/>
            <w:vAlign w:val="center"/>
          </w:tcPr>
          <w:p w:rsidR="00972987" w:rsidRPr="007B268A" w:rsidRDefault="00972987" w:rsidP="0043092C">
            <w:pPr>
              <w:rPr>
                <w:color w:val="000000"/>
                <w:sz w:val="20"/>
              </w:rPr>
            </w:pPr>
            <w:r w:rsidRPr="007B268A">
              <w:rPr>
                <w:color w:val="000000"/>
                <w:sz w:val="20"/>
              </w:rPr>
              <w:t>Turkmenistan</w:t>
            </w:r>
          </w:p>
        </w:tc>
      </w:tr>
      <w:tr w:rsidR="00972987" w:rsidRPr="007B268A">
        <w:trPr>
          <w:trHeight w:val="300"/>
        </w:trPr>
        <w:tc>
          <w:tcPr>
            <w:tcW w:w="1530" w:type="dxa"/>
            <w:tcBorders>
              <w:top w:val="nil"/>
              <w:left w:val="single" w:sz="4" w:space="0" w:color="auto"/>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Georgia</w:t>
            </w:r>
          </w:p>
        </w:tc>
        <w:tc>
          <w:tcPr>
            <w:tcW w:w="153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Sri Lanka</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Afghanistan</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Tanzania</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Iceland</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Japan</w:t>
            </w:r>
          </w:p>
        </w:tc>
        <w:tc>
          <w:tcPr>
            <w:tcW w:w="1350" w:type="dxa"/>
            <w:tcBorders>
              <w:top w:val="nil"/>
              <w:left w:val="nil"/>
              <w:bottom w:val="nil"/>
              <w:right w:val="single" w:sz="4" w:space="0" w:color="auto"/>
            </w:tcBorders>
            <w:shd w:val="clear" w:color="auto" w:fill="auto"/>
            <w:noWrap/>
            <w:vAlign w:val="center"/>
          </w:tcPr>
          <w:p w:rsidR="00972987" w:rsidRPr="007B268A" w:rsidRDefault="00972987" w:rsidP="0043092C">
            <w:pPr>
              <w:rPr>
                <w:b/>
                <w:bCs/>
                <w:color w:val="000000"/>
                <w:sz w:val="20"/>
                <w:u w:val="single"/>
              </w:rPr>
            </w:pPr>
            <w:r w:rsidRPr="007B268A">
              <w:rPr>
                <w:color w:val="000000"/>
                <w:sz w:val="20"/>
              </w:rPr>
              <w:t>UAE</w:t>
            </w:r>
          </w:p>
        </w:tc>
      </w:tr>
      <w:tr w:rsidR="00972987" w:rsidRPr="007B268A">
        <w:trPr>
          <w:trHeight w:val="300"/>
        </w:trPr>
        <w:tc>
          <w:tcPr>
            <w:tcW w:w="1530" w:type="dxa"/>
            <w:tcBorders>
              <w:top w:val="nil"/>
              <w:left w:val="single" w:sz="4" w:space="0" w:color="auto"/>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Greece</w:t>
            </w:r>
          </w:p>
        </w:tc>
        <w:tc>
          <w:tcPr>
            <w:tcW w:w="153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St. Lucia</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Algeria</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Uganda</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Peru</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Kazakhstan</w:t>
            </w:r>
          </w:p>
        </w:tc>
        <w:tc>
          <w:tcPr>
            <w:tcW w:w="1350" w:type="dxa"/>
            <w:tcBorders>
              <w:top w:val="nil"/>
              <w:left w:val="nil"/>
              <w:bottom w:val="nil"/>
              <w:right w:val="single" w:sz="4" w:space="0" w:color="auto"/>
            </w:tcBorders>
            <w:shd w:val="clear" w:color="auto" w:fill="auto"/>
            <w:noWrap/>
            <w:vAlign w:val="center"/>
          </w:tcPr>
          <w:p w:rsidR="00972987" w:rsidRPr="007B268A" w:rsidRDefault="00972987" w:rsidP="0043092C">
            <w:pPr>
              <w:rPr>
                <w:color w:val="000000"/>
                <w:sz w:val="20"/>
              </w:rPr>
            </w:pPr>
            <w:r w:rsidRPr="007B268A">
              <w:rPr>
                <w:color w:val="000000"/>
                <w:sz w:val="20"/>
              </w:rPr>
              <w:t>Unitd Kingdm</w:t>
            </w:r>
          </w:p>
        </w:tc>
      </w:tr>
      <w:tr w:rsidR="00972987" w:rsidRPr="007B268A">
        <w:trPr>
          <w:trHeight w:val="300"/>
        </w:trPr>
        <w:tc>
          <w:tcPr>
            <w:tcW w:w="1530" w:type="dxa"/>
            <w:tcBorders>
              <w:top w:val="nil"/>
              <w:left w:val="single" w:sz="4" w:space="0" w:color="auto"/>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Grenada</w:t>
            </w:r>
          </w:p>
        </w:tc>
        <w:tc>
          <w:tcPr>
            <w:tcW w:w="153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Suriname</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Bangladesh</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Yemen</w:t>
            </w:r>
          </w:p>
        </w:tc>
        <w:tc>
          <w:tcPr>
            <w:tcW w:w="1350" w:type="dxa"/>
            <w:tcBorders>
              <w:top w:val="nil"/>
              <w:left w:val="nil"/>
              <w:bottom w:val="nil"/>
              <w:right w:val="nil"/>
            </w:tcBorders>
            <w:shd w:val="clear" w:color="auto" w:fill="D9D9D9" w:themeFill="background1" w:themeFillShade="D9"/>
            <w:noWrap/>
            <w:vAlign w:val="center"/>
          </w:tcPr>
          <w:p w:rsidR="00972987" w:rsidRPr="007B268A" w:rsidRDefault="00972987" w:rsidP="0043092C">
            <w:pPr>
              <w:rPr>
                <w:b/>
                <w:color w:val="000000"/>
                <w:sz w:val="20"/>
              </w:rPr>
            </w:pPr>
            <w:r w:rsidRPr="007B268A">
              <w:rPr>
                <w:b/>
                <w:color w:val="000000"/>
                <w:sz w:val="20"/>
              </w:rPr>
              <w:t>High Performers</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Korea South</w:t>
            </w:r>
          </w:p>
        </w:tc>
        <w:tc>
          <w:tcPr>
            <w:tcW w:w="1350" w:type="dxa"/>
            <w:tcBorders>
              <w:top w:val="nil"/>
              <w:left w:val="nil"/>
              <w:bottom w:val="nil"/>
              <w:right w:val="single" w:sz="4" w:space="0" w:color="auto"/>
            </w:tcBorders>
            <w:shd w:val="clear" w:color="auto" w:fill="auto"/>
            <w:noWrap/>
            <w:vAlign w:val="center"/>
          </w:tcPr>
          <w:p w:rsidR="00972987" w:rsidRPr="007B268A" w:rsidRDefault="00972987" w:rsidP="0043092C">
            <w:pPr>
              <w:rPr>
                <w:color w:val="000000"/>
                <w:sz w:val="20"/>
              </w:rPr>
            </w:pPr>
            <w:r w:rsidRPr="007B268A">
              <w:rPr>
                <w:color w:val="000000"/>
                <w:sz w:val="20"/>
              </w:rPr>
              <w:t>USA</w:t>
            </w:r>
          </w:p>
        </w:tc>
      </w:tr>
      <w:tr w:rsidR="00972987" w:rsidRPr="007B268A">
        <w:trPr>
          <w:trHeight w:val="300"/>
        </w:trPr>
        <w:tc>
          <w:tcPr>
            <w:tcW w:w="1530" w:type="dxa"/>
            <w:tcBorders>
              <w:top w:val="nil"/>
              <w:left w:val="single" w:sz="4" w:space="0" w:color="auto"/>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India</w:t>
            </w:r>
          </w:p>
        </w:tc>
        <w:tc>
          <w:tcPr>
            <w:tcW w:w="153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Swaziland</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Benin</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Zambia</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Argentina</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Kuwait</w:t>
            </w:r>
          </w:p>
        </w:tc>
        <w:tc>
          <w:tcPr>
            <w:tcW w:w="1350" w:type="dxa"/>
            <w:tcBorders>
              <w:top w:val="nil"/>
              <w:left w:val="nil"/>
              <w:bottom w:val="nil"/>
              <w:right w:val="single" w:sz="4" w:space="0" w:color="auto"/>
            </w:tcBorders>
            <w:shd w:val="clear" w:color="auto" w:fill="auto"/>
            <w:vAlign w:val="center"/>
          </w:tcPr>
          <w:p w:rsidR="00972987" w:rsidRPr="007B268A" w:rsidRDefault="00972987" w:rsidP="0043092C">
            <w:pPr>
              <w:rPr>
                <w:color w:val="000000"/>
                <w:sz w:val="20"/>
              </w:rPr>
            </w:pPr>
          </w:p>
        </w:tc>
      </w:tr>
      <w:tr w:rsidR="00972987" w:rsidRPr="007B268A">
        <w:trPr>
          <w:trHeight w:val="300"/>
        </w:trPr>
        <w:tc>
          <w:tcPr>
            <w:tcW w:w="1530" w:type="dxa"/>
            <w:tcBorders>
              <w:top w:val="nil"/>
              <w:left w:val="single" w:sz="4" w:space="0" w:color="auto"/>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Indonesia</w:t>
            </w:r>
          </w:p>
        </w:tc>
        <w:tc>
          <w:tcPr>
            <w:tcW w:w="153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Thailand</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Bhutan</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Zimbabwe</w:t>
            </w:r>
          </w:p>
        </w:tc>
        <w:tc>
          <w:tcPr>
            <w:tcW w:w="135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Australia</w:t>
            </w:r>
          </w:p>
        </w:tc>
        <w:tc>
          <w:tcPr>
            <w:tcW w:w="1170" w:type="dxa"/>
            <w:tcBorders>
              <w:top w:val="nil"/>
              <w:left w:val="nil"/>
              <w:bottom w:val="nil"/>
              <w:right w:val="nil"/>
            </w:tcBorders>
            <w:shd w:val="clear" w:color="auto" w:fill="auto"/>
            <w:noWrap/>
            <w:vAlign w:val="center"/>
          </w:tcPr>
          <w:p w:rsidR="00972987" w:rsidRPr="007B268A" w:rsidRDefault="00972987" w:rsidP="0043092C">
            <w:pPr>
              <w:rPr>
                <w:color w:val="000000"/>
                <w:sz w:val="20"/>
              </w:rPr>
            </w:pPr>
            <w:r w:rsidRPr="007B268A">
              <w:rPr>
                <w:color w:val="000000"/>
                <w:sz w:val="20"/>
              </w:rPr>
              <w:t>Kyrgyz</w:t>
            </w:r>
          </w:p>
        </w:tc>
        <w:tc>
          <w:tcPr>
            <w:tcW w:w="1350" w:type="dxa"/>
            <w:tcBorders>
              <w:top w:val="nil"/>
              <w:left w:val="nil"/>
              <w:bottom w:val="nil"/>
              <w:right w:val="single" w:sz="4" w:space="0" w:color="auto"/>
            </w:tcBorders>
            <w:shd w:val="clear" w:color="auto" w:fill="auto"/>
            <w:noWrap/>
            <w:vAlign w:val="center"/>
          </w:tcPr>
          <w:p w:rsidR="00972987" w:rsidRPr="007B268A" w:rsidRDefault="00972987" w:rsidP="0043092C">
            <w:pPr>
              <w:rPr>
                <w:color w:val="000000"/>
                <w:sz w:val="20"/>
              </w:rPr>
            </w:pPr>
          </w:p>
        </w:tc>
      </w:tr>
      <w:tr w:rsidR="00972987" w:rsidRPr="007B268A">
        <w:trPr>
          <w:trHeight w:val="300"/>
        </w:trPr>
        <w:tc>
          <w:tcPr>
            <w:tcW w:w="1530" w:type="dxa"/>
            <w:tcBorders>
              <w:top w:val="nil"/>
              <w:left w:val="single" w:sz="4" w:space="0" w:color="auto"/>
              <w:bottom w:val="single" w:sz="4" w:space="0" w:color="auto"/>
              <w:right w:val="nil"/>
            </w:tcBorders>
            <w:shd w:val="clear" w:color="auto" w:fill="auto"/>
            <w:noWrap/>
            <w:vAlign w:val="center"/>
          </w:tcPr>
          <w:p w:rsidR="00972987" w:rsidRPr="007B268A" w:rsidRDefault="00972987" w:rsidP="0043092C">
            <w:pPr>
              <w:rPr>
                <w:color w:val="000000"/>
                <w:sz w:val="20"/>
              </w:rPr>
            </w:pPr>
            <w:r w:rsidRPr="007B268A">
              <w:rPr>
                <w:color w:val="000000"/>
                <w:sz w:val="20"/>
              </w:rPr>
              <w:t>Jamaica</w:t>
            </w:r>
          </w:p>
        </w:tc>
        <w:tc>
          <w:tcPr>
            <w:tcW w:w="1530" w:type="dxa"/>
            <w:tcBorders>
              <w:top w:val="nil"/>
              <w:left w:val="nil"/>
              <w:bottom w:val="single" w:sz="4" w:space="0" w:color="auto"/>
              <w:right w:val="nil"/>
            </w:tcBorders>
            <w:shd w:val="clear" w:color="auto" w:fill="auto"/>
            <w:noWrap/>
            <w:vAlign w:val="center"/>
          </w:tcPr>
          <w:p w:rsidR="00972987" w:rsidRPr="007B268A" w:rsidRDefault="00972987" w:rsidP="0043092C">
            <w:pPr>
              <w:rPr>
                <w:color w:val="000000"/>
                <w:sz w:val="20"/>
              </w:rPr>
            </w:pPr>
            <w:r w:rsidRPr="007B268A">
              <w:rPr>
                <w:color w:val="000000"/>
                <w:sz w:val="20"/>
              </w:rPr>
              <w:t>Tunisia</w:t>
            </w:r>
          </w:p>
        </w:tc>
        <w:tc>
          <w:tcPr>
            <w:tcW w:w="1350" w:type="dxa"/>
            <w:tcBorders>
              <w:top w:val="nil"/>
              <w:left w:val="nil"/>
              <w:bottom w:val="single" w:sz="4" w:space="0" w:color="auto"/>
              <w:right w:val="nil"/>
            </w:tcBorders>
            <w:shd w:val="clear" w:color="auto" w:fill="auto"/>
            <w:noWrap/>
            <w:vAlign w:val="center"/>
          </w:tcPr>
          <w:p w:rsidR="00972987" w:rsidRPr="007B268A" w:rsidRDefault="00972987" w:rsidP="0043092C">
            <w:pPr>
              <w:rPr>
                <w:color w:val="000000"/>
                <w:sz w:val="20"/>
              </w:rPr>
            </w:pPr>
            <w:r w:rsidRPr="007B268A">
              <w:rPr>
                <w:color w:val="000000"/>
                <w:sz w:val="20"/>
              </w:rPr>
              <w:t>Bolivia</w:t>
            </w:r>
          </w:p>
        </w:tc>
        <w:tc>
          <w:tcPr>
            <w:tcW w:w="1170" w:type="dxa"/>
            <w:tcBorders>
              <w:top w:val="nil"/>
              <w:left w:val="nil"/>
              <w:bottom w:val="single" w:sz="4" w:space="0" w:color="auto"/>
              <w:right w:val="nil"/>
            </w:tcBorders>
            <w:shd w:val="clear" w:color="auto" w:fill="auto"/>
            <w:noWrap/>
            <w:vAlign w:val="center"/>
          </w:tcPr>
          <w:p w:rsidR="00972987" w:rsidRPr="007B268A" w:rsidRDefault="00972987" w:rsidP="0043092C">
            <w:pPr>
              <w:rPr>
                <w:color w:val="000000"/>
                <w:sz w:val="20"/>
              </w:rPr>
            </w:pPr>
            <w:r w:rsidRPr="007B268A">
              <w:rPr>
                <w:color w:val="000000"/>
                <w:sz w:val="20"/>
              </w:rPr>
              <w:t>Burkina Faso</w:t>
            </w:r>
          </w:p>
        </w:tc>
        <w:tc>
          <w:tcPr>
            <w:tcW w:w="1350" w:type="dxa"/>
            <w:tcBorders>
              <w:top w:val="nil"/>
              <w:left w:val="nil"/>
              <w:bottom w:val="single" w:sz="4" w:space="0" w:color="auto"/>
              <w:right w:val="nil"/>
            </w:tcBorders>
            <w:shd w:val="clear" w:color="auto" w:fill="auto"/>
            <w:noWrap/>
            <w:vAlign w:val="center"/>
          </w:tcPr>
          <w:p w:rsidR="00972987" w:rsidRPr="007B268A" w:rsidRDefault="00972987" w:rsidP="0043092C">
            <w:pPr>
              <w:rPr>
                <w:color w:val="000000"/>
                <w:sz w:val="20"/>
              </w:rPr>
            </w:pPr>
            <w:r w:rsidRPr="007B268A">
              <w:rPr>
                <w:color w:val="000000"/>
                <w:sz w:val="20"/>
              </w:rPr>
              <w:t>Austria</w:t>
            </w:r>
          </w:p>
        </w:tc>
        <w:tc>
          <w:tcPr>
            <w:tcW w:w="1170" w:type="dxa"/>
            <w:tcBorders>
              <w:top w:val="nil"/>
              <w:left w:val="nil"/>
              <w:bottom w:val="single" w:sz="4" w:space="0" w:color="auto"/>
              <w:right w:val="nil"/>
            </w:tcBorders>
            <w:shd w:val="clear" w:color="auto" w:fill="auto"/>
            <w:noWrap/>
            <w:vAlign w:val="center"/>
          </w:tcPr>
          <w:p w:rsidR="00972987" w:rsidRPr="007B268A" w:rsidRDefault="00972987" w:rsidP="0043092C">
            <w:pPr>
              <w:rPr>
                <w:color w:val="000000"/>
                <w:sz w:val="20"/>
              </w:rPr>
            </w:pPr>
            <w:r w:rsidRPr="007B268A">
              <w:rPr>
                <w:color w:val="000000"/>
                <w:sz w:val="20"/>
              </w:rPr>
              <w:t>Lebanon</w:t>
            </w:r>
          </w:p>
        </w:tc>
        <w:tc>
          <w:tcPr>
            <w:tcW w:w="1350" w:type="dxa"/>
            <w:tcBorders>
              <w:top w:val="nil"/>
              <w:left w:val="nil"/>
              <w:bottom w:val="single" w:sz="4" w:space="0" w:color="auto"/>
              <w:right w:val="single" w:sz="4" w:space="0" w:color="auto"/>
            </w:tcBorders>
            <w:shd w:val="clear" w:color="auto" w:fill="auto"/>
            <w:noWrap/>
            <w:vAlign w:val="center"/>
          </w:tcPr>
          <w:p w:rsidR="00972987" w:rsidRPr="007B268A" w:rsidRDefault="00972987" w:rsidP="0043092C">
            <w:pPr>
              <w:rPr>
                <w:color w:val="000000"/>
                <w:sz w:val="20"/>
              </w:rPr>
            </w:pPr>
          </w:p>
        </w:tc>
      </w:tr>
      <w:tr w:rsidR="00972987" w:rsidRPr="007B268A">
        <w:trPr>
          <w:trHeight w:val="300"/>
        </w:trPr>
        <w:tc>
          <w:tcPr>
            <w:tcW w:w="9450"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972987" w:rsidRPr="007B268A" w:rsidRDefault="00972987" w:rsidP="0043092C">
            <w:pPr>
              <w:rPr>
                <w:color w:val="000000"/>
                <w:sz w:val="20"/>
              </w:rPr>
            </w:pPr>
            <w:r w:rsidRPr="007B268A">
              <w:rPr>
                <w:i/>
                <w:color w:val="000000"/>
                <w:sz w:val="20"/>
              </w:rPr>
              <w:t>Source</w:t>
            </w:r>
            <w:r w:rsidRPr="007B268A">
              <w:rPr>
                <w:color w:val="000000"/>
                <w:sz w:val="20"/>
              </w:rPr>
              <w:t>: IFs v6.57</w:t>
            </w:r>
          </w:p>
          <w:p w:rsidR="00972987" w:rsidRPr="007B268A" w:rsidRDefault="00972987" w:rsidP="0043092C">
            <w:pPr>
              <w:rPr>
                <w:i/>
                <w:color w:val="000000"/>
                <w:sz w:val="20"/>
              </w:rPr>
            </w:pPr>
            <w:r w:rsidRPr="007B268A">
              <w:rPr>
                <w:i/>
                <w:color w:val="000000"/>
                <w:sz w:val="20"/>
              </w:rPr>
              <w:t>Note: Choice of preferred scenario based on HDI in year 2030.</w:t>
            </w:r>
          </w:p>
        </w:tc>
      </w:tr>
    </w:tbl>
    <w:p w:rsidR="00972987" w:rsidRPr="007B268A" w:rsidRDefault="00763BA1" w:rsidP="00763BA1">
      <w:pPr>
        <w:pStyle w:val="Heading2"/>
        <w:numPr>
          <w:ilvl w:val="0"/>
          <w:numId w:val="0"/>
        </w:numPr>
        <w:ind w:left="360" w:hanging="360"/>
      </w:pPr>
      <w:bookmarkStart w:id="211" w:name="_Toc325882434"/>
      <w:bookmarkStart w:id="212" w:name="_Toc199925083"/>
      <w:bookmarkStart w:id="213" w:name="_Toc200095339"/>
      <w:r>
        <w:t xml:space="preserve">6.5 </w:t>
      </w:r>
      <w:r w:rsidR="00972987" w:rsidRPr="007B268A">
        <w:t>Conclusions</w:t>
      </w:r>
      <w:bookmarkEnd w:id="203"/>
      <w:bookmarkEnd w:id="204"/>
      <w:bookmarkEnd w:id="211"/>
      <w:bookmarkEnd w:id="212"/>
      <w:bookmarkEnd w:id="213"/>
    </w:p>
    <w:p w:rsidR="00972987" w:rsidRPr="007B268A" w:rsidRDefault="00972987" w:rsidP="00972987">
      <w:r w:rsidRPr="007B268A">
        <w:t>The importance of infrastructure for economic and broader human development has received increasing attention in recent years. So has the lack of specific targets related to infrastructure in such efforts as the Millennium Development Goals. This has lead a number of groups to push for a range of targets focused on various aspects of infrastructure.</w:t>
      </w:r>
    </w:p>
    <w:p w:rsidR="00972987" w:rsidRPr="007B268A" w:rsidRDefault="00972987" w:rsidP="00972987"/>
    <w:p w:rsidR="00972987" w:rsidRPr="007B268A" w:rsidRDefault="00972987" w:rsidP="00972987">
      <w:r w:rsidRPr="007B268A">
        <w:t>In this chapter, we began by exploring the potential costs and benefits of pursuing a small set of these infrastructure-related targets, which called for improved access to all-season roads and for universal access to electricity, improved water and sanitation, and ICT by the year 2030. The results showed that, using domestic resources, these targets are likely to be unachievable for many countries and the effects of pursuing them could have net negative consequences due to the diversion of limited public resources from other important contributors to development. Furthermore, the amount of money that would be required from external sources, either via Official Development Assistance or Foreign Direct Investments, is large enough to raise serious questions about whether the universal targets are reasonable.</w:t>
      </w:r>
    </w:p>
    <w:p w:rsidR="00972987" w:rsidRPr="007B268A" w:rsidRDefault="00972987" w:rsidP="00972987"/>
    <w:p w:rsidR="00972987" w:rsidRPr="007B268A" w:rsidRDefault="00972987" w:rsidP="00972987">
      <w:r w:rsidRPr="007B268A">
        <w:t xml:space="preserve">Our exploration of alternative targets highlighted the differences between countries in terms of how they might tailor the proposed targets to best suit their own needs. One size does not fit all. Some acceleration of infrastructure development beyond that seen in the </w:t>
      </w:r>
      <w:r>
        <w:t>base case</w:t>
      </w:r>
      <w:r w:rsidRPr="007B268A">
        <w:t xml:space="preserve"> is warranted in almost all countries, but the optimal rate and focus of this development differs across countries due to their individual circumstances. Furthermore, these choices can differ depending upon the time horizon and the metric of success adopted by policymakers.</w:t>
      </w:r>
    </w:p>
    <w:p w:rsidR="00972987" w:rsidRPr="007B268A" w:rsidRDefault="00972987" w:rsidP="00972987"/>
    <w:p w:rsidR="00972987" w:rsidRPr="007B268A" w:rsidRDefault="00972987" w:rsidP="00972987">
      <w:r w:rsidRPr="007B268A">
        <w:t>We began this chapter by comparing the situations of Chad and Brazil, showing the dramatic differences in their current levels of development in general and infrastructure endowments in particular. Given these differences, we would not expect that the optimal path of infrastructure development would be the same for both of these countries. Our analysis shows that this is indeed the case, with Chad benefitting most from an emphasis on increasing access to improved water and sanitation and Brazil from pursuing the full set of universal targets (see again Table 6.10).</w:t>
      </w:r>
    </w:p>
    <w:p w:rsidR="00972987" w:rsidRPr="007B268A" w:rsidRDefault="00972987" w:rsidP="00972987"/>
    <w:p w:rsidR="00972987" w:rsidRPr="007B268A" w:rsidRDefault="00972987" w:rsidP="00972987">
      <w:r w:rsidRPr="007B268A">
        <w:t>Additional analysis would, of course, be required to make more specific recommendations for Chad, Brazil, or any individual country. Finally, further analysis is also warranted before making recommendations to international donors on how best to support infrastructure development and development in general or in specific countries.</w:t>
      </w:r>
    </w:p>
    <w:p w:rsidR="00972987" w:rsidRDefault="00972987" w:rsidP="006B1499"/>
    <w:p w:rsidR="009C0B88" w:rsidRDefault="009C0B88" w:rsidP="006B1499"/>
    <w:p w:rsidR="009C0B88" w:rsidRDefault="009C0B88" w:rsidP="006B1499"/>
    <w:p w:rsidR="009C0B88" w:rsidRDefault="009C0B88" w:rsidP="006B1499"/>
    <w:p w:rsidR="009C0B88" w:rsidRDefault="009C0B88" w:rsidP="006B1499"/>
    <w:p w:rsidR="009C0B88" w:rsidRDefault="009C0B88" w:rsidP="006B1499"/>
    <w:p w:rsidR="009C0B88" w:rsidRDefault="009C0B88" w:rsidP="006B1499"/>
    <w:p w:rsidR="009C0B88" w:rsidRDefault="009C0B88" w:rsidP="006B1499"/>
    <w:p w:rsidR="009C0B88" w:rsidRDefault="009C0B88" w:rsidP="006B1499"/>
    <w:p w:rsidR="009C0B88" w:rsidRDefault="009C0B88" w:rsidP="006B1499"/>
    <w:p w:rsidR="00763BA1" w:rsidRDefault="00972987" w:rsidP="00763BA1">
      <w:pPr>
        <w:pStyle w:val="Heading1"/>
        <w:numPr>
          <w:ilvl w:val="0"/>
          <w:numId w:val="29"/>
        </w:numPr>
      </w:pPr>
      <w:bookmarkStart w:id="214" w:name="_Toc199927621"/>
      <w:bookmarkStart w:id="215" w:name="_Toc200095340"/>
      <w:r>
        <w:t>The Future of Global Infrastructure</w:t>
      </w:r>
      <w:bookmarkEnd w:id="214"/>
      <w:bookmarkEnd w:id="215"/>
    </w:p>
    <w:p w:rsidR="00972987" w:rsidRPr="00763BA1" w:rsidRDefault="00972987" w:rsidP="00763BA1"/>
    <w:p w:rsidR="00972987" w:rsidRDefault="00972987" w:rsidP="00972987">
      <w:r>
        <w:t xml:space="preserve">Given the importance of infrastructure to all individuals and societies, there exist surprisingly few efforts to forecast its long-term future in a wide variety of countries around the world.  We have sought in this volume to make contributions on two fronts. The first is to improve our toolkit for such forecasting by building and making available an empirically based, quite comprehensive (in terms of both infrastructure types and linkages other human development systems), and easily usable computer system for thinking about alternative infrastructure futures. The second, interacting with the first, is actually to explore where patterns of changes in infrastructure might be taking us, to consider the effects of already extensive efforts to build infrastructure around the world, and to think about still how more rapid expansion of access to infrastructure might interact, positively or negatively, with broader human development. </w:t>
      </w:r>
    </w:p>
    <w:p w:rsidR="00972987" w:rsidRDefault="00972987" w:rsidP="00972987"/>
    <w:p w:rsidR="00972987" w:rsidRPr="000F3670" w:rsidRDefault="00972987" w:rsidP="00763BA1">
      <w:pPr>
        <w:pStyle w:val="Heading2"/>
        <w:numPr>
          <w:ilvl w:val="0"/>
          <w:numId w:val="0"/>
        </w:numPr>
        <w:ind w:left="360" w:hanging="360"/>
      </w:pPr>
      <w:bookmarkStart w:id="216" w:name="_Toc199927622"/>
      <w:bookmarkStart w:id="217" w:name="_Toc200095341"/>
      <w:r>
        <w:t>7.1 Expanding Capability for Forecasting Infrastructure Futures</w:t>
      </w:r>
      <w:bookmarkEnd w:id="216"/>
      <w:bookmarkEnd w:id="217"/>
    </w:p>
    <w:p w:rsidR="00972987" w:rsidRDefault="00972987" w:rsidP="00972987">
      <w:pPr>
        <w:pStyle w:val="FootnoteText"/>
        <w:spacing w:before="0" w:after="0"/>
        <w:rPr>
          <w:sz w:val="24"/>
        </w:rPr>
      </w:pPr>
      <w:r>
        <w:rPr>
          <w:sz w:val="24"/>
        </w:rPr>
        <w:t>Any effort to understand the future of infrastructure, including our own, will be limited in important ways. Most studies narrow their focus to selected countries, consider a single or small subset of infrastructure types, maintain a relatively near-term focus, and/or pay attention primarily to the potential demand for infrastructure and its potential cost. That last limitation, for example, prevents nearly all studies from looking at the constraints that financial resources might impose on the prospects of meeting demand. In addition these constraints more generally mean that studies very seldom consider the impacts of alternative infrastructure futures on broader human development systems (such as on economic growth and on aspects of demographics including health) much less go on to close the loop by exploring how resultant alternative futures for those other systems then affect infrastructure development.</w:t>
      </w:r>
    </w:p>
    <w:p w:rsidR="00972987" w:rsidRDefault="00972987" w:rsidP="00972987">
      <w:pPr>
        <w:pStyle w:val="FootnoteText"/>
        <w:spacing w:before="0" w:after="0"/>
        <w:rPr>
          <w:sz w:val="24"/>
        </w:rPr>
      </w:pPr>
    </w:p>
    <w:p w:rsidR="00972987" w:rsidRDefault="00972987" w:rsidP="00972987">
      <w:pPr>
        <w:pStyle w:val="FootnoteText"/>
        <w:spacing w:before="0" w:after="0"/>
        <w:rPr>
          <w:sz w:val="24"/>
        </w:rPr>
      </w:pPr>
      <w:r w:rsidRPr="00230E0E">
        <w:rPr>
          <w:sz w:val="24"/>
        </w:rPr>
        <w:t xml:space="preserve">In order to push back </w:t>
      </w:r>
      <w:r>
        <w:rPr>
          <w:sz w:val="24"/>
        </w:rPr>
        <w:t xml:space="preserve">these </w:t>
      </w:r>
      <w:r w:rsidRPr="00230E0E">
        <w:rPr>
          <w:sz w:val="24"/>
        </w:rPr>
        <w:t>limitations</w:t>
      </w:r>
      <w:r>
        <w:rPr>
          <w:sz w:val="24"/>
        </w:rPr>
        <w:t>, we have created</w:t>
      </w:r>
      <w:r w:rsidRPr="00230E0E">
        <w:rPr>
          <w:sz w:val="24"/>
        </w:rPr>
        <w:t xml:space="preserve"> a dynamic, integrated infrastructure model using a “demand-driven, supply-constrained” approach to forecast levels of key infrastructure stocks, access, and spending for </w:t>
      </w:r>
      <w:r>
        <w:rPr>
          <w:sz w:val="24"/>
        </w:rPr>
        <w:t xml:space="preserve">183 </w:t>
      </w:r>
      <w:r w:rsidRPr="00230E0E">
        <w:rPr>
          <w:sz w:val="24"/>
        </w:rPr>
        <w:t xml:space="preserve">countries around the </w:t>
      </w:r>
      <w:r w:rsidRPr="00BD4F3D">
        <w:rPr>
          <w:sz w:val="24"/>
        </w:rPr>
        <w:t xml:space="preserve">world out to the year 2060. Further, we </w:t>
      </w:r>
      <w:r>
        <w:rPr>
          <w:sz w:val="24"/>
        </w:rPr>
        <w:t xml:space="preserve">have </w:t>
      </w:r>
      <w:r w:rsidRPr="00BD4F3D">
        <w:rPr>
          <w:sz w:val="24"/>
        </w:rPr>
        <w:t>included a wide array of infrastructure forms in our analysis</w:t>
      </w:r>
      <w:r>
        <w:rPr>
          <w:sz w:val="24"/>
        </w:rPr>
        <w:t xml:space="preserve">, adding </w:t>
      </w:r>
      <w:r w:rsidRPr="00BD4F3D">
        <w:rPr>
          <w:sz w:val="24"/>
        </w:rPr>
        <w:t>multiple</w:t>
      </w:r>
      <w:r>
        <w:rPr>
          <w:sz w:val="24"/>
        </w:rPr>
        <w:t xml:space="preserve"> information and communications technologies or ICTs (mobile phones, </w:t>
      </w:r>
      <w:r w:rsidRPr="00BD4F3D">
        <w:rPr>
          <w:sz w:val="24"/>
        </w:rPr>
        <w:t>mobile broadband</w:t>
      </w:r>
      <w:r>
        <w:rPr>
          <w:sz w:val="24"/>
        </w:rPr>
        <w:t xml:space="preserve"> and fixed broadband) to </w:t>
      </w:r>
      <w:r w:rsidRPr="00BD4F3D">
        <w:rPr>
          <w:sz w:val="24"/>
        </w:rPr>
        <w:t xml:space="preserve">more standard infrastructure </w:t>
      </w:r>
      <w:r>
        <w:rPr>
          <w:sz w:val="24"/>
        </w:rPr>
        <w:t xml:space="preserve">types such as like road transportation, electricity, and water and sanitation. And we have imbedded our model of infrastructure deeply into the International Futures (IFs) forecasting system, with its broad representation of multiple human development systems, including economics, demographics, energy, food and agriculture, governance (including budgeting) and the environment. The resultant tool can provide its users with the ability to explore a range of alternative human infrastructure futures. It is available at </w:t>
      </w:r>
      <w:hyperlink r:id="rId107" w:history="1">
        <w:r w:rsidRPr="001F7CBD">
          <w:rPr>
            <w:rStyle w:val="Hyperlink"/>
            <w:sz w:val="24"/>
            <w:lang w:val="en-US"/>
          </w:rPr>
          <w:t>www.ifs.du.edu</w:t>
        </w:r>
      </w:hyperlink>
      <w:r>
        <w:rPr>
          <w:sz w:val="24"/>
          <w:lang w:val="en-US"/>
        </w:rPr>
        <w:t xml:space="preserve"> </w:t>
      </w:r>
      <w:r>
        <w:rPr>
          <w:sz w:val="24"/>
        </w:rPr>
        <w:t>for others to use either in replicating our own analyzes or undertaking their own.</w:t>
      </w:r>
    </w:p>
    <w:p w:rsidR="00972987" w:rsidRDefault="00972987" w:rsidP="00972987">
      <w:pPr>
        <w:pStyle w:val="FootnoteText"/>
        <w:spacing w:before="0" w:after="0"/>
        <w:rPr>
          <w:sz w:val="24"/>
        </w:rPr>
      </w:pPr>
    </w:p>
    <w:p w:rsidR="00972987" w:rsidRDefault="00972987" w:rsidP="00972987">
      <w:r>
        <w:t>In terms of developing such tools, still another a challenge that all analysts have faced is restricted data availability. Unlike other issue areas, including population, education, health, energy, or agriculture, there is no one international organization that deals with infrastructure as a whole. Thus, infrastructure data have long been scattered across a number of international organizations. For this project, we drew on these fragmented data sources to create what we believe to be one of the most comprehensive infrastructure databases in the world. It is also integrated within the IFs forecasting system and therefore available for others.</w:t>
      </w:r>
    </w:p>
    <w:p w:rsidR="00972987" w:rsidRDefault="00972987" w:rsidP="00972987"/>
    <w:p w:rsidR="00972987" w:rsidRPr="007D3D69" w:rsidRDefault="00972987" w:rsidP="00972987">
      <w:r>
        <w:t>For those who do not wish to use such tools themselves, the tables that accompany this volume provide IFs base case forecasts for all 183 countries, as well as for geographical groupings of them. Again, we have attempted to provide information for a wide range of infrastructure types and to provide context by including base case forecasts for a considerable range of other human development indicators.</w:t>
      </w:r>
    </w:p>
    <w:p w:rsidR="00763BA1" w:rsidRDefault="00763BA1" w:rsidP="00763BA1">
      <w:pPr>
        <w:pStyle w:val="Heading2"/>
        <w:numPr>
          <w:ilvl w:val="0"/>
          <w:numId w:val="0"/>
        </w:numPr>
        <w:ind w:left="360" w:hanging="360"/>
      </w:pPr>
      <w:bookmarkStart w:id="218" w:name="_Toc199927623"/>
    </w:p>
    <w:p w:rsidR="00972987" w:rsidRDefault="00972987" w:rsidP="00763BA1">
      <w:pPr>
        <w:pStyle w:val="Heading2"/>
        <w:numPr>
          <w:ilvl w:val="0"/>
          <w:numId w:val="0"/>
        </w:numPr>
        <w:ind w:left="360" w:hanging="360"/>
      </w:pPr>
      <w:bookmarkStart w:id="219" w:name="_Toc200095342"/>
      <w:r>
        <w:t>7.2 Understanding the Future of Infrastructure Globally</w:t>
      </w:r>
      <w:bookmarkEnd w:id="218"/>
      <w:bookmarkEnd w:id="219"/>
      <w:r>
        <w:t xml:space="preserve"> </w:t>
      </w:r>
    </w:p>
    <w:p w:rsidR="00972987" w:rsidRDefault="00972987" w:rsidP="00972987">
      <w:r>
        <w:t xml:space="preserve">As new technologies unfolded, the current high-income countries had centuries to develop the infrastructure networks they now enjoy. Today, developing countries are faced with an array of existing infrastructure technologies and typically have populaces demanding access to all of them simultaneously. That fact alone makes clear the reality that developing countries will not follow the same path that those rich countries once did. </w:t>
      </w:r>
    </w:p>
    <w:p w:rsidR="00972987" w:rsidRDefault="00972987" w:rsidP="00972987"/>
    <w:p w:rsidR="00972987" w:rsidRDefault="00972987" w:rsidP="00972987">
      <w:r>
        <w:t xml:space="preserve">In addition, of course, technologies continue to change, most dramatically in the information and communications technology arena, but across the board. This all means that the past is not prologue for infrastructure futures and that, even if we had good historical infrastructure data, we could not rely heavily on extrapolation.  Our model is not extrapolative but more structural. Still, it begins with the current state of global infrastructure and initiates development patterns based on the general tendency of recent years. </w:t>
      </w:r>
    </w:p>
    <w:p w:rsidR="00972987" w:rsidRDefault="00972987" w:rsidP="00972987"/>
    <w:p w:rsidR="00972987" w:rsidRDefault="00972987" w:rsidP="00972987">
      <w:r>
        <w:t xml:space="preserve">Table 7.1 helps us review that current state, focusing on the portion of the population with access to various infrastructures. It reminds us that in 2010 improved water was the infrastructure type for which global access was closest to universal, with 88.5 percent of world linked to either household connections or some other improved source. Of course that meant that 789 million people had access to no improved source, of which 333 million were in sub-Saharan Africa (67 million in Nigeria alone) and 158 million were in South Asia (94 million in India). </w:t>
      </w:r>
    </w:p>
    <w:p w:rsidR="00972987" w:rsidRDefault="00972987" w:rsidP="00972987"/>
    <w:p w:rsidR="00972987" w:rsidRDefault="00972987" w:rsidP="00972987">
      <w:r>
        <w:t>Although there are huge variations across countries as a result of factors including geography, climate, and historical development paths, access to safe water tends to be highest among infrastructure types even at the lowest income levels. Globally, this is followed by electricity, roads, and then sanitation (temporarily leaving aside the new ICTs). Yet Table 7.1 makes clear that this order of access can vary across regions (and countries). At the same, there is a consistency in that regions (and countries) that rank lower in access to one form of access also tend to rank lower in other forms.</w:t>
      </w:r>
    </w:p>
    <w:p w:rsidR="00972987" w:rsidRDefault="00972987" w:rsidP="00972987"/>
    <w:p w:rsidR="00972987" w:rsidRDefault="00972987" w:rsidP="00972987">
      <w:r>
        <w:t xml:space="preserve">The variation across income levels and geographic regions can be quite large. This is particularly pronounced in electricity and improved sanitation, where the access rate for sub-Saharan Africa was only 30 percent in 2010, compared to 98 percent or more in high-income countries. </w:t>
      </w:r>
    </w:p>
    <w:p w:rsidR="00763BA1" w:rsidRDefault="00763BA1" w:rsidP="00972987"/>
    <w:tbl>
      <w:tblPr>
        <w:tblW w:w="8770" w:type="dxa"/>
        <w:tblInd w:w="108" w:type="dxa"/>
        <w:tblCellMar>
          <w:left w:w="58" w:type="dxa"/>
          <w:right w:w="58" w:type="dxa"/>
        </w:tblCellMar>
        <w:tblLook w:val="04A0"/>
      </w:tblPr>
      <w:tblGrid>
        <w:gridCol w:w="2329"/>
        <w:gridCol w:w="476"/>
        <w:gridCol w:w="599"/>
        <w:gridCol w:w="891"/>
        <w:gridCol w:w="157"/>
        <w:gridCol w:w="2329"/>
        <w:gridCol w:w="611"/>
        <w:gridCol w:w="599"/>
        <w:gridCol w:w="779"/>
      </w:tblGrid>
      <w:tr w:rsidR="00763BA1" w:rsidRPr="00813361">
        <w:trPr>
          <w:trHeight w:val="300"/>
        </w:trPr>
        <w:tc>
          <w:tcPr>
            <w:tcW w:w="8770"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763BA1" w:rsidRPr="00813361" w:rsidRDefault="00763BA1" w:rsidP="003054EC">
            <w:pPr>
              <w:rPr>
                <w:color w:val="000000"/>
                <w:sz w:val="16"/>
                <w:szCs w:val="22"/>
              </w:rPr>
            </w:pPr>
            <w:r>
              <w:rPr>
                <w:b/>
              </w:rPr>
              <w:t>Table 7.1 Global infrastructure access across scenarios of the volume</w:t>
            </w:r>
          </w:p>
        </w:tc>
      </w:tr>
      <w:tr w:rsidR="00763BA1" w:rsidRPr="00476516">
        <w:trPr>
          <w:trHeight w:val="70"/>
        </w:trPr>
        <w:tc>
          <w:tcPr>
            <w:tcW w:w="2329" w:type="dxa"/>
            <w:tcBorders>
              <w:top w:val="single" w:sz="4" w:space="0" w:color="auto"/>
              <w:left w:val="single" w:sz="4" w:space="0" w:color="auto"/>
            </w:tcBorders>
            <w:shd w:val="clear" w:color="auto" w:fill="auto"/>
            <w:noWrap/>
            <w:vAlign w:val="bottom"/>
          </w:tcPr>
          <w:p w:rsidR="00763BA1" w:rsidRPr="00476516" w:rsidRDefault="00763BA1" w:rsidP="003054EC">
            <w:pPr>
              <w:rPr>
                <w:color w:val="000000"/>
                <w:sz w:val="16"/>
                <w:szCs w:val="16"/>
              </w:rPr>
            </w:pPr>
          </w:p>
        </w:tc>
        <w:tc>
          <w:tcPr>
            <w:tcW w:w="1966" w:type="dxa"/>
            <w:gridSpan w:val="3"/>
            <w:tcBorders>
              <w:top w:val="single" w:sz="4" w:space="0" w:color="auto"/>
            </w:tcBorders>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All-season roads percent access (rural)</w:t>
            </w:r>
          </w:p>
        </w:tc>
        <w:tc>
          <w:tcPr>
            <w:tcW w:w="157" w:type="dxa"/>
            <w:tcBorders>
              <w:top w:val="single" w:sz="4" w:space="0" w:color="auto"/>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top w:val="single" w:sz="4" w:space="0" w:color="auto"/>
              <w:left w:val="single" w:sz="4" w:space="0" w:color="auto"/>
            </w:tcBorders>
            <w:shd w:val="clear" w:color="auto" w:fill="auto"/>
            <w:noWrap/>
            <w:vAlign w:val="bottom"/>
          </w:tcPr>
          <w:p w:rsidR="00763BA1" w:rsidRPr="00476516" w:rsidRDefault="00763BA1" w:rsidP="003054EC">
            <w:pPr>
              <w:rPr>
                <w:color w:val="000000"/>
                <w:sz w:val="16"/>
                <w:szCs w:val="16"/>
              </w:rPr>
            </w:pPr>
          </w:p>
        </w:tc>
        <w:tc>
          <w:tcPr>
            <w:tcW w:w="1989" w:type="dxa"/>
            <w:gridSpan w:val="3"/>
            <w:tcBorders>
              <w:top w:val="single" w:sz="4" w:space="0" w:color="auto"/>
              <w:right w:val="single" w:sz="4" w:space="0" w:color="auto"/>
            </w:tcBorders>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Electricity percent access</w:t>
            </w:r>
          </w:p>
        </w:tc>
      </w:tr>
      <w:tr w:rsidR="00763BA1" w:rsidRPr="00476516">
        <w:trPr>
          <w:trHeight w:val="70"/>
        </w:trPr>
        <w:tc>
          <w:tcPr>
            <w:tcW w:w="2329" w:type="dxa"/>
            <w:tcBorders>
              <w:left w:val="single" w:sz="4" w:space="0" w:color="auto"/>
            </w:tcBorders>
            <w:shd w:val="clear" w:color="auto" w:fill="auto"/>
            <w:noWrap/>
            <w:vAlign w:val="bottom"/>
          </w:tcPr>
          <w:p w:rsidR="00763BA1" w:rsidRPr="00476516" w:rsidRDefault="00763BA1" w:rsidP="003054EC">
            <w:pPr>
              <w:rPr>
                <w:color w:val="000000"/>
                <w:sz w:val="16"/>
                <w:szCs w:val="16"/>
              </w:rPr>
            </w:pPr>
          </w:p>
        </w:tc>
        <w:tc>
          <w:tcPr>
            <w:tcW w:w="476" w:type="dxa"/>
            <w:shd w:val="clear" w:color="auto" w:fill="auto"/>
            <w:noWrap/>
            <w:vAlign w:val="bottom"/>
          </w:tcPr>
          <w:p w:rsidR="00763BA1" w:rsidRPr="00476516" w:rsidRDefault="00763BA1" w:rsidP="003054EC">
            <w:pPr>
              <w:jc w:val="center"/>
              <w:rPr>
                <w:color w:val="000000"/>
                <w:sz w:val="16"/>
                <w:szCs w:val="16"/>
              </w:rPr>
            </w:pPr>
          </w:p>
        </w:tc>
        <w:tc>
          <w:tcPr>
            <w:tcW w:w="599" w:type="dxa"/>
            <w:shd w:val="clear" w:color="auto" w:fill="auto"/>
            <w:vAlign w:val="bottom"/>
          </w:tcPr>
          <w:p w:rsidR="00763BA1" w:rsidRPr="00476516" w:rsidRDefault="00763BA1" w:rsidP="003054EC">
            <w:pPr>
              <w:jc w:val="center"/>
              <w:rPr>
                <w:color w:val="000000"/>
                <w:sz w:val="16"/>
                <w:szCs w:val="16"/>
              </w:rPr>
            </w:pPr>
            <w:r w:rsidRPr="00476516">
              <w:rPr>
                <w:color w:val="000000"/>
                <w:sz w:val="16"/>
                <w:szCs w:val="16"/>
              </w:rPr>
              <w:t xml:space="preserve">Base </w:t>
            </w:r>
            <w:r>
              <w:rPr>
                <w:color w:val="000000"/>
                <w:sz w:val="16"/>
                <w:szCs w:val="16"/>
              </w:rPr>
              <w:t>c</w:t>
            </w:r>
            <w:r w:rsidRPr="00476516">
              <w:rPr>
                <w:color w:val="000000"/>
                <w:sz w:val="16"/>
                <w:szCs w:val="16"/>
              </w:rPr>
              <w:t>ase</w:t>
            </w:r>
          </w:p>
        </w:tc>
        <w:tc>
          <w:tcPr>
            <w:tcW w:w="891" w:type="dxa"/>
            <w:shd w:val="clear" w:color="auto" w:fill="auto"/>
            <w:vAlign w:val="bottom"/>
          </w:tcPr>
          <w:p w:rsidR="00763BA1" w:rsidRPr="00476516" w:rsidRDefault="00763BA1" w:rsidP="003054EC">
            <w:pPr>
              <w:jc w:val="center"/>
              <w:rPr>
                <w:color w:val="000000"/>
                <w:sz w:val="16"/>
                <w:szCs w:val="16"/>
              </w:rPr>
            </w:pPr>
            <w:r w:rsidRPr="00476516">
              <w:rPr>
                <w:color w:val="000000"/>
                <w:sz w:val="16"/>
                <w:szCs w:val="16"/>
              </w:rPr>
              <w:t>Universal Targets</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bottom"/>
          </w:tcPr>
          <w:p w:rsidR="00763BA1" w:rsidRPr="00476516" w:rsidRDefault="00763BA1" w:rsidP="003054EC">
            <w:pPr>
              <w:rPr>
                <w:color w:val="000000"/>
                <w:sz w:val="16"/>
                <w:szCs w:val="16"/>
              </w:rPr>
            </w:pPr>
          </w:p>
        </w:tc>
        <w:tc>
          <w:tcPr>
            <w:tcW w:w="611" w:type="dxa"/>
            <w:shd w:val="clear" w:color="auto" w:fill="auto"/>
            <w:noWrap/>
            <w:vAlign w:val="bottom"/>
          </w:tcPr>
          <w:p w:rsidR="00763BA1" w:rsidRPr="00476516" w:rsidRDefault="00763BA1" w:rsidP="003054EC">
            <w:pPr>
              <w:jc w:val="center"/>
              <w:rPr>
                <w:color w:val="000000"/>
                <w:sz w:val="16"/>
                <w:szCs w:val="16"/>
              </w:rPr>
            </w:pPr>
          </w:p>
        </w:tc>
        <w:tc>
          <w:tcPr>
            <w:tcW w:w="599" w:type="dxa"/>
            <w:shd w:val="clear" w:color="auto" w:fill="auto"/>
            <w:vAlign w:val="bottom"/>
          </w:tcPr>
          <w:p w:rsidR="00763BA1" w:rsidRPr="00476516" w:rsidRDefault="00763BA1" w:rsidP="003054EC">
            <w:pPr>
              <w:jc w:val="center"/>
              <w:rPr>
                <w:color w:val="000000"/>
                <w:sz w:val="16"/>
                <w:szCs w:val="16"/>
              </w:rPr>
            </w:pPr>
            <w:r w:rsidRPr="00476516">
              <w:rPr>
                <w:color w:val="000000"/>
                <w:sz w:val="16"/>
                <w:szCs w:val="16"/>
              </w:rPr>
              <w:t xml:space="preserve">Base </w:t>
            </w:r>
            <w:r>
              <w:rPr>
                <w:color w:val="000000"/>
                <w:sz w:val="16"/>
                <w:szCs w:val="16"/>
              </w:rPr>
              <w:t>c</w:t>
            </w:r>
            <w:r w:rsidRPr="00476516">
              <w:rPr>
                <w:color w:val="000000"/>
                <w:sz w:val="16"/>
                <w:szCs w:val="16"/>
              </w:rPr>
              <w:t>ase</w:t>
            </w:r>
          </w:p>
        </w:tc>
        <w:tc>
          <w:tcPr>
            <w:tcW w:w="779" w:type="dxa"/>
            <w:tcBorders>
              <w:right w:val="single" w:sz="4" w:space="0" w:color="auto"/>
            </w:tcBorders>
            <w:shd w:val="clear" w:color="auto" w:fill="auto"/>
            <w:vAlign w:val="bottom"/>
          </w:tcPr>
          <w:p w:rsidR="00763BA1" w:rsidRPr="00476516" w:rsidRDefault="00763BA1" w:rsidP="003054EC">
            <w:pPr>
              <w:jc w:val="center"/>
              <w:rPr>
                <w:color w:val="000000"/>
                <w:sz w:val="16"/>
                <w:szCs w:val="16"/>
              </w:rPr>
            </w:pPr>
            <w:r w:rsidRPr="00476516">
              <w:rPr>
                <w:color w:val="000000"/>
                <w:sz w:val="16"/>
                <w:szCs w:val="16"/>
              </w:rPr>
              <w:t>Universal Targets</w:t>
            </w:r>
          </w:p>
        </w:tc>
      </w:tr>
      <w:tr w:rsidR="00763BA1" w:rsidRPr="00476516">
        <w:trPr>
          <w:trHeight w:val="70"/>
        </w:trPr>
        <w:tc>
          <w:tcPr>
            <w:tcW w:w="2329" w:type="dxa"/>
            <w:tcBorders>
              <w:left w:val="single" w:sz="4" w:space="0" w:color="auto"/>
            </w:tcBorders>
            <w:shd w:val="clear" w:color="auto" w:fill="auto"/>
            <w:noWrap/>
            <w:vAlign w:val="bottom"/>
          </w:tcPr>
          <w:p w:rsidR="00763BA1" w:rsidRPr="00476516" w:rsidRDefault="00763BA1" w:rsidP="003054EC">
            <w:pPr>
              <w:rPr>
                <w:color w:val="000000"/>
                <w:sz w:val="16"/>
                <w:szCs w:val="16"/>
              </w:rPr>
            </w:pPr>
          </w:p>
        </w:tc>
        <w:tc>
          <w:tcPr>
            <w:tcW w:w="476" w:type="dxa"/>
            <w:shd w:val="clear" w:color="auto" w:fill="auto"/>
            <w:noWrap/>
            <w:vAlign w:val="bottom"/>
          </w:tcPr>
          <w:p w:rsidR="00763BA1" w:rsidRPr="00476516" w:rsidRDefault="00763BA1" w:rsidP="003054EC">
            <w:pPr>
              <w:jc w:val="center"/>
              <w:rPr>
                <w:color w:val="000000"/>
                <w:sz w:val="16"/>
                <w:szCs w:val="16"/>
                <w:u w:val="single"/>
              </w:rPr>
            </w:pPr>
            <w:r w:rsidRPr="00476516">
              <w:rPr>
                <w:color w:val="000000"/>
                <w:sz w:val="16"/>
                <w:szCs w:val="16"/>
                <w:u w:val="single"/>
              </w:rPr>
              <w:t>2010</w:t>
            </w:r>
          </w:p>
        </w:tc>
        <w:tc>
          <w:tcPr>
            <w:tcW w:w="599" w:type="dxa"/>
            <w:shd w:val="clear" w:color="auto" w:fill="auto"/>
            <w:noWrap/>
            <w:vAlign w:val="bottom"/>
          </w:tcPr>
          <w:p w:rsidR="00763BA1" w:rsidRPr="00476516" w:rsidRDefault="00763BA1" w:rsidP="003054EC">
            <w:pPr>
              <w:jc w:val="center"/>
              <w:rPr>
                <w:color w:val="000000"/>
                <w:sz w:val="16"/>
                <w:szCs w:val="16"/>
                <w:u w:val="single"/>
              </w:rPr>
            </w:pPr>
            <w:r w:rsidRPr="00476516">
              <w:rPr>
                <w:color w:val="000000"/>
                <w:sz w:val="16"/>
                <w:szCs w:val="16"/>
                <w:u w:val="single"/>
              </w:rPr>
              <w:t>2060</w:t>
            </w:r>
          </w:p>
        </w:tc>
        <w:tc>
          <w:tcPr>
            <w:tcW w:w="891" w:type="dxa"/>
            <w:shd w:val="clear" w:color="auto" w:fill="auto"/>
            <w:noWrap/>
            <w:vAlign w:val="bottom"/>
          </w:tcPr>
          <w:p w:rsidR="00763BA1" w:rsidRPr="00476516" w:rsidRDefault="00763BA1" w:rsidP="003054EC">
            <w:pPr>
              <w:jc w:val="center"/>
              <w:rPr>
                <w:color w:val="000000"/>
                <w:sz w:val="16"/>
                <w:szCs w:val="16"/>
                <w:u w:val="single"/>
              </w:rPr>
            </w:pPr>
            <w:r w:rsidRPr="00476516">
              <w:rPr>
                <w:color w:val="000000"/>
                <w:sz w:val="16"/>
                <w:szCs w:val="16"/>
                <w:u w:val="single"/>
              </w:rPr>
              <w:t>2060</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bottom"/>
          </w:tcPr>
          <w:p w:rsidR="00763BA1" w:rsidRPr="00476516" w:rsidRDefault="00763BA1" w:rsidP="003054EC">
            <w:pPr>
              <w:rPr>
                <w:color w:val="000000"/>
                <w:sz w:val="16"/>
                <w:szCs w:val="16"/>
              </w:rPr>
            </w:pPr>
          </w:p>
        </w:tc>
        <w:tc>
          <w:tcPr>
            <w:tcW w:w="611" w:type="dxa"/>
            <w:shd w:val="clear" w:color="auto" w:fill="auto"/>
            <w:noWrap/>
            <w:vAlign w:val="bottom"/>
          </w:tcPr>
          <w:p w:rsidR="00763BA1" w:rsidRPr="00476516" w:rsidRDefault="00763BA1" w:rsidP="003054EC">
            <w:pPr>
              <w:jc w:val="center"/>
              <w:rPr>
                <w:color w:val="000000"/>
                <w:sz w:val="16"/>
                <w:szCs w:val="16"/>
                <w:u w:val="single"/>
              </w:rPr>
            </w:pPr>
            <w:r w:rsidRPr="00476516">
              <w:rPr>
                <w:color w:val="000000"/>
                <w:sz w:val="16"/>
                <w:szCs w:val="16"/>
                <w:u w:val="single"/>
              </w:rPr>
              <w:t>2010</w:t>
            </w:r>
          </w:p>
        </w:tc>
        <w:tc>
          <w:tcPr>
            <w:tcW w:w="599" w:type="dxa"/>
            <w:shd w:val="clear" w:color="auto" w:fill="auto"/>
            <w:noWrap/>
            <w:vAlign w:val="bottom"/>
          </w:tcPr>
          <w:p w:rsidR="00763BA1" w:rsidRPr="00476516" w:rsidRDefault="00763BA1" w:rsidP="003054EC">
            <w:pPr>
              <w:jc w:val="center"/>
              <w:rPr>
                <w:color w:val="000000"/>
                <w:sz w:val="16"/>
                <w:szCs w:val="16"/>
                <w:u w:val="single"/>
              </w:rPr>
            </w:pPr>
            <w:r w:rsidRPr="00476516">
              <w:rPr>
                <w:color w:val="000000"/>
                <w:sz w:val="16"/>
                <w:szCs w:val="16"/>
                <w:u w:val="single"/>
              </w:rPr>
              <w:t>2060</w:t>
            </w:r>
          </w:p>
        </w:tc>
        <w:tc>
          <w:tcPr>
            <w:tcW w:w="779" w:type="dxa"/>
            <w:tcBorders>
              <w:right w:val="single" w:sz="4" w:space="0" w:color="auto"/>
            </w:tcBorders>
            <w:shd w:val="clear" w:color="auto" w:fill="auto"/>
            <w:noWrap/>
            <w:vAlign w:val="bottom"/>
          </w:tcPr>
          <w:p w:rsidR="00763BA1" w:rsidRPr="00476516" w:rsidRDefault="00763BA1" w:rsidP="003054EC">
            <w:pPr>
              <w:jc w:val="center"/>
              <w:rPr>
                <w:color w:val="000000"/>
                <w:sz w:val="16"/>
                <w:szCs w:val="16"/>
                <w:u w:val="single"/>
              </w:rPr>
            </w:pPr>
            <w:r w:rsidRPr="00476516">
              <w:rPr>
                <w:color w:val="000000"/>
                <w:sz w:val="16"/>
                <w:szCs w:val="16"/>
                <w:u w:val="single"/>
              </w:rPr>
              <w:t>2060</w:t>
            </w:r>
          </w:p>
        </w:tc>
      </w:tr>
      <w:tr w:rsidR="00763BA1" w:rsidRPr="00476516">
        <w:trPr>
          <w:trHeight w:val="70"/>
        </w:trPr>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East Asia and Pacific</w:t>
            </w:r>
          </w:p>
        </w:tc>
        <w:tc>
          <w:tcPr>
            <w:tcW w:w="476"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90.6</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95.7</w:t>
            </w:r>
          </w:p>
        </w:tc>
        <w:tc>
          <w:tcPr>
            <w:tcW w:w="89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96.8</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East Asia and Pacific</w:t>
            </w:r>
          </w:p>
        </w:tc>
        <w:tc>
          <w:tcPr>
            <w:tcW w:w="61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90.7</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98.9</w:t>
            </w:r>
          </w:p>
        </w:tc>
        <w:tc>
          <w:tcPr>
            <w:tcW w:w="779" w:type="dxa"/>
            <w:tcBorders>
              <w:right w:val="single" w:sz="4" w:space="0" w:color="auto"/>
            </w:tcBorders>
            <w:shd w:val="clear" w:color="auto" w:fill="auto"/>
            <w:noWrap/>
          </w:tcPr>
          <w:p w:rsidR="00763BA1" w:rsidRPr="00476516" w:rsidRDefault="00763BA1" w:rsidP="003054EC">
            <w:pPr>
              <w:jc w:val="center"/>
              <w:rPr>
                <w:color w:val="000000"/>
                <w:sz w:val="16"/>
                <w:szCs w:val="16"/>
              </w:rPr>
            </w:pPr>
            <w:r w:rsidRPr="00476516">
              <w:rPr>
                <w:sz w:val="16"/>
                <w:szCs w:val="16"/>
              </w:rPr>
              <w:t>100.0</w:t>
            </w:r>
          </w:p>
        </w:tc>
      </w:tr>
      <w:tr w:rsidR="00763BA1" w:rsidRPr="00476516">
        <w:trPr>
          <w:trHeight w:val="80"/>
        </w:trPr>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Europe and Central Asia</w:t>
            </w:r>
          </w:p>
        </w:tc>
        <w:tc>
          <w:tcPr>
            <w:tcW w:w="476"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78.5</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89.5</w:t>
            </w:r>
          </w:p>
        </w:tc>
        <w:tc>
          <w:tcPr>
            <w:tcW w:w="89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94.0</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Europe and Central Asia</w:t>
            </w:r>
          </w:p>
        </w:tc>
        <w:tc>
          <w:tcPr>
            <w:tcW w:w="61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87.2</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94.7</w:t>
            </w:r>
          </w:p>
        </w:tc>
        <w:tc>
          <w:tcPr>
            <w:tcW w:w="779" w:type="dxa"/>
            <w:tcBorders>
              <w:right w:val="single" w:sz="4" w:space="0" w:color="auto"/>
            </w:tcBorders>
            <w:shd w:val="clear" w:color="auto" w:fill="auto"/>
            <w:noWrap/>
          </w:tcPr>
          <w:p w:rsidR="00763BA1" w:rsidRPr="00476516" w:rsidRDefault="00763BA1" w:rsidP="003054EC">
            <w:pPr>
              <w:jc w:val="center"/>
              <w:rPr>
                <w:color w:val="000000"/>
                <w:sz w:val="16"/>
                <w:szCs w:val="16"/>
              </w:rPr>
            </w:pPr>
            <w:r w:rsidRPr="00476516">
              <w:rPr>
                <w:sz w:val="16"/>
                <w:szCs w:val="16"/>
              </w:rPr>
              <w:t>100.0</w:t>
            </w:r>
          </w:p>
        </w:tc>
      </w:tr>
      <w:tr w:rsidR="00763BA1" w:rsidRPr="00476516">
        <w:trPr>
          <w:trHeight w:val="70"/>
        </w:trPr>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Latin America and the Caribbean</w:t>
            </w:r>
          </w:p>
        </w:tc>
        <w:tc>
          <w:tcPr>
            <w:tcW w:w="476"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61.3</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81.3</w:t>
            </w:r>
          </w:p>
        </w:tc>
        <w:tc>
          <w:tcPr>
            <w:tcW w:w="89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87.9</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Latin America and the Caribbean</w:t>
            </w:r>
          </w:p>
        </w:tc>
        <w:tc>
          <w:tcPr>
            <w:tcW w:w="61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94.4</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99.1</w:t>
            </w:r>
          </w:p>
        </w:tc>
        <w:tc>
          <w:tcPr>
            <w:tcW w:w="779" w:type="dxa"/>
            <w:tcBorders>
              <w:right w:val="single" w:sz="4" w:space="0" w:color="auto"/>
            </w:tcBorders>
            <w:shd w:val="clear" w:color="auto" w:fill="auto"/>
            <w:noWrap/>
          </w:tcPr>
          <w:p w:rsidR="00763BA1" w:rsidRPr="00476516" w:rsidRDefault="00763BA1" w:rsidP="003054EC">
            <w:pPr>
              <w:jc w:val="center"/>
              <w:rPr>
                <w:color w:val="000000"/>
                <w:sz w:val="16"/>
                <w:szCs w:val="16"/>
              </w:rPr>
            </w:pPr>
            <w:r w:rsidRPr="00476516">
              <w:rPr>
                <w:sz w:val="16"/>
                <w:szCs w:val="16"/>
              </w:rPr>
              <w:t>99.9</w:t>
            </w:r>
          </w:p>
        </w:tc>
      </w:tr>
      <w:tr w:rsidR="00763BA1" w:rsidRPr="00476516">
        <w:trPr>
          <w:trHeight w:val="70"/>
        </w:trPr>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Middle East and North Africa</w:t>
            </w:r>
          </w:p>
        </w:tc>
        <w:tc>
          <w:tcPr>
            <w:tcW w:w="476"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61.8</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81.8</w:t>
            </w:r>
          </w:p>
        </w:tc>
        <w:tc>
          <w:tcPr>
            <w:tcW w:w="89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87.3</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Middle East and North Africa</w:t>
            </w:r>
          </w:p>
        </w:tc>
        <w:tc>
          <w:tcPr>
            <w:tcW w:w="61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93.6</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97.3</w:t>
            </w:r>
          </w:p>
        </w:tc>
        <w:tc>
          <w:tcPr>
            <w:tcW w:w="779" w:type="dxa"/>
            <w:tcBorders>
              <w:right w:val="single" w:sz="4" w:space="0" w:color="auto"/>
            </w:tcBorders>
            <w:shd w:val="clear" w:color="auto" w:fill="auto"/>
            <w:noWrap/>
          </w:tcPr>
          <w:p w:rsidR="00763BA1" w:rsidRPr="00476516" w:rsidRDefault="00763BA1" w:rsidP="003054EC">
            <w:pPr>
              <w:jc w:val="center"/>
              <w:rPr>
                <w:color w:val="000000"/>
                <w:sz w:val="16"/>
                <w:szCs w:val="16"/>
              </w:rPr>
            </w:pPr>
            <w:r w:rsidRPr="00476516">
              <w:rPr>
                <w:sz w:val="16"/>
                <w:szCs w:val="16"/>
              </w:rPr>
              <w:t>99.9</w:t>
            </w:r>
          </w:p>
        </w:tc>
      </w:tr>
      <w:tr w:rsidR="00763BA1" w:rsidRPr="00476516">
        <w:trPr>
          <w:trHeight w:val="70"/>
        </w:trPr>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South Asia</w:t>
            </w:r>
          </w:p>
        </w:tc>
        <w:tc>
          <w:tcPr>
            <w:tcW w:w="476"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64.8</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85.6</w:t>
            </w:r>
          </w:p>
        </w:tc>
        <w:tc>
          <w:tcPr>
            <w:tcW w:w="89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93.9</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South Asia</w:t>
            </w:r>
          </w:p>
        </w:tc>
        <w:tc>
          <w:tcPr>
            <w:tcW w:w="61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64.0</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97.0</w:t>
            </w:r>
          </w:p>
        </w:tc>
        <w:tc>
          <w:tcPr>
            <w:tcW w:w="779" w:type="dxa"/>
            <w:tcBorders>
              <w:right w:val="single" w:sz="4" w:space="0" w:color="auto"/>
            </w:tcBorders>
            <w:shd w:val="clear" w:color="auto" w:fill="auto"/>
            <w:noWrap/>
          </w:tcPr>
          <w:p w:rsidR="00763BA1" w:rsidRPr="00476516" w:rsidRDefault="00763BA1" w:rsidP="003054EC">
            <w:pPr>
              <w:jc w:val="center"/>
              <w:rPr>
                <w:color w:val="000000"/>
                <w:sz w:val="16"/>
                <w:szCs w:val="16"/>
              </w:rPr>
            </w:pPr>
            <w:r w:rsidRPr="00476516">
              <w:rPr>
                <w:sz w:val="16"/>
                <w:szCs w:val="16"/>
              </w:rPr>
              <w:t>100.0</w:t>
            </w:r>
          </w:p>
        </w:tc>
      </w:tr>
      <w:tr w:rsidR="00763BA1" w:rsidRPr="00476516">
        <w:trPr>
          <w:trHeight w:val="70"/>
        </w:trPr>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Sub-Saharan Africa</w:t>
            </w:r>
          </w:p>
        </w:tc>
        <w:tc>
          <w:tcPr>
            <w:tcW w:w="476"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40.6</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61.7</w:t>
            </w:r>
          </w:p>
        </w:tc>
        <w:tc>
          <w:tcPr>
            <w:tcW w:w="89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71.7</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Sub-Saharan Africa</w:t>
            </w:r>
          </w:p>
        </w:tc>
        <w:tc>
          <w:tcPr>
            <w:tcW w:w="61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29.3</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79.9</w:t>
            </w:r>
          </w:p>
        </w:tc>
        <w:tc>
          <w:tcPr>
            <w:tcW w:w="779" w:type="dxa"/>
            <w:tcBorders>
              <w:right w:val="single" w:sz="4" w:space="0" w:color="auto"/>
            </w:tcBorders>
            <w:shd w:val="clear" w:color="auto" w:fill="auto"/>
            <w:noWrap/>
          </w:tcPr>
          <w:p w:rsidR="00763BA1" w:rsidRPr="00476516" w:rsidRDefault="00763BA1" w:rsidP="003054EC">
            <w:pPr>
              <w:jc w:val="center"/>
              <w:rPr>
                <w:color w:val="000000"/>
                <w:sz w:val="16"/>
                <w:szCs w:val="16"/>
              </w:rPr>
            </w:pPr>
            <w:r w:rsidRPr="00476516">
              <w:rPr>
                <w:sz w:val="16"/>
                <w:szCs w:val="16"/>
              </w:rPr>
              <w:t>90.1</w:t>
            </w:r>
          </w:p>
        </w:tc>
      </w:tr>
      <w:tr w:rsidR="00763BA1" w:rsidRPr="00476516">
        <w:trPr>
          <w:trHeight w:val="70"/>
        </w:trPr>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High-income countries</w:t>
            </w:r>
          </w:p>
        </w:tc>
        <w:tc>
          <w:tcPr>
            <w:tcW w:w="476"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93.5</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99.8</w:t>
            </w:r>
          </w:p>
        </w:tc>
        <w:tc>
          <w:tcPr>
            <w:tcW w:w="89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99.8</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High-income countries</w:t>
            </w:r>
          </w:p>
        </w:tc>
        <w:tc>
          <w:tcPr>
            <w:tcW w:w="61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97.6</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98.8</w:t>
            </w:r>
          </w:p>
        </w:tc>
        <w:tc>
          <w:tcPr>
            <w:tcW w:w="779" w:type="dxa"/>
            <w:tcBorders>
              <w:right w:val="single" w:sz="4" w:space="0" w:color="auto"/>
            </w:tcBorders>
            <w:shd w:val="clear" w:color="auto" w:fill="auto"/>
            <w:noWrap/>
          </w:tcPr>
          <w:p w:rsidR="00763BA1" w:rsidRPr="00476516" w:rsidRDefault="00763BA1" w:rsidP="003054EC">
            <w:pPr>
              <w:jc w:val="center"/>
              <w:rPr>
                <w:color w:val="000000"/>
                <w:sz w:val="16"/>
                <w:szCs w:val="16"/>
              </w:rPr>
            </w:pPr>
            <w:r w:rsidRPr="00476516">
              <w:rPr>
                <w:sz w:val="16"/>
                <w:szCs w:val="16"/>
              </w:rPr>
              <w:t>100.0</w:t>
            </w:r>
          </w:p>
        </w:tc>
      </w:tr>
      <w:tr w:rsidR="00763BA1" w:rsidRPr="00476516">
        <w:trPr>
          <w:trHeight w:val="70"/>
        </w:trPr>
        <w:tc>
          <w:tcPr>
            <w:tcW w:w="2329" w:type="dxa"/>
            <w:tcBorders>
              <w:left w:val="single" w:sz="4" w:space="0" w:color="auto"/>
              <w:bottom w:val="single" w:sz="4" w:space="0" w:color="auto"/>
            </w:tcBorders>
            <w:shd w:val="clear" w:color="auto" w:fill="auto"/>
            <w:noWrap/>
            <w:vAlign w:val="center"/>
          </w:tcPr>
          <w:p w:rsidR="00763BA1" w:rsidRPr="00476516" w:rsidRDefault="00763BA1" w:rsidP="003054EC">
            <w:pPr>
              <w:rPr>
                <w:b/>
                <w:color w:val="000000"/>
                <w:sz w:val="16"/>
                <w:szCs w:val="16"/>
              </w:rPr>
            </w:pPr>
            <w:r w:rsidRPr="00476516">
              <w:rPr>
                <w:b/>
                <w:color w:val="000000"/>
                <w:sz w:val="16"/>
                <w:szCs w:val="16"/>
              </w:rPr>
              <w:t>World</w:t>
            </w:r>
          </w:p>
        </w:tc>
        <w:tc>
          <w:tcPr>
            <w:tcW w:w="476" w:type="dxa"/>
            <w:tcBorders>
              <w:bottom w:val="single" w:sz="4" w:space="0" w:color="auto"/>
            </w:tcBorders>
            <w:shd w:val="clear" w:color="auto" w:fill="auto"/>
            <w:noWrap/>
            <w:vAlign w:val="bottom"/>
          </w:tcPr>
          <w:p w:rsidR="00763BA1" w:rsidRPr="00476516" w:rsidRDefault="00763BA1" w:rsidP="003054EC">
            <w:pPr>
              <w:jc w:val="center"/>
              <w:rPr>
                <w:b/>
                <w:color w:val="000000"/>
                <w:sz w:val="16"/>
                <w:szCs w:val="16"/>
              </w:rPr>
            </w:pPr>
            <w:r w:rsidRPr="00476516">
              <w:rPr>
                <w:b/>
                <w:color w:val="000000"/>
                <w:sz w:val="16"/>
                <w:szCs w:val="16"/>
              </w:rPr>
              <w:t>71.4</w:t>
            </w:r>
          </w:p>
        </w:tc>
        <w:tc>
          <w:tcPr>
            <w:tcW w:w="599" w:type="dxa"/>
            <w:tcBorders>
              <w:bottom w:val="single" w:sz="4" w:space="0" w:color="auto"/>
            </w:tcBorders>
            <w:shd w:val="clear" w:color="auto" w:fill="auto"/>
            <w:noWrap/>
            <w:vAlign w:val="bottom"/>
          </w:tcPr>
          <w:p w:rsidR="00763BA1" w:rsidRPr="00476516" w:rsidRDefault="00763BA1" w:rsidP="003054EC">
            <w:pPr>
              <w:jc w:val="center"/>
              <w:rPr>
                <w:b/>
                <w:color w:val="000000"/>
                <w:sz w:val="16"/>
                <w:szCs w:val="16"/>
              </w:rPr>
            </w:pPr>
            <w:r w:rsidRPr="00476516">
              <w:rPr>
                <w:b/>
                <w:color w:val="000000"/>
                <w:sz w:val="16"/>
                <w:szCs w:val="16"/>
              </w:rPr>
              <w:t>80.4</w:t>
            </w:r>
          </w:p>
        </w:tc>
        <w:tc>
          <w:tcPr>
            <w:tcW w:w="891" w:type="dxa"/>
            <w:tcBorders>
              <w:bottom w:val="single" w:sz="4" w:space="0" w:color="auto"/>
            </w:tcBorders>
            <w:shd w:val="clear" w:color="auto" w:fill="auto"/>
            <w:noWrap/>
            <w:vAlign w:val="bottom"/>
          </w:tcPr>
          <w:p w:rsidR="00763BA1" w:rsidRPr="00476516" w:rsidRDefault="00763BA1" w:rsidP="003054EC">
            <w:pPr>
              <w:jc w:val="center"/>
              <w:rPr>
                <w:b/>
                <w:color w:val="000000"/>
                <w:sz w:val="16"/>
                <w:szCs w:val="16"/>
              </w:rPr>
            </w:pPr>
            <w:r w:rsidRPr="00476516">
              <w:rPr>
                <w:b/>
                <w:color w:val="000000"/>
                <w:sz w:val="16"/>
                <w:szCs w:val="16"/>
              </w:rPr>
              <w:t>87.4</w:t>
            </w:r>
          </w:p>
        </w:tc>
        <w:tc>
          <w:tcPr>
            <w:tcW w:w="157" w:type="dxa"/>
            <w:tcBorders>
              <w:bottom w:val="single" w:sz="4" w:space="0" w:color="auto"/>
              <w:right w:val="single" w:sz="4" w:space="0" w:color="auto"/>
            </w:tcBorders>
            <w:shd w:val="clear" w:color="auto" w:fill="auto"/>
            <w:noWrap/>
            <w:vAlign w:val="bottom"/>
          </w:tcPr>
          <w:p w:rsidR="00763BA1" w:rsidRPr="00476516" w:rsidRDefault="00763BA1" w:rsidP="003054EC">
            <w:pPr>
              <w:rPr>
                <w:b/>
                <w:color w:val="000000"/>
                <w:sz w:val="16"/>
                <w:szCs w:val="16"/>
              </w:rPr>
            </w:pPr>
          </w:p>
        </w:tc>
        <w:tc>
          <w:tcPr>
            <w:tcW w:w="2329" w:type="dxa"/>
            <w:tcBorders>
              <w:left w:val="single" w:sz="4" w:space="0" w:color="auto"/>
              <w:bottom w:val="single" w:sz="4" w:space="0" w:color="auto"/>
            </w:tcBorders>
            <w:shd w:val="clear" w:color="auto" w:fill="auto"/>
            <w:noWrap/>
            <w:vAlign w:val="center"/>
          </w:tcPr>
          <w:p w:rsidR="00763BA1" w:rsidRPr="00476516" w:rsidRDefault="00763BA1" w:rsidP="003054EC">
            <w:pPr>
              <w:rPr>
                <w:b/>
                <w:color w:val="000000"/>
                <w:sz w:val="16"/>
                <w:szCs w:val="16"/>
              </w:rPr>
            </w:pPr>
            <w:r w:rsidRPr="00476516">
              <w:rPr>
                <w:b/>
                <w:color w:val="000000"/>
                <w:sz w:val="16"/>
                <w:szCs w:val="16"/>
              </w:rPr>
              <w:t>World</w:t>
            </w:r>
          </w:p>
        </w:tc>
        <w:tc>
          <w:tcPr>
            <w:tcW w:w="611" w:type="dxa"/>
            <w:tcBorders>
              <w:bottom w:val="single" w:sz="4" w:space="0" w:color="auto"/>
            </w:tcBorders>
            <w:shd w:val="clear" w:color="auto" w:fill="auto"/>
            <w:noWrap/>
            <w:vAlign w:val="bottom"/>
          </w:tcPr>
          <w:p w:rsidR="00763BA1" w:rsidRPr="00476516" w:rsidRDefault="00763BA1" w:rsidP="003054EC">
            <w:pPr>
              <w:jc w:val="center"/>
              <w:rPr>
                <w:b/>
                <w:color w:val="000000"/>
                <w:sz w:val="16"/>
                <w:szCs w:val="16"/>
              </w:rPr>
            </w:pPr>
            <w:r w:rsidRPr="00476516">
              <w:rPr>
                <w:b/>
                <w:color w:val="000000"/>
                <w:sz w:val="16"/>
                <w:szCs w:val="16"/>
              </w:rPr>
              <w:t>78.1</w:t>
            </w:r>
          </w:p>
        </w:tc>
        <w:tc>
          <w:tcPr>
            <w:tcW w:w="599" w:type="dxa"/>
            <w:tcBorders>
              <w:bottom w:val="single" w:sz="4" w:space="0" w:color="auto"/>
            </w:tcBorders>
            <w:shd w:val="clear" w:color="auto" w:fill="auto"/>
            <w:noWrap/>
            <w:vAlign w:val="bottom"/>
          </w:tcPr>
          <w:p w:rsidR="00763BA1" w:rsidRPr="00476516" w:rsidRDefault="00763BA1" w:rsidP="003054EC">
            <w:pPr>
              <w:jc w:val="center"/>
              <w:rPr>
                <w:b/>
                <w:color w:val="000000"/>
                <w:sz w:val="16"/>
                <w:szCs w:val="16"/>
              </w:rPr>
            </w:pPr>
            <w:r w:rsidRPr="00476516">
              <w:rPr>
                <w:b/>
                <w:color w:val="000000"/>
                <w:sz w:val="16"/>
                <w:szCs w:val="16"/>
              </w:rPr>
              <w:t>93.7</w:t>
            </w:r>
          </w:p>
        </w:tc>
        <w:tc>
          <w:tcPr>
            <w:tcW w:w="779" w:type="dxa"/>
            <w:tcBorders>
              <w:bottom w:val="single" w:sz="4" w:space="0" w:color="auto"/>
              <w:right w:val="single" w:sz="4" w:space="0" w:color="auto"/>
            </w:tcBorders>
            <w:shd w:val="clear" w:color="auto" w:fill="auto"/>
            <w:noWrap/>
          </w:tcPr>
          <w:p w:rsidR="00763BA1" w:rsidRPr="00476516" w:rsidRDefault="00763BA1" w:rsidP="003054EC">
            <w:pPr>
              <w:jc w:val="center"/>
              <w:rPr>
                <w:b/>
                <w:color w:val="000000"/>
                <w:sz w:val="16"/>
                <w:szCs w:val="16"/>
              </w:rPr>
            </w:pPr>
            <w:r w:rsidRPr="00476516">
              <w:rPr>
                <w:b/>
                <w:sz w:val="16"/>
                <w:szCs w:val="16"/>
              </w:rPr>
              <w:t>97.6</w:t>
            </w:r>
          </w:p>
        </w:tc>
      </w:tr>
      <w:tr w:rsidR="00763BA1" w:rsidRPr="00476516">
        <w:trPr>
          <w:trHeight w:val="70"/>
        </w:trPr>
        <w:tc>
          <w:tcPr>
            <w:tcW w:w="4452" w:type="dxa"/>
            <w:gridSpan w:val="5"/>
            <w:tcBorders>
              <w:top w:val="single" w:sz="4" w:space="0" w:color="auto"/>
              <w:left w:val="single" w:sz="4" w:space="0" w:color="auto"/>
              <w:right w:val="single" w:sz="4" w:space="0" w:color="auto"/>
            </w:tcBorders>
            <w:shd w:val="clear" w:color="auto" w:fill="D9D9D9" w:themeFill="background1" w:themeFillShade="D9"/>
            <w:noWrap/>
            <w:vAlign w:val="bottom"/>
          </w:tcPr>
          <w:p w:rsidR="00763BA1" w:rsidRPr="00476516" w:rsidRDefault="00763BA1" w:rsidP="003054EC">
            <w:pPr>
              <w:rPr>
                <w:color w:val="000000"/>
                <w:sz w:val="16"/>
                <w:szCs w:val="16"/>
              </w:rPr>
            </w:pPr>
          </w:p>
        </w:tc>
        <w:tc>
          <w:tcPr>
            <w:tcW w:w="4318" w:type="dxa"/>
            <w:gridSpan w:val="4"/>
            <w:tcBorders>
              <w:top w:val="single" w:sz="4" w:space="0" w:color="auto"/>
              <w:left w:val="single" w:sz="4" w:space="0" w:color="auto"/>
              <w:right w:val="single" w:sz="4" w:space="0" w:color="auto"/>
            </w:tcBorders>
            <w:shd w:val="clear" w:color="auto" w:fill="D9D9D9" w:themeFill="background1" w:themeFillShade="D9"/>
            <w:vAlign w:val="bottom"/>
          </w:tcPr>
          <w:p w:rsidR="00763BA1" w:rsidRPr="00476516" w:rsidRDefault="00763BA1" w:rsidP="003054EC">
            <w:pPr>
              <w:rPr>
                <w:color w:val="000000"/>
                <w:sz w:val="16"/>
                <w:szCs w:val="16"/>
              </w:rPr>
            </w:pPr>
          </w:p>
        </w:tc>
      </w:tr>
      <w:tr w:rsidR="00763BA1" w:rsidRPr="00476516">
        <w:trPr>
          <w:trHeight w:val="70"/>
        </w:trPr>
        <w:tc>
          <w:tcPr>
            <w:tcW w:w="2329" w:type="dxa"/>
            <w:tcBorders>
              <w:left w:val="single" w:sz="4" w:space="0" w:color="auto"/>
            </w:tcBorders>
            <w:shd w:val="clear" w:color="auto" w:fill="auto"/>
            <w:noWrap/>
            <w:vAlign w:val="bottom"/>
          </w:tcPr>
          <w:p w:rsidR="00763BA1" w:rsidRPr="00476516" w:rsidRDefault="00763BA1" w:rsidP="003054EC">
            <w:pPr>
              <w:rPr>
                <w:color w:val="000000"/>
                <w:sz w:val="16"/>
                <w:szCs w:val="16"/>
              </w:rPr>
            </w:pPr>
          </w:p>
        </w:tc>
        <w:tc>
          <w:tcPr>
            <w:tcW w:w="1966" w:type="dxa"/>
            <w:gridSpan w:val="3"/>
            <w:shd w:val="clear" w:color="auto" w:fill="auto"/>
            <w:noWrap/>
            <w:vAlign w:val="center"/>
          </w:tcPr>
          <w:p w:rsidR="00763BA1" w:rsidRPr="00476516" w:rsidRDefault="00763BA1" w:rsidP="003054EC">
            <w:pPr>
              <w:jc w:val="center"/>
              <w:rPr>
                <w:color w:val="000000"/>
                <w:sz w:val="16"/>
                <w:szCs w:val="16"/>
              </w:rPr>
            </w:pPr>
            <w:r w:rsidRPr="00476516">
              <w:rPr>
                <w:color w:val="000000"/>
                <w:sz w:val="16"/>
                <w:szCs w:val="16"/>
              </w:rPr>
              <w:t>Improved water percent access</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bottom"/>
          </w:tcPr>
          <w:p w:rsidR="00763BA1" w:rsidRPr="00476516" w:rsidRDefault="00763BA1" w:rsidP="003054EC">
            <w:pPr>
              <w:rPr>
                <w:color w:val="000000"/>
                <w:sz w:val="16"/>
                <w:szCs w:val="16"/>
              </w:rPr>
            </w:pPr>
          </w:p>
        </w:tc>
        <w:tc>
          <w:tcPr>
            <w:tcW w:w="1989" w:type="dxa"/>
            <w:gridSpan w:val="3"/>
            <w:tcBorders>
              <w:right w:val="single" w:sz="4" w:space="0" w:color="auto"/>
            </w:tcBorders>
            <w:shd w:val="clear" w:color="auto" w:fill="auto"/>
            <w:noWrap/>
            <w:vAlign w:val="center"/>
          </w:tcPr>
          <w:p w:rsidR="00763BA1" w:rsidRPr="00476516" w:rsidRDefault="00763BA1" w:rsidP="003054EC">
            <w:pPr>
              <w:jc w:val="center"/>
              <w:rPr>
                <w:color w:val="000000"/>
                <w:sz w:val="16"/>
                <w:szCs w:val="16"/>
              </w:rPr>
            </w:pPr>
            <w:r w:rsidRPr="00476516">
              <w:rPr>
                <w:color w:val="000000"/>
                <w:sz w:val="16"/>
                <w:szCs w:val="16"/>
              </w:rPr>
              <w:t>Improved sanitation percent access</w:t>
            </w:r>
          </w:p>
        </w:tc>
      </w:tr>
      <w:tr w:rsidR="00763BA1" w:rsidRPr="00476516">
        <w:trPr>
          <w:trHeight w:val="70"/>
        </w:trPr>
        <w:tc>
          <w:tcPr>
            <w:tcW w:w="2329" w:type="dxa"/>
            <w:tcBorders>
              <w:left w:val="single" w:sz="4" w:space="0" w:color="auto"/>
            </w:tcBorders>
            <w:shd w:val="clear" w:color="auto" w:fill="auto"/>
            <w:noWrap/>
            <w:vAlign w:val="bottom"/>
          </w:tcPr>
          <w:p w:rsidR="00763BA1" w:rsidRPr="00476516" w:rsidRDefault="00763BA1" w:rsidP="003054EC">
            <w:pPr>
              <w:rPr>
                <w:color w:val="000000"/>
                <w:sz w:val="16"/>
                <w:szCs w:val="16"/>
              </w:rPr>
            </w:pPr>
          </w:p>
        </w:tc>
        <w:tc>
          <w:tcPr>
            <w:tcW w:w="476" w:type="dxa"/>
            <w:shd w:val="clear" w:color="auto" w:fill="auto"/>
            <w:noWrap/>
            <w:vAlign w:val="bottom"/>
          </w:tcPr>
          <w:p w:rsidR="00763BA1" w:rsidRPr="00476516" w:rsidRDefault="00763BA1" w:rsidP="003054EC">
            <w:pPr>
              <w:jc w:val="center"/>
              <w:rPr>
                <w:color w:val="000000"/>
                <w:sz w:val="16"/>
                <w:szCs w:val="16"/>
              </w:rPr>
            </w:pPr>
          </w:p>
        </w:tc>
        <w:tc>
          <w:tcPr>
            <w:tcW w:w="599" w:type="dxa"/>
            <w:shd w:val="clear" w:color="auto" w:fill="auto"/>
            <w:vAlign w:val="bottom"/>
          </w:tcPr>
          <w:p w:rsidR="00763BA1" w:rsidRPr="00476516" w:rsidRDefault="00763BA1" w:rsidP="003054EC">
            <w:pPr>
              <w:jc w:val="center"/>
              <w:rPr>
                <w:color w:val="000000"/>
                <w:sz w:val="16"/>
                <w:szCs w:val="16"/>
              </w:rPr>
            </w:pPr>
            <w:r w:rsidRPr="00476516">
              <w:rPr>
                <w:color w:val="000000"/>
                <w:sz w:val="16"/>
                <w:szCs w:val="16"/>
              </w:rPr>
              <w:t xml:space="preserve">Base </w:t>
            </w:r>
            <w:r>
              <w:rPr>
                <w:color w:val="000000"/>
                <w:sz w:val="16"/>
                <w:szCs w:val="16"/>
              </w:rPr>
              <w:t>c</w:t>
            </w:r>
            <w:r w:rsidRPr="00476516">
              <w:rPr>
                <w:color w:val="000000"/>
                <w:sz w:val="16"/>
                <w:szCs w:val="16"/>
              </w:rPr>
              <w:t>ase</w:t>
            </w:r>
          </w:p>
        </w:tc>
        <w:tc>
          <w:tcPr>
            <w:tcW w:w="891" w:type="dxa"/>
            <w:shd w:val="clear" w:color="auto" w:fill="auto"/>
            <w:vAlign w:val="bottom"/>
          </w:tcPr>
          <w:p w:rsidR="00763BA1" w:rsidRPr="00476516" w:rsidRDefault="00763BA1" w:rsidP="003054EC">
            <w:pPr>
              <w:jc w:val="center"/>
              <w:rPr>
                <w:color w:val="000000"/>
                <w:sz w:val="16"/>
                <w:szCs w:val="16"/>
              </w:rPr>
            </w:pPr>
            <w:r w:rsidRPr="00476516">
              <w:rPr>
                <w:color w:val="000000"/>
                <w:sz w:val="16"/>
                <w:szCs w:val="16"/>
              </w:rPr>
              <w:t>Universal Targets</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bottom"/>
          </w:tcPr>
          <w:p w:rsidR="00763BA1" w:rsidRPr="00476516" w:rsidRDefault="00763BA1" w:rsidP="003054EC">
            <w:pPr>
              <w:rPr>
                <w:color w:val="000000"/>
                <w:sz w:val="16"/>
                <w:szCs w:val="16"/>
              </w:rPr>
            </w:pPr>
          </w:p>
        </w:tc>
        <w:tc>
          <w:tcPr>
            <w:tcW w:w="611" w:type="dxa"/>
            <w:shd w:val="clear" w:color="auto" w:fill="auto"/>
            <w:noWrap/>
            <w:vAlign w:val="bottom"/>
          </w:tcPr>
          <w:p w:rsidR="00763BA1" w:rsidRPr="00476516" w:rsidRDefault="00763BA1" w:rsidP="003054EC">
            <w:pPr>
              <w:jc w:val="center"/>
              <w:rPr>
                <w:color w:val="000000"/>
                <w:sz w:val="16"/>
                <w:szCs w:val="16"/>
              </w:rPr>
            </w:pPr>
          </w:p>
        </w:tc>
        <w:tc>
          <w:tcPr>
            <w:tcW w:w="599" w:type="dxa"/>
            <w:shd w:val="clear" w:color="auto" w:fill="auto"/>
            <w:vAlign w:val="bottom"/>
          </w:tcPr>
          <w:p w:rsidR="00763BA1" w:rsidRPr="00476516" w:rsidRDefault="00763BA1" w:rsidP="003054EC">
            <w:pPr>
              <w:jc w:val="center"/>
              <w:rPr>
                <w:color w:val="000000"/>
                <w:sz w:val="16"/>
                <w:szCs w:val="16"/>
              </w:rPr>
            </w:pPr>
            <w:r w:rsidRPr="00476516">
              <w:rPr>
                <w:color w:val="000000"/>
                <w:sz w:val="16"/>
                <w:szCs w:val="16"/>
              </w:rPr>
              <w:t xml:space="preserve">Base </w:t>
            </w:r>
            <w:r>
              <w:rPr>
                <w:color w:val="000000"/>
                <w:sz w:val="16"/>
                <w:szCs w:val="16"/>
              </w:rPr>
              <w:t>c</w:t>
            </w:r>
            <w:r w:rsidRPr="00476516">
              <w:rPr>
                <w:color w:val="000000"/>
                <w:sz w:val="16"/>
                <w:szCs w:val="16"/>
              </w:rPr>
              <w:t>ase</w:t>
            </w:r>
          </w:p>
        </w:tc>
        <w:tc>
          <w:tcPr>
            <w:tcW w:w="779" w:type="dxa"/>
            <w:tcBorders>
              <w:right w:val="single" w:sz="4" w:space="0" w:color="auto"/>
            </w:tcBorders>
            <w:shd w:val="clear" w:color="auto" w:fill="auto"/>
            <w:vAlign w:val="bottom"/>
          </w:tcPr>
          <w:p w:rsidR="00763BA1" w:rsidRPr="00476516" w:rsidRDefault="00763BA1" w:rsidP="003054EC">
            <w:pPr>
              <w:jc w:val="center"/>
              <w:rPr>
                <w:color w:val="000000"/>
                <w:sz w:val="16"/>
                <w:szCs w:val="16"/>
              </w:rPr>
            </w:pPr>
            <w:r w:rsidRPr="00476516">
              <w:rPr>
                <w:color w:val="000000"/>
                <w:sz w:val="16"/>
                <w:szCs w:val="16"/>
              </w:rPr>
              <w:t>Universal Targets</w:t>
            </w:r>
          </w:p>
        </w:tc>
      </w:tr>
      <w:tr w:rsidR="00763BA1" w:rsidRPr="00476516">
        <w:trPr>
          <w:trHeight w:val="70"/>
        </w:trPr>
        <w:tc>
          <w:tcPr>
            <w:tcW w:w="2329" w:type="dxa"/>
            <w:tcBorders>
              <w:left w:val="single" w:sz="4" w:space="0" w:color="auto"/>
            </w:tcBorders>
            <w:shd w:val="clear" w:color="auto" w:fill="auto"/>
            <w:noWrap/>
            <w:vAlign w:val="bottom"/>
          </w:tcPr>
          <w:p w:rsidR="00763BA1" w:rsidRPr="00476516" w:rsidRDefault="00763BA1" w:rsidP="003054EC">
            <w:pPr>
              <w:rPr>
                <w:color w:val="000000"/>
                <w:sz w:val="16"/>
                <w:szCs w:val="16"/>
              </w:rPr>
            </w:pPr>
          </w:p>
        </w:tc>
        <w:tc>
          <w:tcPr>
            <w:tcW w:w="476" w:type="dxa"/>
            <w:shd w:val="clear" w:color="auto" w:fill="auto"/>
            <w:noWrap/>
            <w:vAlign w:val="bottom"/>
          </w:tcPr>
          <w:p w:rsidR="00763BA1" w:rsidRPr="00476516" w:rsidRDefault="00763BA1" w:rsidP="003054EC">
            <w:pPr>
              <w:jc w:val="center"/>
              <w:rPr>
                <w:color w:val="000000"/>
                <w:sz w:val="16"/>
                <w:szCs w:val="16"/>
                <w:u w:val="single"/>
              </w:rPr>
            </w:pPr>
            <w:r w:rsidRPr="00476516">
              <w:rPr>
                <w:color w:val="000000"/>
                <w:sz w:val="16"/>
                <w:szCs w:val="16"/>
                <w:u w:val="single"/>
              </w:rPr>
              <w:t>2010</w:t>
            </w:r>
          </w:p>
        </w:tc>
        <w:tc>
          <w:tcPr>
            <w:tcW w:w="599" w:type="dxa"/>
            <w:shd w:val="clear" w:color="auto" w:fill="auto"/>
            <w:noWrap/>
            <w:vAlign w:val="bottom"/>
          </w:tcPr>
          <w:p w:rsidR="00763BA1" w:rsidRPr="00476516" w:rsidRDefault="00763BA1" w:rsidP="003054EC">
            <w:pPr>
              <w:jc w:val="center"/>
              <w:rPr>
                <w:color w:val="000000"/>
                <w:sz w:val="16"/>
                <w:szCs w:val="16"/>
                <w:u w:val="single"/>
              </w:rPr>
            </w:pPr>
            <w:r w:rsidRPr="00476516">
              <w:rPr>
                <w:color w:val="000000"/>
                <w:sz w:val="16"/>
                <w:szCs w:val="16"/>
                <w:u w:val="single"/>
              </w:rPr>
              <w:t>2060</w:t>
            </w:r>
          </w:p>
        </w:tc>
        <w:tc>
          <w:tcPr>
            <w:tcW w:w="891" w:type="dxa"/>
            <w:shd w:val="clear" w:color="auto" w:fill="auto"/>
            <w:noWrap/>
            <w:vAlign w:val="bottom"/>
          </w:tcPr>
          <w:p w:rsidR="00763BA1" w:rsidRPr="00476516" w:rsidRDefault="00763BA1" w:rsidP="003054EC">
            <w:pPr>
              <w:jc w:val="center"/>
              <w:rPr>
                <w:color w:val="000000"/>
                <w:sz w:val="16"/>
                <w:szCs w:val="16"/>
                <w:u w:val="single"/>
              </w:rPr>
            </w:pPr>
            <w:r w:rsidRPr="00476516">
              <w:rPr>
                <w:color w:val="000000"/>
                <w:sz w:val="16"/>
                <w:szCs w:val="16"/>
                <w:u w:val="single"/>
              </w:rPr>
              <w:t>2060</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bottom"/>
          </w:tcPr>
          <w:p w:rsidR="00763BA1" w:rsidRPr="00476516" w:rsidRDefault="00763BA1" w:rsidP="003054EC">
            <w:pPr>
              <w:rPr>
                <w:color w:val="000000"/>
                <w:sz w:val="16"/>
                <w:szCs w:val="16"/>
              </w:rPr>
            </w:pPr>
          </w:p>
        </w:tc>
        <w:tc>
          <w:tcPr>
            <w:tcW w:w="611" w:type="dxa"/>
            <w:shd w:val="clear" w:color="auto" w:fill="auto"/>
            <w:noWrap/>
            <w:vAlign w:val="bottom"/>
          </w:tcPr>
          <w:p w:rsidR="00763BA1" w:rsidRPr="00476516" w:rsidRDefault="00763BA1" w:rsidP="003054EC">
            <w:pPr>
              <w:jc w:val="center"/>
              <w:rPr>
                <w:color w:val="000000"/>
                <w:sz w:val="16"/>
                <w:szCs w:val="16"/>
                <w:u w:val="single"/>
              </w:rPr>
            </w:pPr>
            <w:r w:rsidRPr="00476516">
              <w:rPr>
                <w:color w:val="000000"/>
                <w:sz w:val="16"/>
                <w:szCs w:val="16"/>
                <w:u w:val="single"/>
              </w:rPr>
              <w:t>2010</w:t>
            </w:r>
          </w:p>
        </w:tc>
        <w:tc>
          <w:tcPr>
            <w:tcW w:w="599" w:type="dxa"/>
            <w:shd w:val="clear" w:color="auto" w:fill="auto"/>
            <w:noWrap/>
            <w:vAlign w:val="bottom"/>
          </w:tcPr>
          <w:p w:rsidR="00763BA1" w:rsidRPr="00476516" w:rsidRDefault="00763BA1" w:rsidP="003054EC">
            <w:pPr>
              <w:jc w:val="center"/>
              <w:rPr>
                <w:color w:val="000000"/>
                <w:sz w:val="16"/>
                <w:szCs w:val="16"/>
                <w:u w:val="single"/>
              </w:rPr>
            </w:pPr>
            <w:r w:rsidRPr="00476516">
              <w:rPr>
                <w:color w:val="000000"/>
                <w:sz w:val="16"/>
                <w:szCs w:val="16"/>
                <w:u w:val="single"/>
              </w:rPr>
              <w:t>2060</w:t>
            </w:r>
          </w:p>
        </w:tc>
        <w:tc>
          <w:tcPr>
            <w:tcW w:w="779" w:type="dxa"/>
            <w:tcBorders>
              <w:right w:val="single" w:sz="4" w:space="0" w:color="auto"/>
            </w:tcBorders>
            <w:shd w:val="clear" w:color="auto" w:fill="auto"/>
            <w:noWrap/>
            <w:vAlign w:val="bottom"/>
          </w:tcPr>
          <w:p w:rsidR="00763BA1" w:rsidRPr="00476516" w:rsidRDefault="00763BA1" w:rsidP="003054EC">
            <w:pPr>
              <w:jc w:val="center"/>
              <w:rPr>
                <w:color w:val="000000"/>
                <w:sz w:val="16"/>
                <w:szCs w:val="16"/>
                <w:u w:val="single"/>
              </w:rPr>
            </w:pPr>
            <w:r w:rsidRPr="00476516">
              <w:rPr>
                <w:color w:val="000000"/>
                <w:sz w:val="16"/>
                <w:szCs w:val="16"/>
                <w:u w:val="single"/>
              </w:rPr>
              <w:t>2060</w:t>
            </w:r>
          </w:p>
        </w:tc>
      </w:tr>
      <w:tr w:rsidR="00763BA1" w:rsidRPr="00476516">
        <w:trPr>
          <w:trHeight w:val="98"/>
        </w:trPr>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East Asia and Pacific</w:t>
            </w:r>
          </w:p>
        </w:tc>
        <w:tc>
          <w:tcPr>
            <w:tcW w:w="476"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89.8</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98.7</w:t>
            </w:r>
          </w:p>
        </w:tc>
        <w:tc>
          <w:tcPr>
            <w:tcW w:w="89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100.0</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East Asia and Pacific</w:t>
            </w:r>
          </w:p>
        </w:tc>
        <w:tc>
          <w:tcPr>
            <w:tcW w:w="61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65.6</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92.7</w:t>
            </w:r>
          </w:p>
        </w:tc>
        <w:tc>
          <w:tcPr>
            <w:tcW w:w="779" w:type="dxa"/>
            <w:tcBorders>
              <w:right w:val="single" w:sz="4" w:space="0" w:color="auto"/>
            </w:tcBorders>
            <w:shd w:val="clear" w:color="auto" w:fill="auto"/>
            <w:noWrap/>
          </w:tcPr>
          <w:p w:rsidR="00763BA1" w:rsidRPr="00476516" w:rsidRDefault="00763BA1" w:rsidP="003054EC">
            <w:pPr>
              <w:jc w:val="center"/>
              <w:rPr>
                <w:color w:val="000000"/>
                <w:sz w:val="16"/>
                <w:szCs w:val="16"/>
              </w:rPr>
            </w:pPr>
            <w:r w:rsidRPr="00476516">
              <w:rPr>
                <w:sz w:val="16"/>
                <w:szCs w:val="16"/>
              </w:rPr>
              <w:t>100.0</w:t>
            </w:r>
          </w:p>
        </w:tc>
      </w:tr>
      <w:tr w:rsidR="00763BA1" w:rsidRPr="00476516">
        <w:trPr>
          <w:trHeight w:val="70"/>
        </w:trPr>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Europe and Central Asia</w:t>
            </w:r>
          </w:p>
        </w:tc>
        <w:tc>
          <w:tcPr>
            <w:tcW w:w="476"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95.5</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99.0</w:t>
            </w:r>
          </w:p>
        </w:tc>
        <w:tc>
          <w:tcPr>
            <w:tcW w:w="89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100.0</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Europe and Central Asia</w:t>
            </w:r>
          </w:p>
        </w:tc>
        <w:tc>
          <w:tcPr>
            <w:tcW w:w="61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83.8</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95.5</w:t>
            </w:r>
          </w:p>
        </w:tc>
        <w:tc>
          <w:tcPr>
            <w:tcW w:w="779" w:type="dxa"/>
            <w:tcBorders>
              <w:right w:val="single" w:sz="4" w:space="0" w:color="auto"/>
            </w:tcBorders>
            <w:shd w:val="clear" w:color="auto" w:fill="auto"/>
            <w:noWrap/>
          </w:tcPr>
          <w:p w:rsidR="00763BA1" w:rsidRPr="00476516" w:rsidRDefault="00763BA1" w:rsidP="003054EC">
            <w:pPr>
              <w:jc w:val="center"/>
              <w:rPr>
                <w:color w:val="000000"/>
                <w:sz w:val="16"/>
                <w:szCs w:val="16"/>
              </w:rPr>
            </w:pPr>
            <w:r w:rsidRPr="00476516">
              <w:rPr>
                <w:sz w:val="16"/>
                <w:szCs w:val="16"/>
              </w:rPr>
              <w:t>100.0</w:t>
            </w:r>
          </w:p>
        </w:tc>
      </w:tr>
      <w:tr w:rsidR="00763BA1" w:rsidRPr="00476516">
        <w:trPr>
          <w:trHeight w:val="70"/>
        </w:trPr>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Latin America and the Caribbean</w:t>
            </w:r>
          </w:p>
        </w:tc>
        <w:tc>
          <w:tcPr>
            <w:tcW w:w="476"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94.3</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98.2</w:t>
            </w:r>
          </w:p>
        </w:tc>
        <w:tc>
          <w:tcPr>
            <w:tcW w:w="89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100.0</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Latin America and the Caribbean</w:t>
            </w:r>
          </w:p>
        </w:tc>
        <w:tc>
          <w:tcPr>
            <w:tcW w:w="61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79.9</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91.9</w:t>
            </w:r>
          </w:p>
        </w:tc>
        <w:tc>
          <w:tcPr>
            <w:tcW w:w="779" w:type="dxa"/>
            <w:tcBorders>
              <w:right w:val="single" w:sz="4" w:space="0" w:color="auto"/>
            </w:tcBorders>
            <w:shd w:val="clear" w:color="auto" w:fill="auto"/>
            <w:noWrap/>
          </w:tcPr>
          <w:p w:rsidR="00763BA1" w:rsidRPr="00476516" w:rsidRDefault="00763BA1" w:rsidP="003054EC">
            <w:pPr>
              <w:jc w:val="center"/>
              <w:rPr>
                <w:color w:val="000000"/>
                <w:sz w:val="16"/>
                <w:szCs w:val="16"/>
              </w:rPr>
            </w:pPr>
            <w:r w:rsidRPr="00476516">
              <w:rPr>
                <w:sz w:val="16"/>
                <w:szCs w:val="16"/>
              </w:rPr>
              <w:t>99.8</w:t>
            </w:r>
          </w:p>
        </w:tc>
      </w:tr>
      <w:tr w:rsidR="00763BA1" w:rsidRPr="00476516">
        <w:trPr>
          <w:trHeight w:val="70"/>
        </w:trPr>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Middle East and North Africa</w:t>
            </w:r>
          </w:p>
        </w:tc>
        <w:tc>
          <w:tcPr>
            <w:tcW w:w="476"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88.4</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95.9</w:t>
            </w:r>
          </w:p>
        </w:tc>
        <w:tc>
          <w:tcPr>
            <w:tcW w:w="89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100.0</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Middle East and North Africa</w:t>
            </w:r>
          </w:p>
        </w:tc>
        <w:tc>
          <w:tcPr>
            <w:tcW w:w="61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88.2</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94.4</w:t>
            </w:r>
          </w:p>
        </w:tc>
        <w:tc>
          <w:tcPr>
            <w:tcW w:w="779" w:type="dxa"/>
            <w:tcBorders>
              <w:right w:val="single" w:sz="4" w:space="0" w:color="auto"/>
            </w:tcBorders>
            <w:shd w:val="clear" w:color="auto" w:fill="auto"/>
            <w:noWrap/>
          </w:tcPr>
          <w:p w:rsidR="00763BA1" w:rsidRPr="00476516" w:rsidRDefault="00763BA1" w:rsidP="003054EC">
            <w:pPr>
              <w:jc w:val="center"/>
              <w:rPr>
                <w:color w:val="000000"/>
                <w:sz w:val="16"/>
                <w:szCs w:val="16"/>
              </w:rPr>
            </w:pPr>
            <w:r w:rsidRPr="00476516">
              <w:rPr>
                <w:sz w:val="16"/>
                <w:szCs w:val="16"/>
              </w:rPr>
              <w:t>99.9</w:t>
            </w:r>
          </w:p>
        </w:tc>
      </w:tr>
      <w:tr w:rsidR="00763BA1" w:rsidRPr="00476516">
        <w:trPr>
          <w:trHeight w:val="70"/>
        </w:trPr>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South Asia</w:t>
            </w:r>
          </w:p>
        </w:tc>
        <w:tc>
          <w:tcPr>
            <w:tcW w:w="476"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90.1</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98.9</w:t>
            </w:r>
          </w:p>
        </w:tc>
        <w:tc>
          <w:tcPr>
            <w:tcW w:w="89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100.0</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South Asia</w:t>
            </w:r>
          </w:p>
        </w:tc>
        <w:tc>
          <w:tcPr>
            <w:tcW w:w="61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38.6</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82.4</w:t>
            </w:r>
          </w:p>
        </w:tc>
        <w:tc>
          <w:tcPr>
            <w:tcW w:w="779" w:type="dxa"/>
            <w:tcBorders>
              <w:right w:val="single" w:sz="4" w:space="0" w:color="auto"/>
            </w:tcBorders>
            <w:shd w:val="clear" w:color="auto" w:fill="auto"/>
            <w:noWrap/>
          </w:tcPr>
          <w:p w:rsidR="00763BA1" w:rsidRPr="00476516" w:rsidRDefault="00763BA1" w:rsidP="003054EC">
            <w:pPr>
              <w:jc w:val="center"/>
              <w:rPr>
                <w:color w:val="000000"/>
                <w:sz w:val="16"/>
                <w:szCs w:val="16"/>
              </w:rPr>
            </w:pPr>
            <w:r w:rsidRPr="00476516">
              <w:rPr>
                <w:sz w:val="16"/>
                <w:szCs w:val="16"/>
              </w:rPr>
              <w:t>99.8</w:t>
            </w:r>
          </w:p>
        </w:tc>
      </w:tr>
      <w:tr w:rsidR="00763BA1" w:rsidRPr="00476516">
        <w:trPr>
          <w:trHeight w:val="70"/>
        </w:trPr>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Sub-Saharan Africa</w:t>
            </w:r>
          </w:p>
        </w:tc>
        <w:tc>
          <w:tcPr>
            <w:tcW w:w="476"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61.2</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86.3</w:t>
            </w:r>
          </w:p>
        </w:tc>
        <w:tc>
          <w:tcPr>
            <w:tcW w:w="89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95.8</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Sub-Saharan Africa</w:t>
            </w:r>
          </w:p>
        </w:tc>
        <w:tc>
          <w:tcPr>
            <w:tcW w:w="61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30.5</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76.5</w:t>
            </w:r>
          </w:p>
        </w:tc>
        <w:tc>
          <w:tcPr>
            <w:tcW w:w="779" w:type="dxa"/>
            <w:tcBorders>
              <w:right w:val="single" w:sz="4" w:space="0" w:color="auto"/>
            </w:tcBorders>
            <w:shd w:val="clear" w:color="auto" w:fill="auto"/>
            <w:noWrap/>
          </w:tcPr>
          <w:p w:rsidR="00763BA1" w:rsidRPr="00476516" w:rsidRDefault="00763BA1" w:rsidP="003054EC">
            <w:pPr>
              <w:jc w:val="center"/>
              <w:rPr>
                <w:color w:val="000000"/>
                <w:sz w:val="16"/>
                <w:szCs w:val="16"/>
              </w:rPr>
            </w:pPr>
            <w:r w:rsidRPr="00476516">
              <w:rPr>
                <w:sz w:val="16"/>
                <w:szCs w:val="16"/>
              </w:rPr>
              <w:t>89.8</w:t>
            </w:r>
          </w:p>
        </w:tc>
      </w:tr>
      <w:tr w:rsidR="00763BA1" w:rsidRPr="00476516">
        <w:trPr>
          <w:trHeight w:val="70"/>
        </w:trPr>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High-income countries</w:t>
            </w:r>
          </w:p>
        </w:tc>
        <w:tc>
          <w:tcPr>
            <w:tcW w:w="476"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99.3</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99.7</w:t>
            </w:r>
          </w:p>
        </w:tc>
        <w:tc>
          <w:tcPr>
            <w:tcW w:w="89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100.0</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High-income countries</w:t>
            </w:r>
          </w:p>
        </w:tc>
        <w:tc>
          <w:tcPr>
            <w:tcW w:w="61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99.0</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98.3</w:t>
            </w:r>
          </w:p>
        </w:tc>
        <w:tc>
          <w:tcPr>
            <w:tcW w:w="779" w:type="dxa"/>
            <w:tcBorders>
              <w:right w:val="single" w:sz="4" w:space="0" w:color="auto"/>
            </w:tcBorders>
            <w:shd w:val="clear" w:color="auto" w:fill="auto"/>
            <w:noWrap/>
          </w:tcPr>
          <w:p w:rsidR="00763BA1" w:rsidRPr="00476516" w:rsidRDefault="00763BA1" w:rsidP="003054EC">
            <w:pPr>
              <w:jc w:val="center"/>
              <w:rPr>
                <w:color w:val="000000"/>
                <w:sz w:val="16"/>
                <w:szCs w:val="16"/>
              </w:rPr>
            </w:pPr>
            <w:r w:rsidRPr="00476516">
              <w:rPr>
                <w:sz w:val="16"/>
                <w:szCs w:val="16"/>
              </w:rPr>
              <w:t>100.0</w:t>
            </w:r>
          </w:p>
        </w:tc>
      </w:tr>
      <w:tr w:rsidR="00763BA1" w:rsidRPr="00476516">
        <w:trPr>
          <w:trHeight w:val="70"/>
        </w:trPr>
        <w:tc>
          <w:tcPr>
            <w:tcW w:w="2329" w:type="dxa"/>
            <w:tcBorders>
              <w:left w:val="single" w:sz="4" w:space="0" w:color="auto"/>
              <w:bottom w:val="single" w:sz="4" w:space="0" w:color="auto"/>
            </w:tcBorders>
            <w:shd w:val="clear" w:color="auto" w:fill="auto"/>
            <w:noWrap/>
            <w:vAlign w:val="center"/>
          </w:tcPr>
          <w:p w:rsidR="00763BA1" w:rsidRPr="00476516" w:rsidRDefault="00763BA1" w:rsidP="003054EC">
            <w:pPr>
              <w:rPr>
                <w:b/>
                <w:color w:val="000000"/>
                <w:sz w:val="16"/>
                <w:szCs w:val="16"/>
              </w:rPr>
            </w:pPr>
            <w:r w:rsidRPr="00476516">
              <w:rPr>
                <w:b/>
                <w:color w:val="000000"/>
                <w:sz w:val="16"/>
                <w:szCs w:val="16"/>
              </w:rPr>
              <w:t>World</w:t>
            </w:r>
          </w:p>
        </w:tc>
        <w:tc>
          <w:tcPr>
            <w:tcW w:w="476" w:type="dxa"/>
            <w:tcBorders>
              <w:bottom w:val="single" w:sz="4" w:space="0" w:color="auto"/>
            </w:tcBorders>
            <w:shd w:val="clear" w:color="auto" w:fill="auto"/>
            <w:noWrap/>
            <w:vAlign w:val="bottom"/>
          </w:tcPr>
          <w:p w:rsidR="00763BA1" w:rsidRPr="00476516" w:rsidRDefault="00763BA1" w:rsidP="003054EC">
            <w:pPr>
              <w:jc w:val="center"/>
              <w:rPr>
                <w:b/>
                <w:color w:val="000000"/>
                <w:sz w:val="16"/>
                <w:szCs w:val="16"/>
              </w:rPr>
            </w:pPr>
            <w:r w:rsidRPr="00476516">
              <w:rPr>
                <w:b/>
                <w:color w:val="000000"/>
                <w:sz w:val="16"/>
                <w:szCs w:val="16"/>
              </w:rPr>
              <w:t>88.5</w:t>
            </w:r>
          </w:p>
        </w:tc>
        <w:tc>
          <w:tcPr>
            <w:tcW w:w="599" w:type="dxa"/>
            <w:tcBorders>
              <w:bottom w:val="single" w:sz="4" w:space="0" w:color="auto"/>
            </w:tcBorders>
            <w:shd w:val="clear" w:color="auto" w:fill="auto"/>
            <w:noWrap/>
            <w:vAlign w:val="bottom"/>
          </w:tcPr>
          <w:p w:rsidR="00763BA1" w:rsidRPr="00476516" w:rsidRDefault="00763BA1" w:rsidP="003054EC">
            <w:pPr>
              <w:jc w:val="center"/>
              <w:rPr>
                <w:b/>
                <w:color w:val="000000"/>
                <w:sz w:val="16"/>
                <w:szCs w:val="16"/>
              </w:rPr>
            </w:pPr>
            <w:r w:rsidRPr="00476516">
              <w:rPr>
                <w:b/>
                <w:color w:val="000000"/>
                <w:sz w:val="16"/>
                <w:szCs w:val="16"/>
              </w:rPr>
              <w:t>95.8</w:t>
            </w:r>
          </w:p>
        </w:tc>
        <w:tc>
          <w:tcPr>
            <w:tcW w:w="891" w:type="dxa"/>
            <w:tcBorders>
              <w:bottom w:val="single" w:sz="4" w:space="0" w:color="auto"/>
            </w:tcBorders>
            <w:shd w:val="clear" w:color="auto" w:fill="auto"/>
            <w:noWrap/>
            <w:vAlign w:val="bottom"/>
          </w:tcPr>
          <w:p w:rsidR="00763BA1" w:rsidRPr="00476516" w:rsidRDefault="00763BA1" w:rsidP="003054EC">
            <w:pPr>
              <w:jc w:val="center"/>
              <w:rPr>
                <w:b/>
                <w:color w:val="000000"/>
                <w:sz w:val="16"/>
                <w:szCs w:val="16"/>
              </w:rPr>
            </w:pPr>
            <w:r w:rsidRPr="00476516">
              <w:rPr>
                <w:b/>
                <w:color w:val="000000"/>
                <w:sz w:val="16"/>
                <w:szCs w:val="16"/>
              </w:rPr>
              <w:t>99.0</w:t>
            </w:r>
          </w:p>
        </w:tc>
        <w:tc>
          <w:tcPr>
            <w:tcW w:w="157" w:type="dxa"/>
            <w:tcBorders>
              <w:bottom w:val="single" w:sz="4" w:space="0" w:color="auto"/>
              <w:right w:val="single" w:sz="4" w:space="0" w:color="auto"/>
            </w:tcBorders>
            <w:shd w:val="clear" w:color="auto" w:fill="auto"/>
            <w:noWrap/>
            <w:vAlign w:val="bottom"/>
          </w:tcPr>
          <w:p w:rsidR="00763BA1" w:rsidRPr="00476516" w:rsidRDefault="00763BA1" w:rsidP="003054EC">
            <w:pPr>
              <w:rPr>
                <w:b/>
                <w:color w:val="000000"/>
                <w:sz w:val="16"/>
                <w:szCs w:val="16"/>
              </w:rPr>
            </w:pPr>
          </w:p>
        </w:tc>
        <w:tc>
          <w:tcPr>
            <w:tcW w:w="2329" w:type="dxa"/>
            <w:tcBorders>
              <w:left w:val="single" w:sz="4" w:space="0" w:color="auto"/>
              <w:bottom w:val="single" w:sz="4" w:space="0" w:color="auto"/>
            </w:tcBorders>
            <w:shd w:val="clear" w:color="auto" w:fill="auto"/>
            <w:noWrap/>
            <w:vAlign w:val="center"/>
          </w:tcPr>
          <w:p w:rsidR="00763BA1" w:rsidRPr="00476516" w:rsidRDefault="00763BA1" w:rsidP="003054EC">
            <w:pPr>
              <w:rPr>
                <w:b/>
                <w:color w:val="000000"/>
                <w:sz w:val="16"/>
                <w:szCs w:val="16"/>
              </w:rPr>
            </w:pPr>
            <w:r w:rsidRPr="00476516">
              <w:rPr>
                <w:b/>
                <w:color w:val="000000"/>
                <w:sz w:val="16"/>
                <w:szCs w:val="16"/>
              </w:rPr>
              <w:t>World</w:t>
            </w:r>
          </w:p>
        </w:tc>
        <w:tc>
          <w:tcPr>
            <w:tcW w:w="611" w:type="dxa"/>
            <w:tcBorders>
              <w:bottom w:val="single" w:sz="4" w:space="0" w:color="auto"/>
            </w:tcBorders>
            <w:shd w:val="clear" w:color="auto" w:fill="auto"/>
            <w:noWrap/>
            <w:vAlign w:val="bottom"/>
          </w:tcPr>
          <w:p w:rsidR="00763BA1" w:rsidRPr="00476516" w:rsidRDefault="00763BA1" w:rsidP="003054EC">
            <w:pPr>
              <w:jc w:val="center"/>
              <w:rPr>
                <w:b/>
                <w:color w:val="000000"/>
                <w:sz w:val="16"/>
                <w:szCs w:val="16"/>
              </w:rPr>
            </w:pPr>
            <w:r w:rsidRPr="00476516">
              <w:rPr>
                <w:b/>
                <w:color w:val="000000"/>
                <w:sz w:val="16"/>
                <w:szCs w:val="16"/>
              </w:rPr>
              <w:t>63.8</w:t>
            </w:r>
          </w:p>
        </w:tc>
        <w:tc>
          <w:tcPr>
            <w:tcW w:w="599" w:type="dxa"/>
            <w:tcBorders>
              <w:bottom w:val="single" w:sz="4" w:space="0" w:color="auto"/>
            </w:tcBorders>
            <w:shd w:val="clear" w:color="auto" w:fill="auto"/>
            <w:noWrap/>
            <w:vAlign w:val="bottom"/>
          </w:tcPr>
          <w:p w:rsidR="00763BA1" w:rsidRPr="00476516" w:rsidRDefault="00763BA1" w:rsidP="003054EC">
            <w:pPr>
              <w:jc w:val="center"/>
              <w:rPr>
                <w:b/>
                <w:color w:val="000000"/>
                <w:sz w:val="16"/>
                <w:szCs w:val="16"/>
              </w:rPr>
            </w:pPr>
            <w:r w:rsidRPr="00476516">
              <w:rPr>
                <w:b/>
                <w:color w:val="000000"/>
                <w:sz w:val="16"/>
                <w:szCs w:val="16"/>
              </w:rPr>
              <w:t>87.2</w:t>
            </w:r>
          </w:p>
        </w:tc>
        <w:tc>
          <w:tcPr>
            <w:tcW w:w="779" w:type="dxa"/>
            <w:tcBorders>
              <w:bottom w:val="single" w:sz="4" w:space="0" w:color="auto"/>
              <w:right w:val="single" w:sz="4" w:space="0" w:color="auto"/>
            </w:tcBorders>
            <w:shd w:val="clear" w:color="auto" w:fill="auto"/>
            <w:noWrap/>
          </w:tcPr>
          <w:p w:rsidR="00763BA1" w:rsidRPr="00476516" w:rsidRDefault="00763BA1" w:rsidP="003054EC">
            <w:pPr>
              <w:jc w:val="center"/>
              <w:rPr>
                <w:b/>
                <w:color w:val="000000"/>
                <w:sz w:val="16"/>
                <w:szCs w:val="16"/>
              </w:rPr>
            </w:pPr>
            <w:r w:rsidRPr="00476516">
              <w:rPr>
                <w:b/>
                <w:sz w:val="16"/>
                <w:szCs w:val="16"/>
              </w:rPr>
              <w:t>97.5</w:t>
            </w:r>
          </w:p>
        </w:tc>
      </w:tr>
      <w:tr w:rsidR="00763BA1" w:rsidRPr="00476516">
        <w:trPr>
          <w:trHeight w:val="70"/>
        </w:trPr>
        <w:tc>
          <w:tcPr>
            <w:tcW w:w="4452" w:type="dxa"/>
            <w:gridSpan w:val="5"/>
            <w:tcBorders>
              <w:top w:val="single" w:sz="4" w:space="0" w:color="auto"/>
              <w:left w:val="single" w:sz="4" w:space="0" w:color="auto"/>
              <w:right w:val="single" w:sz="4" w:space="0" w:color="auto"/>
            </w:tcBorders>
            <w:shd w:val="clear" w:color="auto" w:fill="D9D9D9" w:themeFill="background1" w:themeFillShade="D9"/>
            <w:noWrap/>
            <w:vAlign w:val="bottom"/>
          </w:tcPr>
          <w:p w:rsidR="00763BA1" w:rsidRPr="00476516" w:rsidRDefault="00763BA1" w:rsidP="003054EC">
            <w:pPr>
              <w:rPr>
                <w:color w:val="000000"/>
                <w:sz w:val="16"/>
                <w:szCs w:val="16"/>
              </w:rPr>
            </w:pPr>
          </w:p>
        </w:tc>
        <w:tc>
          <w:tcPr>
            <w:tcW w:w="4318" w:type="dxa"/>
            <w:gridSpan w:val="4"/>
            <w:tcBorders>
              <w:top w:val="single" w:sz="4" w:space="0" w:color="auto"/>
              <w:left w:val="single" w:sz="4" w:space="0" w:color="auto"/>
              <w:right w:val="single" w:sz="4" w:space="0" w:color="auto"/>
            </w:tcBorders>
            <w:shd w:val="clear" w:color="auto" w:fill="D9D9D9" w:themeFill="background1" w:themeFillShade="D9"/>
            <w:vAlign w:val="bottom"/>
          </w:tcPr>
          <w:p w:rsidR="00763BA1" w:rsidRPr="00476516" w:rsidRDefault="00763BA1" w:rsidP="003054EC">
            <w:pPr>
              <w:rPr>
                <w:color w:val="000000"/>
                <w:sz w:val="16"/>
                <w:szCs w:val="16"/>
              </w:rPr>
            </w:pPr>
          </w:p>
        </w:tc>
      </w:tr>
      <w:tr w:rsidR="00763BA1" w:rsidRPr="00476516">
        <w:trPr>
          <w:trHeight w:val="70"/>
        </w:trPr>
        <w:tc>
          <w:tcPr>
            <w:tcW w:w="2329" w:type="dxa"/>
            <w:tcBorders>
              <w:left w:val="single" w:sz="4" w:space="0" w:color="auto"/>
            </w:tcBorders>
            <w:shd w:val="clear" w:color="auto" w:fill="auto"/>
            <w:noWrap/>
            <w:vAlign w:val="bottom"/>
          </w:tcPr>
          <w:p w:rsidR="00763BA1" w:rsidRPr="00476516" w:rsidRDefault="00763BA1" w:rsidP="003054EC">
            <w:pPr>
              <w:rPr>
                <w:color w:val="000000"/>
                <w:sz w:val="16"/>
                <w:szCs w:val="16"/>
              </w:rPr>
            </w:pPr>
          </w:p>
        </w:tc>
        <w:tc>
          <w:tcPr>
            <w:tcW w:w="1966" w:type="dxa"/>
            <w:gridSpan w:val="3"/>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Fixed phone per 100</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bottom"/>
          </w:tcPr>
          <w:p w:rsidR="00763BA1" w:rsidRPr="00476516" w:rsidRDefault="00763BA1" w:rsidP="003054EC">
            <w:pPr>
              <w:rPr>
                <w:color w:val="000000"/>
                <w:sz w:val="16"/>
                <w:szCs w:val="16"/>
              </w:rPr>
            </w:pPr>
          </w:p>
        </w:tc>
        <w:tc>
          <w:tcPr>
            <w:tcW w:w="1989" w:type="dxa"/>
            <w:gridSpan w:val="3"/>
            <w:tcBorders>
              <w:right w:val="single" w:sz="4" w:space="0" w:color="auto"/>
            </w:tcBorders>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Mobile phone per 100</w:t>
            </w:r>
          </w:p>
        </w:tc>
      </w:tr>
      <w:tr w:rsidR="00763BA1" w:rsidRPr="00476516">
        <w:trPr>
          <w:trHeight w:val="70"/>
        </w:trPr>
        <w:tc>
          <w:tcPr>
            <w:tcW w:w="2329" w:type="dxa"/>
            <w:tcBorders>
              <w:left w:val="single" w:sz="4" w:space="0" w:color="auto"/>
            </w:tcBorders>
            <w:shd w:val="clear" w:color="auto" w:fill="auto"/>
            <w:noWrap/>
            <w:vAlign w:val="bottom"/>
          </w:tcPr>
          <w:p w:rsidR="00763BA1" w:rsidRPr="00476516" w:rsidRDefault="00763BA1" w:rsidP="003054EC">
            <w:pPr>
              <w:rPr>
                <w:color w:val="000000"/>
                <w:sz w:val="16"/>
                <w:szCs w:val="16"/>
              </w:rPr>
            </w:pPr>
          </w:p>
        </w:tc>
        <w:tc>
          <w:tcPr>
            <w:tcW w:w="476" w:type="dxa"/>
            <w:shd w:val="clear" w:color="auto" w:fill="auto"/>
            <w:noWrap/>
            <w:vAlign w:val="bottom"/>
          </w:tcPr>
          <w:p w:rsidR="00763BA1" w:rsidRPr="00476516" w:rsidRDefault="00763BA1" w:rsidP="003054EC">
            <w:pPr>
              <w:jc w:val="center"/>
              <w:rPr>
                <w:color w:val="000000"/>
                <w:sz w:val="16"/>
                <w:szCs w:val="16"/>
              </w:rPr>
            </w:pPr>
          </w:p>
        </w:tc>
        <w:tc>
          <w:tcPr>
            <w:tcW w:w="599" w:type="dxa"/>
            <w:shd w:val="clear" w:color="auto" w:fill="auto"/>
            <w:vAlign w:val="bottom"/>
          </w:tcPr>
          <w:p w:rsidR="00763BA1" w:rsidRPr="00476516" w:rsidRDefault="00763BA1" w:rsidP="003054EC">
            <w:pPr>
              <w:jc w:val="center"/>
              <w:rPr>
                <w:color w:val="000000"/>
                <w:sz w:val="16"/>
                <w:szCs w:val="16"/>
              </w:rPr>
            </w:pPr>
            <w:r>
              <w:rPr>
                <w:color w:val="000000"/>
                <w:sz w:val="16"/>
                <w:szCs w:val="16"/>
              </w:rPr>
              <w:t>Base case</w:t>
            </w:r>
          </w:p>
        </w:tc>
        <w:tc>
          <w:tcPr>
            <w:tcW w:w="891" w:type="dxa"/>
            <w:shd w:val="clear" w:color="auto" w:fill="auto"/>
            <w:vAlign w:val="bottom"/>
          </w:tcPr>
          <w:p w:rsidR="00763BA1" w:rsidRPr="00476516" w:rsidRDefault="00763BA1" w:rsidP="003054EC">
            <w:pPr>
              <w:jc w:val="center"/>
              <w:rPr>
                <w:color w:val="000000"/>
                <w:sz w:val="16"/>
                <w:szCs w:val="16"/>
              </w:rPr>
            </w:pPr>
            <w:r w:rsidRPr="00476516">
              <w:rPr>
                <w:color w:val="000000"/>
                <w:sz w:val="16"/>
                <w:szCs w:val="16"/>
              </w:rPr>
              <w:t>Universal Targets</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bottom"/>
          </w:tcPr>
          <w:p w:rsidR="00763BA1" w:rsidRPr="00476516" w:rsidRDefault="00763BA1" w:rsidP="003054EC">
            <w:pPr>
              <w:rPr>
                <w:color w:val="000000"/>
                <w:sz w:val="16"/>
                <w:szCs w:val="16"/>
              </w:rPr>
            </w:pPr>
          </w:p>
        </w:tc>
        <w:tc>
          <w:tcPr>
            <w:tcW w:w="611" w:type="dxa"/>
            <w:shd w:val="clear" w:color="auto" w:fill="auto"/>
            <w:noWrap/>
            <w:vAlign w:val="bottom"/>
          </w:tcPr>
          <w:p w:rsidR="00763BA1" w:rsidRPr="00476516" w:rsidRDefault="00763BA1" w:rsidP="003054EC">
            <w:pPr>
              <w:jc w:val="center"/>
              <w:rPr>
                <w:color w:val="000000"/>
                <w:sz w:val="16"/>
                <w:szCs w:val="16"/>
              </w:rPr>
            </w:pPr>
          </w:p>
        </w:tc>
        <w:tc>
          <w:tcPr>
            <w:tcW w:w="599" w:type="dxa"/>
            <w:shd w:val="clear" w:color="auto" w:fill="auto"/>
            <w:vAlign w:val="bottom"/>
          </w:tcPr>
          <w:p w:rsidR="00763BA1" w:rsidRPr="00476516" w:rsidRDefault="00763BA1" w:rsidP="003054EC">
            <w:pPr>
              <w:jc w:val="center"/>
              <w:rPr>
                <w:color w:val="000000"/>
                <w:sz w:val="16"/>
                <w:szCs w:val="16"/>
              </w:rPr>
            </w:pPr>
            <w:r>
              <w:rPr>
                <w:color w:val="000000"/>
                <w:sz w:val="16"/>
                <w:szCs w:val="16"/>
              </w:rPr>
              <w:t>Base case</w:t>
            </w:r>
          </w:p>
        </w:tc>
        <w:tc>
          <w:tcPr>
            <w:tcW w:w="779" w:type="dxa"/>
            <w:tcBorders>
              <w:right w:val="single" w:sz="4" w:space="0" w:color="auto"/>
            </w:tcBorders>
            <w:shd w:val="clear" w:color="auto" w:fill="auto"/>
            <w:vAlign w:val="bottom"/>
          </w:tcPr>
          <w:p w:rsidR="00763BA1" w:rsidRPr="00476516" w:rsidRDefault="00763BA1" w:rsidP="003054EC">
            <w:pPr>
              <w:jc w:val="center"/>
              <w:rPr>
                <w:color w:val="000000"/>
                <w:sz w:val="16"/>
                <w:szCs w:val="16"/>
              </w:rPr>
            </w:pPr>
            <w:r w:rsidRPr="00476516">
              <w:rPr>
                <w:color w:val="000000"/>
                <w:sz w:val="16"/>
                <w:szCs w:val="16"/>
              </w:rPr>
              <w:t>Universal Targets</w:t>
            </w:r>
          </w:p>
        </w:tc>
      </w:tr>
      <w:tr w:rsidR="00763BA1" w:rsidRPr="00476516">
        <w:trPr>
          <w:trHeight w:val="70"/>
        </w:trPr>
        <w:tc>
          <w:tcPr>
            <w:tcW w:w="2329" w:type="dxa"/>
            <w:tcBorders>
              <w:left w:val="single" w:sz="4" w:space="0" w:color="auto"/>
            </w:tcBorders>
            <w:shd w:val="clear" w:color="auto" w:fill="auto"/>
            <w:noWrap/>
            <w:vAlign w:val="bottom"/>
          </w:tcPr>
          <w:p w:rsidR="00763BA1" w:rsidRPr="00476516" w:rsidRDefault="00763BA1" w:rsidP="003054EC">
            <w:pPr>
              <w:rPr>
                <w:color w:val="000000"/>
                <w:sz w:val="16"/>
                <w:szCs w:val="16"/>
              </w:rPr>
            </w:pPr>
          </w:p>
        </w:tc>
        <w:tc>
          <w:tcPr>
            <w:tcW w:w="476" w:type="dxa"/>
            <w:shd w:val="clear" w:color="auto" w:fill="auto"/>
            <w:noWrap/>
            <w:vAlign w:val="bottom"/>
          </w:tcPr>
          <w:p w:rsidR="00763BA1" w:rsidRPr="00476516" w:rsidRDefault="00763BA1" w:rsidP="003054EC">
            <w:pPr>
              <w:jc w:val="center"/>
              <w:rPr>
                <w:color w:val="000000"/>
                <w:sz w:val="16"/>
                <w:szCs w:val="16"/>
                <w:u w:val="single"/>
              </w:rPr>
            </w:pPr>
            <w:r w:rsidRPr="00476516">
              <w:rPr>
                <w:color w:val="000000"/>
                <w:sz w:val="16"/>
                <w:szCs w:val="16"/>
                <w:u w:val="single"/>
              </w:rPr>
              <w:t>2010</w:t>
            </w:r>
          </w:p>
        </w:tc>
        <w:tc>
          <w:tcPr>
            <w:tcW w:w="599" w:type="dxa"/>
            <w:shd w:val="clear" w:color="auto" w:fill="auto"/>
            <w:noWrap/>
            <w:vAlign w:val="bottom"/>
          </w:tcPr>
          <w:p w:rsidR="00763BA1" w:rsidRPr="00476516" w:rsidRDefault="00763BA1" w:rsidP="003054EC">
            <w:pPr>
              <w:jc w:val="center"/>
              <w:rPr>
                <w:color w:val="000000"/>
                <w:sz w:val="16"/>
                <w:szCs w:val="16"/>
                <w:u w:val="single"/>
              </w:rPr>
            </w:pPr>
            <w:r w:rsidRPr="00476516">
              <w:rPr>
                <w:color w:val="000000"/>
                <w:sz w:val="16"/>
                <w:szCs w:val="16"/>
                <w:u w:val="single"/>
              </w:rPr>
              <w:t>2060</w:t>
            </w:r>
          </w:p>
        </w:tc>
        <w:tc>
          <w:tcPr>
            <w:tcW w:w="891" w:type="dxa"/>
            <w:shd w:val="clear" w:color="auto" w:fill="auto"/>
            <w:noWrap/>
            <w:vAlign w:val="bottom"/>
          </w:tcPr>
          <w:p w:rsidR="00763BA1" w:rsidRPr="00476516" w:rsidRDefault="00763BA1" w:rsidP="003054EC">
            <w:pPr>
              <w:jc w:val="center"/>
              <w:rPr>
                <w:color w:val="000000"/>
                <w:sz w:val="16"/>
                <w:szCs w:val="16"/>
                <w:u w:val="single"/>
              </w:rPr>
            </w:pPr>
            <w:r w:rsidRPr="00476516">
              <w:rPr>
                <w:color w:val="000000"/>
                <w:sz w:val="16"/>
                <w:szCs w:val="16"/>
                <w:u w:val="single"/>
              </w:rPr>
              <w:t>2060</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bottom"/>
          </w:tcPr>
          <w:p w:rsidR="00763BA1" w:rsidRPr="00476516" w:rsidRDefault="00763BA1" w:rsidP="003054EC">
            <w:pPr>
              <w:rPr>
                <w:color w:val="000000"/>
                <w:sz w:val="16"/>
                <w:szCs w:val="16"/>
              </w:rPr>
            </w:pPr>
          </w:p>
        </w:tc>
        <w:tc>
          <w:tcPr>
            <w:tcW w:w="611" w:type="dxa"/>
            <w:shd w:val="clear" w:color="auto" w:fill="auto"/>
            <w:noWrap/>
            <w:vAlign w:val="bottom"/>
          </w:tcPr>
          <w:p w:rsidR="00763BA1" w:rsidRPr="00476516" w:rsidRDefault="00763BA1" w:rsidP="003054EC">
            <w:pPr>
              <w:jc w:val="center"/>
              <w:rPr>
                <w:color w:val="000000"/>
                <w:sz w:val="16"/>
                <w:szCs w:val="16"/>
                <w:u w:val="single"/>
              </w:rPr>
            </w:pPr>
            <w:r w:rsidRPr="00476516">
              <w:rPr>
                <w:color w:val="000000"/>
                <w:sz w:val="16"/>
                <w:szCs w:val="16"/>
                <w:u w:val="single"/>
              </w:rPr>
              <w:t>2010</w:t>
            </w:r>
          </w:p>
        </w:tc>
        <w:tc>
          <w:tcPr>
            <w:tcW w:w="599" w:type="dxa"/>
            <w:shd w:val="clear" w:color="auto" w:fill="auto"/>
            <w:noWrap/>
            <w:vAlign w:val="bottom"/>
          </w:tcPr>
          <w:p w:rsidR="00763BA1" w:rsidRPr="00476516" w:rsidRDefault="00763BA1" w:rsidP="003054EC">
            <w:pPr>
              <w:jc w:val="center"/>
              <w:rPr>
                <w:color w:val="000000"/>
                <w:sz w:val="16"/>
                <w:szCs w:val="16"/>
                <w:u w:val="single"/>
              </w:rPr>
            </w:pPr>
            <w:r w:rsidRPr="00476516">
              <w:rPr>
                <w:color w:val="000000"/>
                <w:sz w:val="16"/>
                <w:szCs w:val="16"/>
                <w:u w:val="single"/>
              </w:rPr>
              <w:t>2060</w:t>
            </w:r>
          </w:p>
        </w:tc>
        <w:tc>
          <w:tcPr>
            <w:tcW w:w="779" w:type="dxa"/>
            <w:tcBorders>
              <w:right w:val="single" w:sz="4" w:space="0" w:color="auto"/>
            </w:tcBorders>
            <w:shd w:val="clear" w:color="auto" w:fill="auto"/>
            <w:noWrap/>
            <w:vAlign w:val="bottom"/>
          </w:tcPr>
          <w:p w:rsidR="00763BA1" w:rsidRPr="00476516" w:rsidRDefault="00763BA1" w:rsidP="003054EC">
            <w:pPr>
              <w:jc w:val="center"/>
              <w:rPr>
                <w:color w:val="000000"/>
                <w:sz w:val="16"/>
                <w:szCs w:val="16"/>
                <w:u w:val="single"/>
              </w:rPr>
            </w:pPr>
            <w:r w:rsidRPr="00476516">
              <w:rPr>
                <w:color w:val="000000"/>
                <w:sz w:val="16"/>
                <w:szCs w:val="16"/>
                <w:u w:val="single"/>
              </w:rPr>
              <w:t>2060</w:t>
            </w:r>
          </w:p>
        </w:tc>
      </w:tr>
      <w:tr w:rsidR="00763BA1" w:rsidRPr="00476516">
        <w:trPr>
          <w:trHeight w:val="70"/>
        </w:trPr>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East Asia and Pacific</w:t>
            </w:r>
          </w:p>
        </w:tc>
        <w:tc>
          <w:tcPr>
            <w:tcW w:w="476"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18.8</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3.8</w:t>
            </w:r>
          </w:p>
        </w:tc>
        <w:tc>
          <w:tcPr>
            <w:tcW w:w="89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3.8</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East Asia and Pacific</w:t>
            </w:r>
          </w:p>
        </w:tc>
        <w:tc>
          <w:tcPr>
            <w:tcW w:w="61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73.0</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151.4</w:t>
            </w:r>
          </w:p>
        </w:tc>
        <w:tc>
          <w:tcPr>
            <w:tcW w:w="779" w:type="dxa"/>
            <w:tcBorders>
              <w:right w:val="single" w:sz="4" w:space="0" w:color="auto"/>
            </w:tcBorders>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151.7</w:t>
            </w:r>
          </w:p>
        </w:tc>
      </w:tr>
      <w:tr w:rsidR="00763BA1" w:rsidRPr="00476516">
        <w:trPr>
          <w:trHeight w:val="70"/>
        </w:trPr>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Europe and Central Asia</w:t>
            </w:r>
          </w:p>
        </w:tc>
        <w:tc>
          <w:tcPr>
            <w:tcW w:w="476"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25.3</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3.5</w:t>
            </w:r>
          </w:p>
        </w:tc>
        <w:tc>
          <w:tcPr>
            <w:tcW w:w="89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3.5</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Europe and Central Asia</w:t>
            </w:r>
          </w:p>
        </w:tc>
        <w:tc>
          <w:tcPr>
            <w:tcW w:w="61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123.7</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151.3</w:t>
            </w:r>
          </w:p>
        </w:tc>
        <w:tc>
          <w:tcPr>
            <w:tcW w:w="779" w:type="dxa"/>
            <w:tcBorders>
              <w:right w:val="single" w:sz="4" w:space="0" w:color="auto"/>
            </w:tcBorders>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151.6</w:t>
            </w:r>
          </w:p>
        </w:tc>
      </w:tr>
      <w:tr w:rsidR="00763BA1" w:rsidRPr="00476516">
        <w:trPr>
          <w:trHeight w:val="70"/>
        </w:trPr>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Latin America and the Caribbean</w:t>
            </w:r>
          </w:p>
        </w:tc>
        <w:tc>
          <w:tcPr>
            <w:tcW w:w="476"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18.0</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3.4</w:t>
            </w:r>
          </w:p>
        </w:tc>
        <w:tc>
          <w:tcPr>
            <w:tcW w:w="89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3.5</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Latin America and the Caribbean</w:t>
            </w:r>
          </w:p>
        </w:tc>
        <w:tc>
          <w:tcPr>
            <w:tcW w:w="61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98.3</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151.3</w:t>
            </w:r>
          </w:p>
        </w:tc>
        <w:tc>
          <w:tcPr>
            <w:tcW w:w="779" w:type="dxa"/>
            <w:tcBorders>
              <w:right w:val="single" w:sz="4" w:space="0" w:color="auto"/>
            </w:tcBorders>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151.7</w:t>
            </w:r>
          </w:p>
        </w:tc>
      </w:tr>
      <w:tr w:rsidR="00763BA1" w:rsidRPr="00476516">
        <w:trPr>
          <w:trHeight w:val="70"/>
        </w:trPr>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Middle East and North Africa</w:t>
            </w:r>
          </w:p>
        </w:tc>
        <w:tc>
          <w:tcPr>
            <w:tcW w:w="476"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16.3</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3.4</w:t>
            </w:r>
          </w:p>
        </w:tc>
        <w:tc>
          <w:tcPr>
            <w:tcW w:w="89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3.5</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Middle East and North Africa</w:t>
            </w:r>
          </w:p>
        </w:tc>
        <w:tc>
          <w:tcPr>
            <w:tcW w:w="61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85.5</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151.4</w:t>
            </w:r>
          </w:p>
        </w:tc>
        <w:tc>
          <w:tcPr>
            <w:tcW w:w="779" w:type="dxa"/>
            <w:tcBorders>
              <w:right w:val="single" w:sz="4" w:space="0" w:color="auto"/>
            </w:tcBorders>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151.7</w:t>
            </w:r>
          </w:p>
        </w:tc>
      </w:tr>
      <w:tr w:rsidR="00763BA1" w:rsidRPr="00476516">
        <w:trPr>
          <w:trHeight w:val="70"/>
        </w:trPr>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South Asia</w:t>
            </w:r>
          </w:p>
        </w:tc>
        <w:tc>
          <w:tcPr>
            <w:tcW w:w="476"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2.7</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3.2</w:t>
            </w:r>
          </w:p>
        </w:tc>
        <w:tc>
          <w:tcPr>
            <w:tcW w:w="89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3.3</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South Asia</w:t>
            </w:r>
          </w:p>
        </w:tc>
        <w:tc>
          <w:tcPr>
            <w:tcW w:w="61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58.9</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151.5</w:t>
            </w:r>
          </w:p>
        </w:tc>
        <w:tc>
          <w:tcPr>
            <w:tcW w:w="779" w:type="dxa"/>
            <w:tcBorders>
              <w:right w:val="single" w:sz="4" w:space="0" w:color="auto"/>
            </w:tcBorders>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151.7</w:t>
            </w:r>
          </w:p>
        </w:tc>
      </w:tr>
      <w:tr w:rsidR="00763BA1" w:rsidRPr="00476516">
        <w:trPr>
          <w:trHeight w:val="70"/>
        </w:trPr>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Sub-Saharan Africa</w:t>
            </w:r>
          </w:p>
        </w:tc>
        <w:tc>
          <w:tcPr>
            <w:tcW w:w="476"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1.4</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2.9</w:t>
            </w:r>
          </w:p>
        </w:tc>
        <w:tc>
          <w:tcPr>
            <w:tcW w:w="89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3.0</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Sub-Saharan Africa</w:t>
            </w:r>
          </w:p>
        </w:tc>
        <w:tc>
          <w:tcPr>
            <w:tcW w:w="61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44.5</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151.3</w:t>
            </w:r>
          </w:p>
        </w:tc>
        <w:tc>
          <w:tcPr>
            <w:tcW w:w="779" w:type="dxa"/>
            <w:tcBorders>
              <w:right w:val="single" w:sz="4" w:space="0" w:color="auto"/>
            </w:tcBorders>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151.7</w:t>
            </w:r>
          </w:p>
        </w:tc>
      </w:tr>
      <w:tr w:rsidR="00763BA1" w:rsidRPr="00476516">
        <w:trPr>
          <w:trHeight w:val="70"/>
        </w:trPr>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High-income countries</w:t>
            </w:r>
          </w:p>
        </w:tc>
        <w:tc>
          <w:tcPr>
            <w:tcW w:w="476"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44.7</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3.5</w:t>
            </w:r>
          </w:p>
        </w:tc>
        <w:tc>
          <w:tcPr>
            <w:tcW w:w="89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3.5</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High-income countries</w:t>
            </w:r>
          </w:p>
        </w:tc>
        <w:tc>
          <w:tcPr>
            <w:tcW w:w="61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109.6</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151.4</w:t>
            </w:r>
          </w:p>
        </w:tc>
        <w:tc>
          <w:tcPr>
            <w:tcW w:w="779" w:type="dxa"/>
            <w:tcBorders>
              <w:right w:val="single" w:sz="4" w:space="0" w:color="auto"/>
            </w:tcBorders>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151.6</w:t>
            </w:r>
          </w:p>
        </w:tc>
      </w:tr>
      <w:tr w:rsidR="00763BA1" w:rsidRPr="00476516">
        <w:trPr>
          <w:trHeight w:val="70"/>
        </w:trPr>
        <w:tc>
          <w:tcPr>
            <w:tcW w:w="2329" w:type="dxa"/>
            <w:tcBorders>
              <w:left w:val="single" w:sz="4" w:space="0" w:color="auto"/>
              <w:bottom w:val="single" w:sz="4" w:space="0" w:color="auto"/>
            </w:tcBorders>
            <w:shd w:val="clear" w:color="auto" w:fill="auto"/>
            <w:noWrap/>
            <w:vAlign w:val="center"/>
          </w:tcPr>
          <w:p w:rsidR="00763BA1" w:rsidRPr="00476516" w:rsidRDefault="00763BA1" w:rsidP="003054EC">
            <w:pPr>
              <w:rPr>
                <w:b/>
                <w:color w:val="000000"/>
                <w:sz w:val="16"/>
                <w:szCs w:val="16"/>
              </w:rPr>
            </w:pPr>
            <w:r w:rsidRPr="00476516">
              <w:rPr>
                <w:b/>
                <w:color w:val="000000"/>
                <w:sz w:val="16"/>
                <w:szCs w:val="16"/>
              </w:rPr>
              <w:t>World</w:t>
            </w:r>
          </w:p>
        </w:tc>
        <w:tc>
          <w:tcPr>
            <w:tcW w:w="476" w:type="dxa"/>
            <w:tcBorders>
              <w:bottom w:val="single" w:sz="4" w:space="0" w:color="auto"/>
            </w:tcBorders>
            <w:shd w:val="clear" w:color="auto" w:fill="auto"/>
            <w:noWrap/>
            <w:vAlign w:val="bottom"/>
          </w:tcPr>
          <w:p w:rsidR="00763BA1" w:rsidRPr="00476516" w:rsidRDefault="00763BA1" w:rsidP="003054EC">
            <w:pPr>
              <w:jc w:val="center"/>
              <w:rPr>
                <w:b/>
                <w:color w:val="000000"/>
                <w:sz w:val="16"/>
                <w:szCs w:val="16"/>
              </w:rPr>
            </w:pPr>
            <w:r w:rsidRPr="00476516">
              <w:rPr>
                <w:b/>
                <w:color w:val="000000"/>
                <w:sz w:val="16"/>
                <w:szCs w:val="16"/>
              </w:rPr>
              <w:t>17.3</w:t>
            </w:r>
          </w:p>
        </w:tc>
        <w:tc>
          <w:tcPr>
            <w:tcW w:w="599" w:type="dxa"/>
            <w:tcBorders>
              <w:bottom w:val="single" w:sz="4" w:space="0" w:color="auto"/>
            </w:tcBorders>
            <w:shd w:val="clear" w:color="auto" w:fill="auto"/>
            <w:noWrap/>
            <w:vAlign w:val="bottom"/>
          </w:tcPr>
          <w:p w:rsidR="00763BA1" w:rsidRPr="00476516" w:rsidRDefault="00763BA1" w:rsidP="003054EC">
            <w:pPr>
              <w:jc w:val="center"/>
              <w:rPr>
                <w:b/>
                <w:color w:val="000000"/>
                <w:sz w:val="16"/>
                <w:szCs w:val="16"/>
              </w:rPr>
            </w:pPr>
            <w:r w:rsidRPr="00476516">
              <w:rPr>
                <w:b/>
                <w:color w:val="000000"/>
                <w:sz w:val="16"/>
                <w:szCs w:val="16"/>
              </w:rPr>
              <w:t>3.3</w:t>
            </w:r>
          </w:p>
        </w:tc>
        <w:tc>
          <w:tcPr>
            <w:tcW w:w="891" w:type="dxa"/>
            <w:tcBorders>
              <w:bottom w:val="single" w:sz="4" w:space="0" w:color="auto"/>
            </w:tcBorders>
            <w:shd w:val="clear" w:color="auto" w:fill="auto"/>
            <w:noWrap/>
            <w:vAlign w:val="bottom"/>
          </w:tcPr>
          <w:p w:rsidR="00763BA1" w:rsidRPr="00476516" w:rsidRDefault="00763BA1" w:rsidP="003054EC">
            <w:pPr>
              <w:jc w:val="center"/>
              <w:rPr>
                <w:b/>
                <w:color w:val="000000"/>
                <w:sz w:val="16"/>
                <w:szCs w:val="16"/>
              </w:rPr>
            </w:pPr>
            <w:r w:rsidRPr="00476516">
              <w:rPr>
                <w:b/>
                <w:color w:val="000000"/>
                <w:sz w:val="16"/>
                <w:szCs w:val="16"/>
              </w:rPr>
              <w:t>3.4</w:t>
            </w:r>
          </w:p>
        </w:tc>
        <w:tc>
          <w:tcPr>
            <w:tcW w:w="157" w:type="dxa"/>
            <w:tcBorders>
              <w:bottom w:val="single" w:sz="4" w:space="0" w:color="auto"/>
              <w:right w:val="single" w:sz="4" w:space="0" w:color="auto"/>
            </w:tcBorders>
            <w:shd w:val="clear" w:color="auto" w:fill="auto"/>
            <w:noWrap/>
            <w:vAlign w:val="bottom"/>
          </w:tcPr>
          <w:p w:rsidR="00763BA1" w:rsidRPr="00476516" w:rsidRDefault="00763BA1" w:rsidP="003054EC">
            <w:pPr>
              <w:rPr>
                <w:b/>
                <w:color w:val="000000"/>
                <w:sz w:val="16"/>
                <w:szCs w:val="16"/>
              </w:rPr>
            </w:pPr>
          </w:p>
        </w:tc>
        <w:tc>
          <w:tcPr>
            <w:tcW w:w="2329" w:type="dxa"/>
            <w:tcBorders>
              <w:left w:val="single" w:sz="4" w:space="0" w:color="auto"/>
              <w:bottom w:val="single" w:sz="4" w:space="0" w:color="auto"/>
            </w:tcBorders>
            <w:shd w:val="clear" w:color="auto" w:fill="auto"/>
            <w:noWrap/>
            <w:vAlign w:val="center"/>
          </w:tcPr>
          <w:p w:rsidR="00763BA1" w:rsidRPr="00476516" w:rsidRDefault="00763BA1" w:rsidP="003054EC">
            <w:pPr>
              <w:rPr>
                <w:b/>
                <w:color w:val="000000"/>
                <w:sz w:val="16"/>
                <w:szCs w:val="16"/>
              </w:rPr>
            </w:pPr>
            <w:r w:rsidRPr="00476516">
              <w:rPr>
                <w:b/>
                <w:color w:val="000000"/>
                <w:sz w:val="16"/>
                <w:szCs w:val="16"/>
              </w:rPr>
              <w:t>World</w:t>
            </w:r>
          </w:p>
        </w:tc>
        <w:tc>
          <w:tcPr>
            <w:tcW w:w="611" w:type="dxa"/>
            <w:tcBorders>
              <w:bottom w:val="single" w:sz="4" w:space="0" w:color="auto"/>
            </w:tcBorders>
            <w:shd w:val="clear" w:color="auto" w:fill="auto"/>
            <w:noWrap/>
            <w:vAlign w:val="bottom"/>
          </w:tcPr>
          <w:p w:rsidR="00763BA1" w:rsidRPr="00476516" w:rsidRDefault="00763BA1" w:rsidP="003054EC">
            <w:pPr>
              <w:jc w:val="center"/>
              <w:rPr>
                <w:b/>
                <w:color w:val="000000"/>
                <w:sz w:val="16"/>
                <w:szCs w:val="16"/>
              </w:rPr>
            </w:pPr>
            <w:r w:rsidRPr="00476516">
              <w:rPr>
                <w:b/>
                <w:color w:val="000000"/>
                <w:sz w:val="16"/>
                <w:szCs w:val="16"/>
              </w:rPr>
              <w:t>77.9</w:t>
            </w:r>
          </w:p>
        </w:tc>
        <w:tc>
          <w:tcPr>
            <w:tcW w:w="599" w:type="dxa"/>
            <w:tcBorders>
              <w:bottom w:val="single" w:sz="4" w:space="0" w:color="auto"/>
            </w:tcBorders>
            <w:shd w:val="clear" w:color="auto" w:fill="auto"/>
            <w:noWrap/>
            <w:vAlign w:val="bottom"/>
          </w:tcPr>
          <w:p w:rsidR="00763BA1" w:rsidRPr="00476516" w:rsidRDefault="00763BA1" w:rsidP="003054EC">
            <w:pPr>
              <w:jc w:val="center"/>
              <w:rPr>
                <w:b/>
                <w:color w:val="000000"/>
                <w:sz w:val="16"/>
                <w:szCs w:val="16"/>
              </w:rPr>
            </w:pPr>
            <w:r w:rsidRPr="00476516">
              <w:rPr>
                <w:b/>
                <w:color w:val="000000"/>
                <w:sz w:val="16"/>
                <w:szCs w:val="16"/>
              </w:rPr>
              <w:t>151.4</w:t>
            </w:r>
          </w:p>
        </w:tc>
        <w:tc>
          <w:tcPr>
            <w:tcW w:w="779" w:type="dxa"/>
            <w:tcBorders>
              <w:bottom w:val="single" w:sz="4" w:space="0" w:color="auto"/>
              <w:right w:val="single" w:sz="4" w:space="0" w:color="auto"/>
            </w:tcBorders>
            <w:shd w:val="clear" w:color="auto" w:fill="auto"/>
            <w:noWrap/>
            <w:vAlign w:val="bottom"/>
          </w:tcPr>
          <w:p w:rsidR="00763BA1" w:rsidRPr="00476516" w:rsidRDefault="00763BA1" w:rsidP="003054EC">
            <w:pPr>
              <w:jc w:val="center"/>
              <w:rPr>
                <w:b/>
                <w:color w:val="000000"/>
                <w:sz w:val="16"/>
                <w:szCs w:val="16"/>
              </w:rPr>
            </w:pPr>
            <w:r w:rsidRPr="00476516">
              <w:rPr>
                <w:b/>
                <w:color w:val="000000"/>
                <w:sz w:val="16"/>
                <w:szCs w:val="16"/>
              </w:rPr>
              <w:t>151.7</w:t>
            </w:r>
          </w:p>
        </w:tc>
      </w:tr>
      <w:tr w:rsidR="00763BA1" w:rsidRPr="00476516">
        <w:trPr>
          <w:trHeight w:val="70"/>
        </w:trPr>
        <w:tc>
          <w:tcPr>
            <w:tcW w:w="4452" w:type="dxa"/>
            <w:gridSpan w:val="5"/>
            <w:tcBorders>
              <w:top w:val="single" w:sz="4" w:space="0" w:color="auto"/>
              <w:left w:val="single" w:sz="4" w:space="0" w:color="auto"/>
              <w:right w:val="single" w:sz="4" w:space="0" w:color="auto"/>
            </w:tcBorders>
            <w:shd w:val="clear" w:color="auto" w:fill="D9D9D9" w:themeFill="background1" w:themeFillShade="D9"/>
            <w:noWrap/>
            <w:vAlign w:val="bottom"/>
          </w:tcPr>
          <w:p w:rsidR="00763BA1" w:rsidRPr="00476516" w:rsidRDefault="00763BA1" w:rsidP="003054EC">
            <w:pPr>
              <w:rPr>
                <w:color w:val="000000"/>
                <w:sz w:val="16"/>
                <w:szCs w:val="16"/>
                <w:u w:val="single"/>
              </w:rPr>
            </w:pPr>
          </w:p>
        </w:tc>
        <w:tc>
          <w:tcPr>
            <w:tcW w:w="4318" w:type="dxa"/>
            <w:gridSpan w:val="4"/>
            <w:tcBorders>
              <w:top w:val="single" w:sz="4" w:space="0" w:color="auto"/>
              <w:left w:val="single" w:sz="4" w:space="0" w:color="auto"/>
              <w:right w:val="single" w:sz="4" w:space="0" w:color="auto"/>
            </w:tcBorders>
            <w:shd w:val="clear" w:color="auto" w:fill="D9D9D9" w:themeFill="background1" w:themeFillShade="D9"/>
            <w:vAlign w:val="bottom"/>
          </w:tcPr>
          <w:p w:rsidR="00763BA1" w:rsidRPr="00476516" w:rsidRDefault="00763BA1" w:rsidP="003054EC">
            <w:pPr>
              <w:rPr>
                <w:color w:val="000000"/>
                <w:sz w:val="16"/>
                <w:szCs w:val="16"/>
                <w:u w:val="single"/>
              </w:rPr>
            </w:pPr>
          </w:p>
        </w:tc>
      </w:tr>
      <w:tr w:rsidR="00763BA1" w:rsidRPr="00476516">
        <w:trPr>
          <w:trHeight w:val="70"/>
        </w:trPr>
        <w:tc>
          <w:tcPr>
            <w:tcW w:w="2329" w:type="dxa"/>
            <w:tcBorders>
              <w:left w:val="single" w:sz="4" w:space="0" w:color="auto"/>
            </w:tcBorders>
            <w:shd w:val="clear" w:color="auto" w:fill="auto"/>
            <w:noWrap/>
            <w:vAlign w:val="bottom"/>
          </w:tcPr>
          <w:p w:rsidR="00763BA1" w:rsidRPr="00476516" w:rsidRDefault="00763BA1" w:rsidP="003054EC">
            <w:pPr>
              <w:rPr>
                <w:color w:val="000000"/>
                <w:sz w:val="16"/>
                <w:szCs w:val="16"/>
              </w:rPr>
            </w:pPr>
          </w:p>
        </w:tc>
        <w:tc>
          <w:tcPr>
            <w:tcW w:w="1966" w:type="dxa"/>
            <w:gridSpan w:val="3"/>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Fixed b</w:t>
            </w:r>
            <w:r>
              <w:rPr>
                <w:color w:val="000000"/>
                <w:sz w:val="16"/>
                <w:szCs w:val="16"/>
              </w:rPr>
              <w:t>r</w:t>
            </w:r>
            <w:r w:rsidRPr="00476516">
              <w:rPr>
                <w:color w:val="000000"/>
                <w:sz w:val="16"/>
                <w:szCs w:val="16"/>
              </w:rPr>
              <w:t>oadband per 100</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bottom"/>
          </w:tcPr>
          <w:p w:rsidR="00763BA1" w:rsidRPr="00476516" w:rsidRDefault="00763BA1" w:rsidP="003054EC">
            <w:pPr>
              <w:rPr>
                <w:color w:val="000000"/>
                <w:sz w:val="16"/>
                <w:szCs w:val="16"/>
              </w:rPr>
            </w:pPr>
          </w:p>
        </w:tc>
        <w:tc>
          <w:tcPr>
            <w:tcW w:w="1989" w:type="dxa"/>
            <w:gridSpan w:val="3"/>
            <w:tcBorders>
              <w:right w:val="single" w:sz="4" w:space="0" w:color="auto"/>
            </w:tcBorders>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Mobile broadband per 100</w:t>
            </w:r>
          </w:p>
        </w:tc>
      </w:tr>
      <w:tr w:rsidR="00763BA1" w:rsidRPr="00476516">
        <w:trPr>
          <w:trHeight w:val="197"/>
        </w:trPr>
        <w:tc>
          <w:tcPr>
            <w:tcW w:w="2329" w:type="dxa"/>
            <w:tcBorders>
              <w:left w:val="single" w:sz="4" w:space="0" w:color="auto"/>
            </w:tcBorders>
            <w:shd w:val="clear" w:color="auto" w:fill="auto"/>
            <w:noWrap/>
            <w:vAlign w:val="bottom"/>
          </w:tcPr>
          <w:p w:rsidR="00763BA1" w:rsidRPr="00476516" w:rsidRDefault="00763BA1" w:rsidP="003054EC">
            <w:pPr>
              <w:rPr>
                <w:color w:val="000000"/>
                <w:sz w:val="16"/>
                <w:szCs w:val="16"/>
              </w:rPr>
            </w:pPr>
          </w:p>
        </w:tc>
        <w:tc>
          <w:tcPr>
            <w:tcW w:w="476" w:type="dxa"/>
            <w:shd w:val="clear" w:color="auto" w:fill="auto"/>
            <w:noWrap/>
            <w:vAlign w:val="bottom"/>
          </w:tcPr>
          <w:p w:rsidR="00763BA1" w:rsidRPr="00476516" w:rsidRDefault="00763BA1" w:rsidP="003054EC">
            <w:pPr>
              <w:jc w:val="center"/>
              <w:rPr>
                <w:color w:val="000000"/>
                <w:sz w:val="16"/>
                <w:szCs w:val="16"/>
              </w:rPr>
            </w:pPr>
          </w:p>
        </w:tc>
        <w:tc>
          <w:tcPr>
            <w:tcW w:w="599" w:type="dxa"/>
            <w:shd w:val="clear" w:color="auto" w:fill="auto"/>
            <w:vAlign w:val="bottom"/>
          </w:tcPr>
          <w:p w:rsidR="00763BA1" w:rsidRPr="00476516" w:rsidRDefault="00763BA1" w:rsidP="003054EC">
            <w:pPr>
              <w:jc w:val="center"/>
              <w:rPr>
                <w:color w:val="000000"/>
                <w:sz w:val="16"/>
                <w:szCs w:val="16"/>
              </w:rPr>
            </w:pPr>
            <w:r w:rsidRPr="00476516">
              <w:rPr>
                <w:color w:val="000000"/>
                <w:sz w:val="16"/>
                <w:szCs w:val="16"/>
              </w:rPr>
              <w:t xml:space="preserve">Base </w:t>
            </w:r>
            <w:r>
              <w:rPr>
                <w:color w:val="000000"/>
                <w:sz w:val="16"/>
                <w:szCs w:val="16"/>
              </w:rPr>
              <w:t>c</w:t>
            </w:r>
            <w:r w:rsidRPr="00476516">
              <w:rPr>
                <w:color w:val="000000"/>
                <w:sz w:val="16"/>
                <w:szCs w:val="16"/>
              </w:rPr>
              <w:t>ase</w:t>
            </w:r>
          </w:p>
        </w:tc>
        <w:tc>
          <w:tcPr>
            <w:tcW w:w="891" w:type="dxa"/>
            <w:shd w:val="clear" w:color="auto" w:fill="auto"/>
            <w:vAlign w:val="bottom"/>
          </w:tcPr>
          <w:p w:rsidR="00763BA1" w:rsidRPr="00476516" w:rsidRDefault="00763BA1" w:rsidP="003054EC">
            <w:pPr>
              <w:jc w:val="center"/>
              <w:rPr>
                <w:color w:val="000000"/>
                <w:sz w:val="16"/>
                <w:szCs w:val="16"/>
              </w:rPr>
            </w:pPr>
            <w:r w:rsidRPr="00476516">
              <w:rPr>
                <w:color w:val="000000"/>
                <w:sz w:val="16"/>
                <w:szCs w:val="16"/>
              </w:rPr>
              <w:t>Universal Targets</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bottom"/>
          </w:tcPr>
          <w:p w:rsidR="00763BA1" w:rsidRPr="00476516" w:rsidRDefault="00763BA1" w:rsidP="003054EC">
            <w:pPr>
              <w:rPr>
                <w:color w:val="000000"/>
                <w:sz w:val="16"/>
                <w:szCs w:val="16"/>
              </w:rPr>
            </w:pPr>
          </w:p>
        </w:tc>
        <w:tc>
          <w:tcPr>
            <w:tcW w:w="611" w:type="dxa"/>
            <w:shd w:val="clear" w:color="auto" w:fill="auto"/>
            <w:noWrap/>
            <w:vAlign w:val="bottom"/>
          </w:tcPr>
          <w:p w:rsidR="00763BA1" w:rsidRPr="00476516" w:rsidRDefault="00763BA1" w:rsidP="003054EC">
            <w:pPr>
              <w:jc w:val="center"/>
              <w:rPr>
                <w:color w:val="000000"/>
                <w:sz w:val="16"/>
                <w:szCs w:val="16"/>
              </w:rPr>
            </w:pPr>
          </w:p>
        </w:tc>
        <w:tc>
          <w:tcPr>
            <w:tcW w:w="599" w:type="dxa"/>
            <w:shd w:val="clear" w:color="auto" w:fill="auto"/>
            <w:vAlign w:val="bottom"/>
          </w:tcPr>
          <w:p w:rsidR="00763BA1" w:rsidRPr="00476516" w:rsidRDefault="00763BA1" w:rsidP="003054EC">
            <w:pPr>
              <w:jc w:val="center"/>
              <w:rPr>
                <w:color w:val="000000"/>
                <w:sz w:val="16"/>
                <w:szCs w:val="16"/>
              </w:rPr>
            </w:pPr>
            <w:r w:rsidRPr="00476516">
              <w:rPr>
                <w:color w:val="000000"/>
                <w:sz w:val="16"/>
                <w:szCs w:val="16"/>
              </w:rPr>
              <w:t xml:space="preserve">Base </w:t>
            </w:r>
            <w:r>
              <w:rPr>
                <w:color w:val="000000"/>
                <w:sz w:val="16"/>
                <w:szCs w:val="16"/>
              </w:rPr>
              <w:t>c</w:t>
            </w:r>
            <w:r w:rsidRPr="00476516">
              <w:rPr>
                <w:color w:val="000000"/>
                <w:sz w:val="16"/>
                <w:szCs w:val="16"/>
              </w:rPr>
              <w:t>ase</w:t>
            </w:r>
          </w:p>
        </w:tc>
        <w:tc>
          <w:tcPr>
            <w:tcW w:w="779" w:type="dxa"/>
            <w:tcBorders>
              <w:right w:val="single" w:sz="4" w:space="0" w:color="auto"/>
            </w:tcBorders>
            <w:shd w:val="clear" w:color="auto" w:fill="auto"/>
            <w:vAlign w:val="bottom"/>
          </w:tcPr>
          <w:p w:rsidR="00763BA1" w:rsidRPr="00476516" w:rsidRDefault="00763BA1" w:rsidP="003054EC">
            <w:pPr>
              <w:jc w:val="center"/>
              <w:rPr>
                <w:color w:val="000000"/>
                <w:sz w:val="16"/>
                <w:szCs w:val="16"/>
              </w:rPr>
            </w:pPr>
            <w:r w:rsidRPr="00476516">
              <w:rPr>
                <w:color w:val="000000"/>
                <w:sz w:val="16"/>
                <w:szCs w:val="16"/>
              </w:rPr>
              <w:t>Universal Targets</w:t>
            </w:r>
          </w:p>
        </w:tc>
      </w:tr>
      <w:tr w:rsidR="00763BA1" w:rsidRPr="00476516">
        <w:trPr>
          <w:trHeight w:val="70"/>
        </w:trPr>
        <w:tc>
          <w:tcPr>
            <w:tcW w:w="2329" w:type="dxa"/>
            <w:tcBorders>
              <w:left w:val="single" w:sz="4" w:space="0" w:color="auto"/>
            </w:tcBorders>
            <w:shd w:val="clear" w:color="auto" w:fill="auto"/>
            <w:noWrap/>
            <w:vAlign w:val="bottom"/>
          </w:tcPr>
          <w:p w:rsidR="00763BA1" w:rsidRPr="00476516" w:rsidRDefault="00763BA1" w:rsidP="003054EC">
            <w:pPr>
              <w:rPr>
                <w:color w:val="000000"/>
                <w:sz w:val="16"/>
                <w:szCs w:val="16"/>
              </w:rPr>
            </w:pPr>
          </w:p>
        </w:tc>
        <w:tc>
          <w:tcPr>
            <w:tcW w:w="476" w:type="dxa"/>
            <w:shd w:val="clear" w:color="auto" w:fill="auto"/>
            <w:noWrap/>
            <w:vAlign w:val="bottom"/>
          </w:tcPr>
          <w:p w:rsidR="00763BA1" w:rsidRPr="00476516" w:rsidRDefault="00763BA1" w:rsidP="003054EC">
            <w:pPr>
              <w:jc w:val="center"/>
              <w:rPr>
                <w:color w:val="000000"/>
                <w:sz w:val="16"/>
                <w:szCs w:val="16"/>
                <w:u w:val="single"/>
              </w:rPr>
            </w:pPr>
            <w:r w:rsidRPr="00476516">
              <w:rPr>
                <w:color w:val="000000"/>
                <w:sz w:val="16"/>
                <w:szCs w:val="16"/>
                <w:u w:val="single"/>
              </w:rPr>
              <w:t>2010</w:t>
            </w:r>
          </w:p>
        </w:tc>
        <w:tc>
          <w:tcPr>
            <w:tcW w:w="599" w:type="dxa"/>
            <w:shd w:val="clear" w:color="auto" w:fill="auto"/>
            <w:noWrap/>
            <w:vAlign w:val="bottom"/>
          </w:tcPr>
          <w:p w:rsidR="00763BA1" w:rsidRPr="00476516" w:rsidRDefault="00763BA1" w:rsidP="003054EC">
            <w:pPr>
              <w:jc w:val="center"/>
              <w:rPr>
                <w:color w:val="000000"/>
                <w:sz w:val="16"/>
                <w:szCs w:val="16"/>
                <w:u w:val="single"/>
              </w:rPr>
            </w:pPr>
            <w:r w:rsidRPr="00476516">
              <w:rPr>
                <w:color w:val="000000"/>
                <w:sz w:val="16"/>
                <w:szCs w:val="16"/>
                <w:u w:val="single"/>
              </w:rPr>
              <w:t>2060</w:t>
            </w:r>
          </w:p>
        </w:tc>
        <w:tc>
          <w:tcPr>
            <w:tcW w:w="891" w:type="dxa"/>
            <w:shd w:val="clear" w:color="auto" w:fill="auto"/>
            <w:noWrap/>
            <w:vAlign w:val="bottom"/>
          </w:tcPr>
          <w:p w:rsidR="00763BA1" w:rsidRPr="00476516" w:rsidRDefault="00763BA1" w:rsidP="003054EC">
            <w:pPr>
              <w:jc w:val="center"/>
              <w:rPr>
                <w:color w:val="000000"/>
                <w:sz w:val="16"/>
                <w:szCs w:val="16"/>
                <w:u w:val="single"/>
              </w:rPr>
            </w:pPr>
            <w:r w:rsidRPr="00476516">
              <w:rPr>
                <w:color w:val="000000"/>
                <w:sz w:val="16"/>
                <w:szCs w:val="16"/>
                <w:u w:val="single"/>
              </w:rPr>
              <w:t>2060</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bottom"/>
          </w:tcPr>
          <w:p w:rsidR="00763BA1" w:rsidRPr="00476516" w:rsidRDefault="00763BA1" w:rsidP="003054EC">
            <w:pPr>
              <w:rPr>
                <w:color w:val="000000"/>
                <w:sz w:val="16"/>
                <w:szCs w:val="16"/>
              </w:rPr>
            </w:pPr>
          </w:p>
        </w:tc>
        <w:tc>
          <w:tcPr>
            <w:tcW w:w="611" w:type="dxa"/>
            <w:shd w:val="clear" w:color="auto" w:fill="auto"/>
            <w:noWrap/>
            <w:vAlign w:val="bottom"/>
          </w:tcPr>
          <w:p w:rsidR="00763BA1" w:rsidRPr="00476516" w:rsidRDefault="00763BA1" w:rsidP="003054EC">
            <w:pPr>
              <w:jc w:val="center"/>
              <w:rPr>
                <w:color w:val="000000"/>
                <w:sz w:val="16"/>
                <w:szCs w:val="16"/>
                <w:u w:val="single"/>
              </w:rPr>
            </w:pPr>
            <w:r w:rsidRPr="00476516">
              <w:rPr>
                <w:color w:val="000000"/>
                <w:sz w:val="16"/>
                <w:szCs w:val="16"/>
                <w:u w:val="single"/>
              </w:rPr>
              <w:t>2010</w:t>
            </w:r>
          </w:p>
        </w:tc>
        <w:tc>
          <w:tcPr>
            <w:tcW w:w="599" w:type="dxa"/>
            <w:shd w:val="clear" w:color="auto" w:fill="auto"/>
            <w:noWrap/>
            <w:vAlign w:val="bottom"/>
          </w:tcPr>
          <w:p w:rsidR="00763BA1" w:rsidRPr="00476516" w:rsidRDefault="00763BA1" w:rsidP="003054EC">
            <w:pPr>
              <w:jc w:val="center"/>
              <w:rPr>
                <w:color w:val="000000"/>
                <w:sz w:val="16"/>
                <w:szCs w:val="16"/>
                <w:u w:val="single"/>
              </w:rPr>
            </w:pPr>
            <w:r w:rsidRPr="00476516">
              <w:rPr>
                <w:color w:val="000000"/>
                <w:sz w:val="16"/>
                <w:szCs w:val="16"/>
                <w:u w:val="single"/>
              </w:rPr>
              <w:t>2060</w:t>
            </w:r>
          </w:p>
        </w:tc>
        <w:tc>
          <w:tcPr>
            <w:tcW w:w="779" w:type="dxa"/>
            <w:tcBorders>
              <w:right w:val="single" w:sz="4" w:space="0" w:color="auto"/>
            </w:tcBorders>
            <w:shd w:val="clear" w:color="auto" w:fill="auto"/>
            <w:noWrap/>
            <w:vAlign w:val="bottom"/>
          </w:tcPr>
          <w:p w:rsidR="00763BA1" w:rsidRPr="00476516" w:rsidRDefault="00763BA1" w:rsidP="003054EC">
            <w:pPr>
              <w:jc w:val="center"/>
              <w:rPr>
                <w:color w:val="000000"/>
                <w:sz w:val="16"/>
                <w:szCs w:val="16"/>
                <w:u w:val="single"/>
              </w:rPr>
            </w:pPr>
            <w:r w:rsidRPr="00476516">
              <w:rPr>
                <w:color w:val="000000"/>
                <w:sz w:val="16"/>
                <w:szCs w:val="16"/>
                <w:u w:val="single"/>
              </w:rPr>
              <w:t>2060</w:t>
            </w:r>
          </w:p>
        </w:tc>
      </w:tr>
      <w:tr w:rsidR="00763BA1" w:rsidRPr="00476516">
        <w:trPr>
          <w:trHeight w:val="70"/>
        </w:trPr>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East Asia and Pacific</w:t>
            </w:r>
          </w:p>
        </w:tc>
        <w:tc>
          <w:tcPr>
            <w:tcW w:w="476"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7.1</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62.5</w:t>
            </w:r>
          </w:p>
        </w:tc>
        <w:tc>
          <w:tcPr>
            <w:tcW w:w="89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62.7</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East Asia and Pacific</w:t>
            </w:r>
          </w:p>
        </w:tc>
        <w:tc>
          <w:tcPr>
            <w:tcW w:w="61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2.9</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151.4</w:t>
            </w:r>
          </w:p>
        </w:tc>
        <w:tc>
          <w:tcPr>
            <w:tcW w:w="779" w:type="dxa"/>
            <w:tcBorders>
              <w:right w:val="single" w:sz="4" w:space="0" w:color="auto"/>
            </w:tcBorders>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151.7</w:t>
            </w:r>
          </w:p>
        </w:tc>
      </w:tr>
      <w:tr w:rsidR="00763BA1" w:rsidRPr="00476516">
        <w:trPr>
          <w:trHeight w:val="107"/>
        </w:trPr>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Europe and Central Asia</w:t>
            </w:r>
          </w:p>
        </w:tc>
        <w:tc>
          <w:tcPr>
            <w:tcW w:w="476"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9.1</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65.5</w:t>
            </w:r>
          </w:p>
        </w:tc>
        <w:tc>
          <w:tcPr>
            <w:tcW w:w="89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65.5</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Europe and Central Asia</w:t>
            </w:r>
          </w:p>
        </w:tc>
        <w:tc>
          <w:tcPr>
            <w:tcW w:w="61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31.3</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151.3</w:t>
            </w:r>
          </w:p>
        </w:tc>
        <w:tc>
          <w:tcPr>
            <w:tcW w:w="779" w:type="dxa"/>
            <w:tcBorders>
              <w:right w:val="single" w:sz="4" w:space="0" w:color="auto"/>
            </w:tcBorders>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151.6</w:t>
            </w:r>
          </w:p>
        </w:tc>
      </w:tr>
      <w:tr w:rsidR="00763BA1" w:rsidRPr="00476516">
        <w:trPr>
          <w:trHeight w:val="70"/>
        </w:trPr>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Latin America and the Caribbean</w:t>
            </w:r>
          </w:p>
        </w:tc>
        <w:tc>
          <w:tcPr>
            <w:tcW w:w="476"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6.6</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62.4</w:t>
            </w:r>
          </w:p>
        </w:tc>
        <w:tc>
          <w:tcPr>
            <w:tcW w:w="89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62.7</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Latin America and the Caribbean</w:t>
            </w:r>
          </w:p>
        </w:tc>
        <w:tc>
          <w:tcPr>
            <w:tcW w:w="61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6.4</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151.3</w:t>
            </w:r>
          </w:p>
        </w:tc>
        <w:tc>
          <w:tcPr>
            <w:tcW w:w="779" w:type="dxa"/>
            <w:tcBorders>
              <w:right w:val="single" w:sz="4" w:space="0" w:color="auto"/>
            </w:tcBorders>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151.7</w:t>
            </w:r>
          </w:p>
        </w:tc>
      </w:tr>
      <w:tr w:rsidR="00763BA1" w:rsidRPr="00476516">
        <w:trPr>
          <w:trHeight w:val="70"/>
        </w:trPr>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Middle East and North Africa</w:t>
            </w:r>
          </w:p>
        </w:tc>
        <w:tc>
          <w:tcPr>
            <w:tcW w:w="476"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1.4</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44.7</w:t>
            </w:r>
          </w:p>
        </w:tc>
        <w:tc>
          <w:tcPr>
            <w:tcW w:w="89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44.9</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Middle East and North Africa</w:t>
            </w:r>
          </w:p>
        </w:tc>
        <w:tc>
          <w:tcPr>
            <w:tcW w:w="61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2.2</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151.4</w:t>
            </w:r>
          </w:p>
        </w:tc>
        <w:tc>
          <w:tcPr>
            <w:tcW w:w="779" w:type="dxa"/>
            <w:tcBorders>
              <w:right w:val="single" w:sz="4" w:space="0" w:color="auto"/>
            </w:tcBorders>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151.7</w:t>
            </w:r>
          </w:p>
        </w:tc>
      </w:tr>
      <w:tr w:rsidR="00763BA1" w:rsidRPr="00476516">
        <w:trPr>
          <w:trHeight w:val="70"/>
        </w:trPr>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South Asia</w:t>
            </w:r>
          </w:p>
        </w:tc>
        <w:tc>
          <w:tcPr>
            <w:tcW w:w="476"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0.7</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45.8</w:t>
            </w:r>
          </w:p>
        </w:tc>
        <w:tc>
          <w:tcPr>
            <w:tcW w:w="89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46.9</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South Asia</w:t>
            </w:r>
          </w:p>
        </w:tc>
        <w:tc>
          <w:tcPr>
            <w:tcW w:w="61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0.2</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151.5</w:t>
            </w:r>
          </w:p>
        </w:tc>
        <w:tc>
          <w:tcPr>
            <w:tcW w:w="779" w:type="dxa"/>
            <w:tcBorders>
              <w:right w:val="single" w:sz="4" w:space="0" w:color="auto"/>
            </w:tcBorders>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151.7</w:t>
            </w:r>
          </w:p>
        </w:tc>
      </w:tr>
      <w:tr w:rsidR="00763BA1" w:rsidRPr="00476516">
        <w:trPr>
          <w:trHeight w:val="70"/>
        </w:trPr>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Sub-Saharan Africa</w:t>
            </w:r>
          </w:p>
        </w:tc>
        <w:tc>
          <w:tcPr>
            <w:tcW w:w="476"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0.2</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41.7</w:t>
            </w:r>
          </w:p>
        </w:tc>
        <w:tc>
          <w:tcPr>
            <w:tcW w:w="89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42.8</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Sub-Saharan Africa</w:t>
            </w:r>
          </w:p>
        </w:tc>
        <w:tc>
          <w:tcPr>
            <w:tcW w:w="61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3.2</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151.3</w:t>
            </w:r>
          </w:p>
        </w:tc>
        <w:tc>
          <w:tcPr>
            <w:tcW w:w="779" w:type="dxa"/>
            <w:tcBorders>
              <w:right w:val="single" w:sz="4" w:space="0" w:color="auto"/>
            </w:tcBorders>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151.7</w:t>
            </w:r>
          </w:p>
        </w:tc>
      </w:tr>
      <w:tr w:rsidR="00763BA1" w:rsidRPr="00476516">
        <w:trPr>
          <w:trHeight w:val="70"/>
        </w:trPr>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High-income countries</w:t>
            </w:r>
          </w:p>
        </w:tc>
        <w:tc>
          <w:tcPr>
            <w:tcW w:w="476"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26.3</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81.5</w:t>
            </w:r>
          </w:p>
        </w:tc>
        <w:tc>
          <w:tcPr>
            <w:tcW w:w="89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81.5</w:t>
            </w:r>
          </w:p>
        </w:tc>
        <w:tc>
          <w:tcPr>
            <w:tcW w:w="157" w:type="dxa"/>
            <w:tcBorders>
              <w:right w:val="single" w:sz="4" w:space="0" w:color="auto"/>
            </w:tcBorders>
            <w:shd w:val="clear" w:color="auto" w:fill="auto"/>
            <w:noWrap/>
            <w:vAlign w:val="bottom"/>
          </w:tcPr>
          <w:p w:rsidR="00763BA1" w:rsidRPr="00476516" w:rsidRDefault="00763BA1" w:rsidP="003054EC">
            <w:pPr>
              <w:rPr>
                <w:color w:val="000000"/>
                <w:sz w:val="16"/>
                <w:szCs w:val="16"/>
              </w:rPr>
            </w:pPr>
          </w:p>
        </w:tc>
        <w:tc>
          <w:tcPr>
            <w:tcW w:w="2329" w:type="dxa"/>
            <w:tcBorders>
              <w:left w:val="single" w:sz="4" w:space="0" w:color="auto"/>
            </w:tcBorders>
            <w:shd w:val="clear" w:color="auto" w:fill="auto"/>
            <w:noWrap/>
            <w:vAlign w:val="center"/>
          </w:tcPr>
          <w:p w:rsidR="00763BA1" w:rsidRPr="00476516" w:rsidRDefault="00763BA1" w:rsidP="003054EC">
            <w:pPr>
              <w:rPr>
                <w:color w:val="000000"/>
                <w:sz w:val="16"/>
                <w:szCs w:val="16"/>
              </w:rPr>
            </w:pPr>
            <w:r w:rsidRPr="00476516">
              <w:rPr>
                <w:color w:val="000000"/>
                <w:sz w:val="16"/>
                <w:szCs w:val="16"/>
              </w:rPr>
              <w:t>High-income countries</w:t>
            </w:r>
          </w:p>
        </w:tc>
        <w:tc>
          <w:tcPr>
            <w:tcW w:w="611"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56.6</w:t>
            </w:r>
          </w:p>
        </w:tc>
        <w:tc>
          <w:tcPr>
            <w:tcW w:w="599" w:type="dxa"/>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151.4</w:t>
            </w:r>
          </w:p>
        </w:tc>
        <w:tc>
          <w:tcPr>
            <w:tcW w:w="779" w:type="dxa"/>
            <w:tcBorders>
              <w:right w:val="single" w:sz="4" w:space="0" w:color="auto"/>
            </w:tcBorders>
            <w:shd w:val="clear" w:color="auto" w:fill="auto"/>
            <w:noWrap/>
            <w:vAlign w:val="bottom"/>
          </w:tcPr>
          <w:p w:rsidR="00763BA1" w:rsidRPr="00476516" w:rsidRDefault="00763BA1" w:rsidP="003054EC">
            <w:pPr>
              <w:jc w:val="center"/>
              <w:rPr>
                <w:color w:val="000000"/>
                <w:sz w:val="16"/>
                <w:szCs w:val="16"/>
              </w:rPr>
            </w:pPr>
            <w:r w:rsidRPr="00476516">
              <w:rPr>
                <w:color w:val="000000"/>
                <w:sz w:val="16"/>
                <w:szCs w:val="16"/>
              </w:rPr>
              <w:t>151.6</w:t>
            </w:r>
          </w:p>
        </w:tc>
      </w:tr>
      <w:tr w:rsidR="00763BA1" w:rsidRPr="0080005A">
        <w:trPr>
          <w:trHeight w:val="70"/>
        </w:trPr>
        <w:tc>
          <w:tcPr>
            <w:tcW w:w="2329" w:type="dxa"/>
            <w:tcBorders>
              <w:left w:val="single" w:sz="4" w:space="0" w:color="auto"/>
              <w:bottom w:val="single" w:sz="4" w:space="0" w:color="auto"/>
            </w:tcBorders>
            <w:shd w:val="clear" w:color="auto" w:fill="auto"/>
            <w:noWrap/>
            <w:vAlign w:val="center"/>
          </w:tcPr>
          <w:p w:rsidR="00763BA1" w:rsidRPr="0080005A" w:rsidRDefault="00763BA1" w:rsidP="003054EC">
            <w:pPr>
              <w:rPr>
                <w:b/>
                <w:color w:val="000000"/>
                <w:sz w:val="16"/>
                <w:szCs w:val="16"/>
              </w:rPr>
            </w:pPr>
            <w:r w:rsidRPr="0080005A">
              <w:rPr>
                <w:b/>
                <w:color w:val="000000"/>
                <w:sz w:val="16"/>
                <w:szCs w:val="16"/>
              </w:rPr>
              <w:t>World</w:t>
            </w:r>
          </w:p>
        </w:tc>
        <w:tc>
          <w:tcPr>
            <w:tcW w:w="476" w:type="dxa"/>
            <w:tcBorders>
              <w:bottom w:val="single" w:sz="4" w:space="0" w:color="auto"/>
            </w:tcBorders>
            <w:shd w:val="clear" w:color="auto" w:fill="auto"/>
            <w:noWrap/>
            <w:vAlign w:val="bottom"/>
          </w:tcPr>
          <w:p w:rsidR="00763BA1" w:rsidRPr="0080005A" w:rsidRDefault="00763BA1" w:rsidP="003054EC">
            <w:pPr>
              <w:jc w:val="center"/>
              <w:rPr>
                <w:b/>
                <w:color w:val="000000"/>
                <w:sz w:val="16"/>
                <w:szCs w:val="16"/>
              </w:rPr>
            </w:pPr>
            <w:r w:rsidRPr="0080005A">
              <w:rPr>
                <w:b/>
                <w:color w:val="000000"/>
                <w:sz w:val="16"/>
                <w:szCs w:val="16"/>
              </w:rPr>
              <w:t>7.7</w:t>
            </w:r>
          </w:p>
        </w:tc>
        <w:tc>
          <w:tcPr>
            <w:tcW w:w="599" w:type="dxa"/>
            <w:tcBorders>
              <w:bottom w:val="single" w:sz="4" w:space="0" w:color="auto"/>
            </w:tcBorders>
            <w:shd w:val="clear" w:color="auto" w:fill="auto"/>
            <w:noWrap/>
            <w:vAlign w:val="bottom"/>
          </w:tcPr>
          <w:p w:rsidR="00763BA1" w:rsidRPr="0080005A" w:rsidRDefault="00763BA1" w:rsidP="003054EC">
            <w:pPr>
              <w:jc w:val="center"/>
              <w:rPr>
                <w:b/>
                <w:color w:val="000000"/>
                <w:sz w:val="16"/>
                <w:szCs w:val="16"/>
              </w:rPr>
            </w:pPr>
            <w:r w:rsidRPr="0080005A">
              <w:rPr>
                <w:b/>
                <w:color w:val="000000"/>
                <w:sz w:val="16"/>
                <w:szCs w:val="16"/>
              </w:rPr>
              <w:t>54.9</w:t>
            </w:r>
          </w:p>
        </w:tc>
        <w:tc>
          <w:tcPr>
            <w:tcW w:w="891" w:type="dxa"/>
            <w:tcBorders>
              <w:bottom w:val="single" w:sz="4" w:space="0" w:color="auto"/>
            </w:tcBorders>
            <w:shd w:val="clear" w:color="auto" w:fill="auto"/>
            <w:noWrap/>
            <w:vAlign w:val="bottom"/>
          </w:tcPr>
          <w:p w:rsidR="00763BA1" w:rsidRPr="0080005A" w:rsidRDefault="00763BA1" w:rsidP="003054EC">
            <w:pPr>
              <w:jc w:val="center"/>
              <w:rPr>
                <w:b/>
                <w:color w:val="000000"/>
                <w:sz w:val="16"/>
                <w:szCs w:val="16"/>
              </w:rPr>
            </w:pPr>
            <w:r w:rsidRPr="0080005A">
              <w:rPr>
                <w:b/>
                <w:color w:val="000000"/>
                <w:sz w:val="16"/>
                <w:szCs w:val="16"/>
              </w:rPr>
              <w:t>55.4</w:t>
            </w:r>
          </w:p>
        </w:tc>
        <w:tc>
          <w:tcPr>
            <w:tcW w:w="157" w:type="dxa"/>
            <w:tcBorders>
              <w:bottom w:val="single" w:sz="4" w:space="0" w:color="auto"/>
              <w:right w:val="single" w:sz="4" w:space="0" w:color="auto"/>
            </w:tcBorders>
            <w:shd w:val="clear" w:color="auto" w:fill="auto"/>
            <w:noWrap/>
            <w:vAlign w:val="bottom"/>
          </w:tcPr>
          <w:p w:rsidR="00763BA1" w:rsidRPr="0080005A" w:rsidRDefault="00763BA1" w:rsidP="003054EC">
            <w:pPr>
              <w:rPr>
                <w:b/>
                <w:color w:val="000000"/>
                <w:sz w:val="16"/>
                <w:szCs w:val="16"/>
              </w:rPr>
            </w:pPr>
          </w:p>
        </w:tc>
        <w:tc>
          <w:tcPr>
            <w:tcW w:w="2329" w:type="dxa"/>
            <w:tcBorders>
              <w:left w:val="single" w:sz="4" w:space="0" w:color="auto"/>
              <w:bottom w:val="single" w:sz="4" w:space="0" w:color="auto"/>
            </w:tcBorders>
            <w:shd w:val="clear" w:color="auto" w:fill="auto"/>
            <w:noWrap/>
            <w:vAlign w:val="center"/>
          </w:tcPr>
          <w:p w:rsidR="00763BA1" w:rsidRPr="0080005A" w:rsidRDefault="00763BA1" w:rsidP="003054EC">
            <w:pPr>
              <w:rPr>
                <w:b/>
                <w:color w:val="000000"/>
                <w:sz w:val="16"/>
                <w:szCs w:val="16"/>
              </w:rPr>
            </w:pPr>
            <w:r w:rsidRPr="0080005A">
              <w:rPr>
                <w:b/>
                <w:color w:val="000000"/>
                <w:sz w:val="16"/>
                <w:szCs w:val="16"/>
              </w:rPr>
              <w:t>World</w:t>
            </w:r>
          </w:p>
        </w:tc>
        <w:tc>
          <w:tcPr>
            <w:tcW w:w="611" w:type="dxa"/>
            <w:tcBorders>
              <w:bottom w:val="single" w:sz="4" w:space="0" w:color="auto"/>
            </w:tcBorders>
            <w:shd w:val="clear" w:color="auto" w:fill="auto"/>
            <w:noWrap/>
            <w:vAlign w:val="bottom"/>
          </w:tcPr>
          <w:p w:rsidR="00763BA1" w:rsidRPr="0080005A" w:rsidRDefault="00763BA1" w:rsidP="003054EC">
            <w:pPr>
              <w:jc w:val="center"/>
              <w:rPr>
                <w:b/>
                <w:color w:val="000000"/>
                <w:sz w:val="16"/>
                <w:szCs w:val="16"/>
              </w:rPr>
            </w:pPr>
            <w:r w:rsidRPr="0080005A">
              <w:rPr>
                <w:b/>
                <w:color w:val="000000"/>
                <w:sz w:val="16"/>
                <w:szCs w:val="16"/>
              </w:rPr>
              <w:t>13.0</w:t>
            </w:r>
          </w:p>
        </w:tc>
        <w:tc>
          <w:tcPr>
            <w:tcW w:w="599" w:type="dxa"/>
            <w:tcBorders>
              <w:bottom w:val="single" w:sz="4" w:space="0" w:color="auto"/>
            </w:tcBorders>
            <w:shd w:val="clear" w:color="auto" w:fill="auto"/>
            <w:noWrap/>
            <w:vAlign w:val="bottom"/>
          </w:tcPr>
          <w:p w:rsidR="00763BA1" w:rsidRPr="0080005A" w:rsidRDefault="00763BA1" w:rsidP="003054EC">
            <w:pPr>
              <w:jc w:val="center"/>
              <w:rPr>
                <w:b/>
                <w:color w:val="000000"/>
                <w:sz w:val="16"/>
                <w:szCs w:val="16"/>
              </w:rPr>
            </w:pPr>
            <w:r w:rsidRPr="0080005A">
              <w:rPr>
                <w:b/>
                <w:color w:val="000000"/>
                <w:sz w:val="16"/>
                <w:szCs w:val="16"/>
              </w:rPr>
              <w:t>151.4</w:t>
            </w:r>
          </w:p>
        </w:tc>
        <w:tc>
          <w:tcPr>
            <w:tcW w:w="779" w:type="dxa"/>
            <w:tcBorders>
              <w:bottom w:val="single" w:sz="4" w:space="0" w:color="auto"/>
              <w:right w:val="single" w:sz="4" w:space="0" w:color="auto"/>
            </w:tcBorders>
            <w:shd w:val="clear" w:color="auto" w:fill="auto"/>
            <w:noWrap/>
            <w:vAlign w:val="bottom"/>
          </w:tcPr>
          <w:p w:rsidR="00763BA1" w:rsidRPr="0080005A" w:rsidRDefault="00763BA1" w:rsidP="003054EC">
            <w:pPr>
              <w:jc w:val="center"/>
              <w:rPr>
                <w:b/>
                <w:color w:val="000000"/>
                <w:sz w:val="16"/>
                <w:szCs w:val="16"/>
              </w:rPr>
            </w:pPr>
            <w:r w:rsidRPr="0080005A">
              <w:rPr>
                <w:b/>
                <w:color w:val="000000"/>
                <w:sz w:val="16"/>
                <w:szCs w:val="16"/>
              </w:rPr>
              <w:t>151.7</w:t>
            </w:r>
          </w:p>
        </w:tc>
      </w:tr>
      <w:tr w:rsidR="00763BA1" w:rsidRPr="00476516">
        <w:trPr>
          <w:trHeight w:val="300"/>
        </w:trPr>
        <w:tc>
          <w:tcPr>
            <w:tcW w:w="8770" w:type="dxa"/>
            <w:gridSpan w:val="9"/>
            <w:tcBorders>
              <w:top w:val="single" w:sz="4" w:space="0" w:color="auto"/>
              <w:left w:val="single" w:sz="4" w:space="0" w:color="auto"/>
              <w:bottom w:val="single" w:sz="4" w:space="0" w:color="auto"/>
              <w:right w:val="single" w:sz="4" w:space="0" w:color="auto"/>
            </w:tcBorders>
            <w:shd w:val="clear" w:color="auto" w:fill="auto"/>
            <w:noWrap/>
            <w:vAlign w:val="bottom"/>
          </w:tcPr>
          <w:p w:rsidR="00763BA1" w:rsidRPr="00476516" w:rsidRDefault="00763BA1" w:rsidP="003054EC">
            <w:pPr>
              <w:rPr>
                <w:i/>
                <w:sz w:val="16"/>
                <w:szCs w:val="16"/>
              </w:rPr>
            </w:pPr>
            <w:r w:rsidRPr="00476516">
              <w:rPr>
                <w:i/>
                <w:sz w:val="16"/>
                <w:szCs w:val="16"/>
              </w:rPr>
              <w:t>Notes: mobile phone and broadband figures are subscriptions per100 persons.</w:t>
            </w:r>
          </w:p>
          <w:p w:rsidR="00763BA1" w:rsidRPr="00476516" w:rsidRDefault="00763BA1" w:rsidP="003054EC">
            <w:pPr>
              <w:rPr>
                <w:i/>
                <w:color w:val="000000"/>
                <w:sz w:val="16"/>
                <w:szCs w:val="16"/>
              </w:rPr>
            </w:pPr>
            <w:r w:rsidRPr="00476516">
              <w:rPr>
                <w:i/>
                <w:sz w:val="16"/>
                <w:szCs w:val="16"/>
              </w:rPr>
              <w:t>Source:</w:t>
            </w:r>
            <w:r>
              <w:rPr>
                <w:i/>
                <w:sz w:val="16"/>
                <w:szCs w:val="16"/>
              </w:rPr>
              <w:t xml:space="preserve"> </w:t>
            </w:r>
            <w:r w:rsidRPr="00476516">
              <w:rPr>
                <w:i/>
                <w:sz w:val="16"/>
                <w:szCs w:val="16"/>
              </w:rPr>
              <w:t>IFs Version 6.57, 23 May 2012.</w:t>
            </w:r>
          </w:p>
        </w:tc>
      </w:tr>
    </w:tbl>
    <w:p w:rsidR="00972987" w:rsidRDefault="00972987" w:rsidP="00972987"/>
    <w:p w:rsidR="00972987" w:rsidRDefault="00972987" w:rsidP="00972987"/>
    <w:p w:rsidR="00972987" w:rsidRDefault="00972987" w:rsidP="00972987">
      <w:r>
        <w:t>For low-income countries, and even middle-income ones, progress in recent decades has often been subject to fits and starts, reflecting the inherent challenges of infrastructure provision: high up-front costs, long time-frames required for new construction, and the important roles that sometimes poorly functioning governments play in infrastructure’s development. In addition, there have been uneven efforts to increase private participation in infrastructure development and, in some countries (such as Iraq and Haiti) conflict and natural disasters have taken a severe toll on infrastructure. Many of these factors also, of course, affect high-income countries, but the greater challenges for them tend to be maintenance and keeping up with new technological developments, rather than catch-up.</w:t>
      </w:r>
    </w:p>
    <w:p w:rsidR="00972987" w:rsidRDefault="00972987" w:rsidP="00972987"/>
    <w:p w:rsidR="00972987" w:rsidRDefault="00972987" w:rsidP="00972987">
      <w:r>
        <w:t>By 2060, great progress is likely around the worlds. Looking forward with our base case forecasts (also in Table 7.1), if historical patterns of infrastructure development prevail (and recognizing that those patterns, as discussed above, may well not prevail), developing countries will continue to see their infrastructure networks improve substantially. With the exception of sub-Saharan Africa, most developing regions will have access rates to improved water and electricity at levels that approach or exceed those in the High-income countries today. Access to improved sanitation will lag somewhat, but it will approach 90 percent globally and even higher in all regions other than South Asia and sub-Saharan Africa, which start from very low levels of access. Finally, for reasons discussed in early chapters on the rapidly rising marginal costs of rural access to all-season roads (especially above levels of 80-90 percent), rural access to all-season roads will increase, but not grow much beyond 80 percent in a number of regions. At the same time, however, the overall road network will grow substantially in all regions.</w:t>
      </w:r>
    </w:p>
    <w:p w:rsidR="00972987" w:rsidRDefault="00972987" w:rsidP="00972987"/>
    <w:p w:rsidR="00972987" w:rsidRDefault="00972987" w:rsidP="00972987">
      <w:r>
        <w:t>Most dramatically, progress in ICT is an incredible success story already, and we expect mobile phone subscription rates (and, with smart phones and new generations of technology, also mobile broadband rates) to be all but universal well before 2060. Overall, the IFs base case is quite an optimistic scenario, which includes positive or virtuous feedbacks across infrastructure advance and broader human development.</w:t>
      </w:r>
      <w:r w:rsidRPr="000F3670">
        <w:rPr>
          <w:rStyle w:val="FootnoteReference"/>
        </w:rPr>
        <w:footnoteReference w:id="104"/>
      </w:r>
    </w:p>
    <w:p w:rsidR="00972987" w:rsidRDefault="00972987" w:rsidP="00972987"/>
    <w:p w:rsidR="00972987" w:rsidRDefault="00972987" w:rsidP="00972987">
      <w:r>
        <w:t>Yet large gaps and shortfalls will remain relative to universal access. Especially when we take into account global population growth, there will still be a great many people without even the most basic of modern infrastructure. Even by 2060 a total of 1.2 trillion million humans may still not have improved sanitation and 400 million could well lack access even to an improved water source, in both cases approximately half as many as today (in a significantly larger global population). In 2060 these are likely to be even more concentrated in sub-Saharan than they are today, with the continent being home to 533 million without improved sanitation and 311 million without improved access to sources of water. Moreover, the pace of improvement will not likely be enough for many countries to meet the goals put forth in the literature, even when, as with the water and sanitation goals of the MDG set, those call for reduction by half of those without access, rather than for universal access.</w:t>
      </w:r>
    </w:p>
    <w:p w:rsidR="00972987" w:rsidRDefault="00972987" w:rsidP="00972987"/>
    <w:p w:rsidR="00972987" w:rsidRDefault="00972987" w:rsidP="00972987">
      <w:r>
        <w:t>Interestingly, even for countries that fall short of such goals, it may not appear in cursory analysis that the problem will be generating adequate financial resources. As a general rule, both low-income and middle-income governments spend a significantly higher percentage of their GDPs on infrastructure than do those with high incomes, approximately four times as high a percentage rate (about 4 percent compared to a bit less than 1 percent).</w:t>
      </w:r>
      <w:r w:rsidRPr="000F3670">
        <w:rPr>
          <w:rStyle w:val="FootnoteReference"/>
        </w:rPr>
        <w:footnoteReference w:id="105"/>
      </w:r>
      <w:r>
        <w:t xml:space="preserve"> And while low- and lower-middle-income countries in particular are likely to maintain or even increase that rate over the next two decades in the near future as ICT networks are built out and they try to close the gaps in some other forms of infrastructure, our general expectation is for decreasing percentages to go towards infrastructure across middle-income countries as a whole in the coming decades and even in low-income ones well before mid-century. </w:t>
      </w:r>
    </w:p>
    <w:p w:rsidR="00972987" w:rsidRDefault="00972987" w:rsidP="00972987"/>
    <w:p w:rsidR="00972987" w:rsidRDefault="00972987" w:rsidP="00972987">
      <w:r>
        <w:t>We should not, however, interpret this likely decline in share of GDP going to infrastructure to mean that these countries could relatively easily direct more funding towards infrastructure and fairly easily push towards universal access rates. Across this volume series on Patterns of Potential Human Progress we have seen that other categories of spending, notably education and health, tend to take higher percentages of GDP as countries raise income levels, so that there is competition of those categories with infrastructure.</w:t>
      </w:r>
    </w:p>
    <w:p w:rsidR="00972987" w:rsidRDefault="00972987" w:rsidP="00972987"/>
    <w:p w:rsidR="00972987" w:rsidRDefault="00972987" w:rsidP="00972987">
      <w:r>
        <w:t>Looking beyond the base case scenario to a much more aggressive Universal Targets scenario (detailed in Box 5.1), most, but not all, regions can achieve such infrastructure targets by 2060, if not necessarily by the target date of 2030 (Table 7.1).</w:t>
      </w:r>
      <w:r w:rsidRPr="000F3670">
        <w:rPr>
          <w:rStyle w:val="FootnoteReference"/>
        </w:rPr>
        <w:footnoteReference w:id="106"/>
      </w:r>
      <w:r>
        <w:t xml:space="preserve"> Of the 24 countries that do not achieve the targeted rates of access by this time, all but 5 are in sub-Saharan Africa.</w:t>
      </w:r>
    </w:p>
    <w:p w:rsidR="00972987" w:rsidRDefault="00972987" w:rsidP="00972987"/>
    <w:p w:rsidR="00972987" w:rsidRDefault="00972987" w:rsidP="00972987">
      <w:r>
        <w:t>To reach the targets, however, would require diverting funding from other important public expenditures. For those countries furthest from the targets, any long-term economic (i.e., increased GDP growth relative to the base case) and social (i.e., increased HDI growth over the base case) benefits will only come after significant periods of decreases in both of these metrics compared to the base case. The payback horizon can be decades, and for some countries extends even beyond our time horizon of 2060.</w:t>
      </w:r>
    </w:p>
    <w:p w:rsidR="00972987" w:rsidRDefault="00972987" w:rsidP="00972987"/>
    <w:p w:rsidR="00972987" w:rsidRDefault="00972987" w:rsidP="00972987">
      <w:r>
        <w:t>Such focus on infrastructure, as defined by the universal targets, is probably therefore neither politically acceptable nor desirable in a significant number of countries unless they were to receive substantial outside assistance. Unfortunately, the level of assistance required is such that ODA would need to more than quadruple over the period 2010-2030 compared to the base case, or FDI would need to increase by around 25 percent over the same period.</w:t>
      </w:r>
      <w:r w:rsidRPr="000F3670">
        <w:rPr>
          <w:rStyle w:val="FootnoteReference"/>
        </w:rPr>
        <w:footnoteReference w:id="107"/>
      </w:r>
      <w:r>
        <w:t xml:space="preserve"> </w:t>
      </w:r>
    </w:p>
    <w:p w:rsidR="00972987" w:rsidRDefault="00972987" w:rsidP="00972987"/>
    <w:p w:rsidR="00972987" w:rsidRDefault="00972987" w:rsidP="00972987">
      <w:r>
        <w:t>This suggests the need for a different set of infrastructure targets that would be feasible to achieve without such large costs. We explored a set of what we hoped were still aggressive but more reasonable targets by delaying the target date, prioritizing specific types of infrastructure, and adjusting the target levels in a way that takes into account the very different starting points of countries across levels of development and even at similar ones.</w:t>
      </w:r>
    </w:p>
    <w:p w:rsidR="00972987" w:rsidRDefault="00972987" w:rsidP="00972987"/>
    <w:p w:rsidR="00972987" w:rsidRDefault="00972987" w:rsidP="00972987">
      <w:pPr>
        <w:pStyle w:val="BodyText"/>
        <w:spacing w:before="0" w:after="0"/>
        <w:jc w:val="left"/>
      </w:pPr>
      <w:r>
        <w:t>We found that some acceleration of infrastructure development beyond that seen in the base case is warranted in almost all countries. However, the optimal rate and focus of this acceleration differs across countries. Because of the relatively low costs and immediate health benefits, increasing access to improved water and sanitation stands out as a possible primary area of focus in a large number of countries, particularly in sub-Saharan Africa</w:t>
      </w:r>
    </w:p>
    <w:p w:rsidR="00972987" w:rsidRDefault="00972987" w:rsidP="00972987">
      <w:pPr>
        <w:pStyle w:val="BodyText"/>
        <w:spacing w:before="0" w:after="0"/>
        <w:jc w:val="left"/>
      </w:pPr>
    </w:p>
    <w:p w:rsidR="00972987" w:rsidRDefault="00972987" w:rsidP="00972987">
      <w:pPr>
        <w:pStyle w:val="BodyText"/>
        <w:spacing w:before="0" w:after="0"/>
        <w:jc w:val="left"/>
      </w:pPr>
      <w:r>
        <w:t>At the same time, we caution the reader that our analysis was designed to explore the broad patterns of infrastructure development in the future and not to provide specific recommendations for individual countries. Furthermore, in many parts of the model, we have used common assumptions across countries, e.g., on the unit costs of construction, which almost certainly do not hold in the real world. Therefore, these results would be best used to provide guidance for more detailed analysis prior to making specific recommendations on infrastructure development for a particular country or region.</w:t>
      </w:r>
    </w:p>
    <w:p w:rsidR="00972987" w:rsidRPr="005A1C71" w:rsidRDefault="00972987" w:rsidP="00972987">
      <w:pPr>
        <w:pStyle w:val="BodyText"/>
        <w:spacing w:before="0" w:after="0"/>
        <w:jc w:val="left"/>
        <w:rPr>
          <w:i/>
        </w:rPr>
      </w:pPr>
    </w:p>
    <w:p w:rsidR="00972987" w:rsidRDefault="00972987" w:rsidP="00763BA1">
      <w:pPr>
        <w:pStyle w:val="Heading2"/>
        <w:numPr>
          <w:ilvl w:val="0"/>
          <w:numId w:val="0"/>
        </w:numPr>
        <w:ind w:left="360" w:hanging="360"/>
      </w:pPr>
      <w:bookmarkStart w:id="220" w:name="_Toc199927624"/>
      <w:bookmarkStart w:id="221" w:name="_Toc200095343"/>
      <w:r>
        <w:t>7.3 The Future of Infrastructure Forecasting</w:t>
      </w:r>
      <w:bookmarkEnd w:id="220"/>
      <w:bookmarkEnd w:id="221"/>
      <w:r>
        <w:t xml:space="preserve"> </w:t>
      </w:r>
    </w:p>
    <w:p w:rsidR="00763BA1" w:rsidRDefault="00972987" w:rsidP="00763BA1">
      <w:pPr>
        <w:pStyle w:val="BodyText"/>
        <w:spacing w:before="0" w:after="0"/>
        <w:jc w:val="left"/>
      </w:pPr>
      <w:r>
        <w:t>We recognize many limitations of our analysis in this volume. The data are scattered and very difficult to obtain and reconcile across time, geography, and infrastructure types. This is true on the financial side (costs and expenditures) even more than on the physical side. That has exacerbated the difficulties for other analysts and for us, not just in forecasting of infrastructure, but even more in estimating the impacts that infrastructure development has on economic growth and other variables. We have treated fewer of those "forward linkages" than we would have liked. In particular, although we recognize the impacts that infrastructure has on the environment, we have not explored the implications that alternative infrastructure development patterns might have for the critical movement of humanity towards sustainability in the twenty-first century.</w:t>
      </w:r>
    </w:p>
    <w:p w:rsidR="00763BA1" w:rsidRDefault="00763BA1" w:rsidP="00763BA1">
      <w:pPr>
        <w:pStyle w:val="BodyText"/>
        <w:spacing w:before="0" w:after="0"/>
        <w:jc w:val="left"/>
      </w:pPr>
    </w:p>
    <w:p w:rsidR="00972987" w:rsidRDefault="00972987" w:rsidP="00763BA1">
      <w:pPr>
        <w:pStyle w:val="BodyText"/>
        <w:spacing w:before="0" w:after="0"/>
        <w:jc w:val="left"/>
      </w:pPr>
      <w:r>
        <w:t>We have also had to focus on a subset of infrastructure categories, notably setting aside attention to transportation categories such as rail, water, and air. Even more unfortunate, we have not been able to devote any attention to inter-country and global infrastructure linkages, an omission of great significance in continental areas such as Africa and even Latin America.</w:t>
      </w:r>
    </w:p>
    <w:p w:rsidR="00763BA1" w:rsidRDefault="00972987" w:rsidP="00763BA1">
      <w:pPr>
        <w:pStyle w:val="BodyText"/>
        <w:spacing w:before="0" w:after="0"/>
        <w:jc w:val="left"/>
      </w:pPr>
      <w:r>
        <w:t xml:space="preserve">It has, of course, also not been possible to consider possible infrastructure technologies of the future not yet known to any of us. More disconcerting, however, is our omission of attention to the full range of impacts that ICT is likely to have on all other infrastructure forms (not just smart electric grid systems, but smart transportation systems and at least somewhat smarter water and sanitation systems). </w:t>
      </w:r>
    </w:p>
    <w:p w:rsidR="00763BA1" w:rsidRDefault="00763BA1" w:rsidP="00763BA1">
      <w:pPr>
        <w:pStyle w:val="BodyText"/>
        <w:spacing w:before="0" w:after="0"/>
        <w:jc w:val="left"/>
      </w:pPr>
    </w:p>
    <w:p w:rsidR="00972987" w:rsidRDefault="00972987" w:rsidP="00763BA1">
      <w:pPr>
        <w:pStyle w:val="BodyText"/>
        <w:spacing w:before="0" w:after="0"/>
        <w:jc w:val="left"/>
      </w:pPr>
      <w:r>
        <w:t>Our first chapter noted also the fact that knowledge systems of countries, including education systems (perhaps especially at the tertiary level) and R&amp;D systems and government support for them are also a form of infrastructure, somewhat "softer" than the traditional physical forms, but also involving many physical (e.g., universities, research institutes, and trained personnel) as well as softer institutional and cultural components.  One could well argue that knowledge systems, in interaction with ICT, are the key transformative elements of infrastructure development over the next 50 years. In fact, we have begun within IFs to develop forecasting around knowledge systems, and we wish to develop and use this more fully in future analysis.</w:t>
      </w:r>
    </w:p>
    <w:p w:rsidR="00763BA1" w:rsidRDefault="00763BA1" w:rsidP="00763BA1"/>
    <w:p w:rsidR="009C0B88" w:rsidRDefault="00972987" w:rsidP="00763BA1">
      <w:r>
        <w:t>In spite of inevitable limitations, we would not have undertaken such a daunting task as this analysis had we not believed both that it is very important to consider the long-term future of infrastructure globally and that it is possible to provide some insights into possibilities concerning it and the implications of alternative infrastructure futures for broader human well-being. Our hopes are that we have built solid foundations for much future work—that even when we have erred, we will have provided some guidance for those who might do it better; and that, when we have generated insights, they will mostly hold up in the face of the future work of understanding and thereby advancing the collective enterprise of building global infrastructure.</w:t>
      </w:r>
    </w:p>
    <w:p w:rsidR="009C0B88" w:rsidRDefault="009C0B88" w:rsidP="006B1499"/>
    <w:p w:rsidR="009C0B88" w:rsidRDefault="009C0B88" w:rsidP="006B1499"/>
    <w:p w:rsidR="009C0B88" w:rsidRDefault="009C0B88" w:rsidP="006B1499"/>
    <w:p w:rsidR="009C0B88" w:rsidRDefault="009C0B88" w:rsidP="006B1499"/>
    <w:p w:rsidR="009C0B88" w:rsidRDefault="009C0B88" w:rsidP="006B1499"/>
    <w:p w:rsidR="009C0B88" w:rsidRDefault="009C0B88"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972987" w:rsidRDefault="00972987" w:rsidP="006B1499"/>
    <w:p w:rsidR="005269D7" w:rsidRDefault="005269D7" w:rsidP="005269D7">
      <w:pPr>
        <w:pStyle w:val="Heading1"/>
        <w:numPr>
          <w:ilvl w:val="0"/>
          <w:numId w:val="0"/>
        </w:numPr>
        <w:jc w:val="left"/>
      </w:pPr>
      <w:bookmarkStart w:id="222" w:name="_Toc200095344"/>
      <w:r>
        <w:t>References</w:t>
      </w:r>
      <w:bookmarkEnd w:id="222"/>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Adam, Christopher S., and David L. Bevan. 2006. “Aid and the Supply Side: Public Investment, Export Performance, and Dutch Disease in Low-Income Countries.” </w:t>
      </w:r>
      <w:r w:rsidRPr="005269D7">
        <w:rPr>
          <w:rFonts w:cs="Helvetica"/>
          <w:i/>
          <w:iCs/>
          <w:szCs w:val="24"/>
        </w:rPr>
        <w:t>The World Bank Economic Review</w:t>
      </w:r>
      <w:r w:rsidRPr="005269D7">
        <w:rPr>
          <w:rFonts w:cs="Helvetica"/>
          <w:szCs w:val="24"/>
        </w:rPr>
        <w:t xml:space="preserve"> 20(2): 261 –290. doi:10.1093/wber/lhj011.</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Agénor, Pierre-Richard, Mustapha Kamel Nabli, and Tarik M. Yousef. 2007. “Public Infrastructure and Private Investment in the Middle East and North Africa.” In Mustapha Kamel Nabli, ed.,. </w:t>
      </w:r>
      <w:r w:rsidRPr="005269D7">
        <w:rPr>
          <w:rFonts w:cs="Helvetica"/>
          <w:i/>
          <w:iCs/>
          <w:szCs w:val="24"/>
        </w:rPr>
        <w:t>Breaking the Barriers to Higher Economic Growth: Better Governance and Deeper Reforms in the Middle East and North Africa</w:t>
      </w:r>
      <w:r w:rsidRPr="005269D7">
        <w:rPr>
          <w:rFonts w:cs="Helvetica"/>
          <w:szCs w:val="24"/>
        </w:rPr>
        <w:t>. Washington, DC: World Bank Publications, 399–422.</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Agostinho, A. A., F. M. Pelicice, and L. C. Gomes. 2008. “Dams and the Fish Fauna of the Neotropical Region: Impacts and Management Related to Diversity and Fisheries.” </w:t>
      </w:r>
      <w:r w:rsidRPr="005269D7">
        <w:rPr>
          <w:rFonts w:cs="Helvetica"/>
          <w:i/>
          <w:iCs/>
          <w:szCs w:val="24"/>
        </w:rPr>
        <w:t>Brazilian Journal of Biology</w:t>
      </w:r>
      <w:r w:rsidRPr="005269D7">
        <w:rPr>
          <w:rFonts w:cs="Helvetica"/>
          <w:szCs w:val="24"/>
        </w:rPr>
        <w:t xml:space="preserve"> 68(4): 1119–1132.</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Aicher, Peter J. 1995. </w:t>
      </w:r>
      <w:r w:rsidRPr="005269D7">
        <w:rPr>
          <w:rFonts w:cs="Helvetica"/>
          <w:i/>
          <w:iCs/>
          <w:szCs w:val="24"/>
        </w:rPr>
        <w:t>Guide to the Aqueducts of Ancient Rome</w:t>
      </w:r>
      <w:r w:rsidRPr="005269D7">
        <w:rPr>
          <w:rFonts w:cs="Helvetica"/>
          <w:szCs w:val="24"/>
        </w:rPr>
        <w:t>. Wauconda, IL: Bolchazy-Carducci Publishers.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Aker, Jenny. 2010. “Dial ‘A’ for Agriculture: Using Information and Communication Technologies for Agricultural Extension in Developing countries.” Paper delivered at the Conference Agriculture for Development-Revisited,,. Berkeley, CA: University of California at Berkeley, October 2010.</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Alkemade, Rob, Mark Oorschot, Lera Miles, Christian Nellemann, Michel Bakkenes, and Ben ten Brink. 2009. “GLOBIO3: A Framework to Investigate Options for Reducing Global Terrestrial Biodiversity Loss.” </w:t>
      </w:r>
      <w:r w:rsidRPr="005269D7">
        <w:rPr>
          <w:rFonts w:cs="Helvetica"/>
          <w:i/>
          <w:iCs/>
          <w:szCs w:val="24"/>
        </w:rPr>
        <w:t>Ecosystems</w:t>
      </w:r>
      <w:r w:rsidRPr="005269D7">
        <w:rPr>
          <w:rFonts w:cs="Helvetica"/>
          <w:szCs w:val="24"/>
        </w:rPr>
        <w:t xml:space="preserve"> 12(3): 374–390. doi:10.1007/s10021-009-9229-5.</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American Society of Civil Engineers. 2009. </w:t>
      </w:r>
      <w:r w:rsidRPr="005269D7">
        <w:rPr>
          <w:rFonts w:cs="Helvetica"/>
          <w:i/>
          <w:iCs/>
          <w:szCs w:val="24"/>
        </w:rPr>
        <w:t>2009 Report Card for America’s Infrastructure</w:t>
      </w:r>
      <w:r w:rsidRPr="005269D7">
        <w:rPr>
          <w:rFonts w:cs="Helvetica"/>
          <w:szCs w:val="24"/>
        </w:rPr>
        <w:t>. Reston, VA: American Society of Civil Engineers.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Amin, S. Massoud, and Bruce F. Wollenberg. 2005. “Toward a Smart Grid: Power Delivery for the 21st Century.” </w:t>
      </w:r>
      <w:r w:rsidRPr="005269D7">
        <w:rPr>
          <w:rFonts w:cs="Helvetica"/>
          <w:i/>
          <w:iCs/>
          <w:szCs w:val="24"/>
        </w:rPr>
        <w:t>IEEE Power and Energy Magazine</w:t>
      </w:r>
      <w:r w:rsidRPr="005269D7">
        <w:rPr>
          <w:rFonts w:cs="Helvetica"/>
          <w:szCs w:val="24"/>
        </w:rPr>
        <w:t xml:space="preserve"> 3(5): 34–41. doi:10.1109/MPAE.2005.1507024.</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Anderson, G. William, and Charles G. Vandervoort. 1982. </w:t>
      </w:r>
      <w:r w:rsidRPr="005269D7">
        <w:rPr>
          <w:rFonts w:cs="Helvetica"/>
          <w:i/>
          <w:iCs/>
          <w:szCs w:val="24"/>
        </w:rPr>
        <w:t>Rural Roads Evaluation Summary Report</w:t>
      </w:r>
      <w:r w:rsidRPr="005269D7">
        <w:rPr>
          <w:rFonts w:cs="Helvetica"/>
          <w:szCs w:val="24"/>
        </w:rPr>
        <w:t>. AID Program Evaluation Report No. 5. Washngton, DC: US Agency for International Development. http://pdf.usaid.gov/pdf_docs/PNAAJ607.pdf.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Aschauer, David Alan. 1989. “Is Public Expenditure Productive?” </w:t>
      </w:r>
      <w:r w:rsidRPr="005269D7">
        <w:rPr>
          <w:rFonts w:cs="Helvetica"/>
          <w:i/>
          <w:iCs/>
          <w:szCs w:val="24"/>
        </w:rPr>
        <w:t>Journal of Monetary Economics</w:t>
      </w:r>
      <w:r w:rsidRPr="005269D7">
        <w:rPr>
          <w:rFonts w:cs="Helvetica"/>
          <w:szCs w:val="24"/>
        </w:rPr>
        <w:t xml:space="preserve"> 23(2): 177–200. doi:10.1016/0304-3932(89)90047-0.</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Ascher, William, and Corinne Krupp. 2010. “Rethinking Physical Infrastructure Development.” In William Ascher and Corinne Krupp, eds.,. </w:t>
      </w:r>
      <w:r w:rsidRPr="005269D7">
        <w:rPr>
          <w:rFonts w:cs="Helvetica"/>
          <w:i/>
          <w:iCs/>
          <w:szCs w:val="24"/>
        </w:rPr>
        <w:t>Physical Infrastructure Development: Balancing The Growth, Equity, and Environmental Imperatives</w:t>
      </w:r>
      <w:r w:rsidRPr="005269D7">
        <w:rPr>
          <w:rFonts w:cs="Helvetica"/>
          <w:szCs w:val="24"/>
        </w:rPr>
        <w:t>. New York, NY: Palgrave Macmillan, 1–33.</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Ashley, Richard, and Adrian Cashman. 2006. “The Impacts of Change on the Long-term Future Demand for Water Sector Infrastructure.” In Organisation for Economic Cooperation and Development (OECD), ed.,. </w:t>
      </w:r>
      <w:r w:rsidRPr="005269D7">
        <w:rPr>
          <w:rFonts w:cs="Helvetica"/>
          <w:i/>
          <w:iCs/>
          <w:szCs w:val="24"/>
        </w:rPr>
        <w:t>Infrastructure to 2030 Volume 1: Telecom, Land Transport, Water and Electricity</w:t>
      </w:r>
      <w:r w:rsidRPr="005269D7">
        <w:rPr>
          <w:rFonts w:cs="Helvetica"/>
          <w:szCs w:val="24"/>
        </w:rPr>
        <w:t>. Infrastructure to 2030. Paris: Organisation for Economic Cooperation and Development (OECD), 241–349.</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Asian Development Bank (ADB), Japan Bank for International Cooperation (JBIC), and World Bank. 2005. </w:t>
      </w:r>
      <w:r w:rsidRPr="005269D7">
        <w:rPr>
          <w:rFonts w:cs="Helvetica"/>
          <w:i/>
          <w:iCs/>
          <w:szCs w:val="24"/>
        </w:rPr>
        <w:t>Connecting East Asia: A New Framework for Infrastructure</w:t>
      </w:r>
      <w:r w:rsidRPr="005269D7">
        <w:rPr>
          <w:rFonts w:cs="Helvetica"/>
          <w:szCs w:val="24"/>
        </w:rPr>
        <w:t>. Tokyo: Asian Development Bank (ADB), Japan Bank for International Cooperation (JBIC), and World Bank. http://www.seopan.es/ficheros/9defbabf831fa1508b888051396e55e3.pdf.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Asian Development Bank Institute. 2009. “Demand for Infrastructure Financing in Asia 2010-2010”. ADBI Internal Report (prepared by Centennial Group Holdings, LLC). ADBI, Tokyo.</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Ayres, Robert U., and Benjamin Warr. 2009. </w:t>
      </w:r>
      <w:r w:rsidRPr="005269D7">
        <w:rPr>
          <w:rFonts w:cs="Helvetica"/>
          <w:i/>
          <w:iCs/>
          <w:szCs w:val="24"/>
        </w:rPr>
        <w:t>The Economic Growth Engine: How Energy and Work Drive Material Prosperity</w:t>
      </w:r>
      <w:r w:rsidRPr="005269D7">
        <w:rPr>
          <w:rFonts w:cs="Helvetica"/>
          <w:szCs w:val="24"/>
        </w:rPr>
        <w:t>. Cheltenham, UK and Northampton, MA: Edward Elgar Publishing.</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Backus, Michiel. 2001. </w:t>
      </w:r>
      <w:r w:rsidRPr="005269D7">
        <w:rPr>
          <w:rFonts w:cs="Helvetica"/>
          <w:i/>
          <w:iCs/>
          <w:szCs w:val="24"/>
        </w:rPr>
        <w:t>E-Governance and Developing Countries: Introduction and Examples</w:t>
      </w:r>
      <w:r w:rsidRPr="005269D7">
        <w:rPr>
          <w:rFonts w:cs="Helvetica"/>
          <w:szCs w:val="24"/>
        </w:rPr>
        <w:t>. Research report no. 3. The Hague: International Institute for Communication and Development. http://www.iicd.org/about/publications/egovernance-and-developing-countries-introduction-and-examples/report3.pdf.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Banerjee, Sudeshna, Amadou Diallo, Vivien Foster, and Quentin Wodon. 2009. “Trends in Household Coverage of Modern Infrastructure Services in Africa”. Policy Research Working Paper no. 4880. World Bank, Washington, DC.</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Banerjee, Sudeshna, Quentin Wodon, Amadou Diallo, Taras Pushak, Helal Uddin, Clarence Tsimpo, and Vivien Foster. 2008. “Access, Affordability, and Alternatives: Modern Infrastructure Services in Africa”. Africa Infrastructure Country Diagnostic Background Paper no. 2. World Bank, Africa Infrastructure Country Diagnostic, Washington, DC. http://infrastructureafrica.afdb.org/system/files/.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Barro, R., and X. Sala-i-Martin. 1999. </w:t>
      </w:r>
      <w:r w:rsidRPr="005269D7">
        <w:rPr>
          <w:rFonts w:cs="Helvetica"/>
          <w:i/>
          <w:iCs/>
          <w:szCs w:val="24"/>
        </w:rPr>
        <w:t>Economic Growth</w:t>
      </w:r>
      <w:r w:rsidRPr="005269D7">
        <w:rPr>
          <w:rFonts w:cs="Helvetica"/>
          <w:szCs w:val="24"/>
        </w:rPr>
        <w:t>. Cambridge, MA: MIT Press.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Benítez-López, Ana, Rob Alkemade, and Pita A. Verweij. 2010. “The Impacts of Roads and Other Infrastructure on Mammal and Bird Populations: A Meta-Analysis.” </w:t>
      </w:r>
      <w:r w:rsidRPr="005269D7">
        <w:rPr>
          <w:rFonts w:cs="Helvetica"/>
          <w:i/>
          <w:iCs/>
          <w:szCs w:val="24"/>
        </w:rPr>
        <w:t>Biological Conservation</w:t>
      </w:r>
      <w:r w:rsidRPr="005269D7">
        <w:rPr>
          <w:rFonts w:cs="Helvetica"/>
          <w:szCs w:val="24"/>
        </w:rPr>
        <w:t xml:space="preserve"> 143(6): 1307–1316. doi:10.1016/j.biocon.2010.02.009.</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Bhattacharyay, Biswa Nath. 2010. “Estimating Demand for Infrastructure in Energy, Transport, Telecommunications, Water and Sanitation in Asia and the Pacific: 2010-2020”. Working Paper no. 248. Asian Development Bank Institute, Tokyo. http://www.adbi.org/working-paper/2010/09/09/4062.infrastructure.demand.asia.pacific/.</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Blake, Eric S., Edward N. Rappaport, Christopher W. Landsea, and NHC Miami. 2007. </w:t>
      </w:r>
      <w:r w:rsidRPr="005269D7">
        <w:rPr>
          <w:rFonts w:cs="Helvetica"/>
          <w:i/>
          <w:iCs/>
          <w:szCs w:val="24"/>
        </w:rPr>
        <w:t>The Deadliest, Costliest, and Most Intense United States Tropical Cyclones from 1851 to 2006 (and Other Frequently Requested Hurricane Facts)</w:t>
      </w:r>
      <w:r w:rsidRPr="005269D7">
        <w:rPr>
          <w:rFonts w:cs="Helvetica"/>
          <w:szCs w:val="24"/>
        </w:rPr>
        <w:t>. NOAA Technical Memorandum NWS TPC-5. Miami, FL: NOAA/National Weather Service, National Centers for Environmental Prediction, National Hurricane Center.</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Bohlin, Erik, Simon Forge, and Colin Blackman. 2006. “Telecoms Infrastructure to 2030.” In Organisation for Economic Cooperation and Development (OECD), ed.,. </w:t>
      </w:r>
      <w:r w:rsidRPr="005269D7">
        <w:rPr>
          <w:rFonts w:cs="Helvetica"/>
          <w:i/>
          <w:iCs/>
          <w:szCs w:val="24"/>
        </w:rPr>
        <w:t>Infrastructure to 2030 Volume 1: Telecom, Land Transport, Water and Electricity</w:t>
      </w:r>
      <w:r w:rsidRPr="005269D7">
        <w:rPr>
          <w:rFonts w:cs="Helvetica"/>
          <w:szCs w:val="24"/>
        </w:rPr>
        <w:t>. Infrastructure to 2030. Paris: Organisation for Economic Cooperation and Development (OECD), 51–147.</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Brenneman, Adam, and Michel Kerf. 2002. </w:t>
      </w:r>
      <w:r w:rsidRPr="005269D7">
        <w:rPr>
          <w:rFonts w:cs="Helvetica"/>
          <w:i/>
          <w:iCs/>
          <w:szCs w:val="24"/>
        </w:rPr>
        <w:t>Infrastructure and Poverty Linkages: A Literature Review</w:t>
      </w:r>
      <w:r w:rsidRPr="005269D7">
        <w:rPr>
          <w:rFonts w:cs="Helvetica"/>
          <w:szCs w:val="24"/>
        </w:rPr>
        <w:t>. Background Report. Washington, DC: International Labor Organization. http://www.ilo.int/wcmsp5/groups/public/---ed_emp/---emp_policy/---invest/documents/publication/wcms_asist_8281.pdf.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Briceño-Garmendia, Cecilia, Antonio Estache, and Nemat Shafik. 2004. “Infrastructure Services in Developing Countries: Access, Quality, Costs and Policy Reform”. Policy Research Working Paper no. 3468. World Bank, Washington, DC. http://www-wds.worldbank.org/servlet/WDSContentServer/WDSP/IB/2005/02/08/000009486_20050208104927/Rendered/PDF/wps3468.pdf.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Briceño-Garmendia, Cecilia, Karlis Smits, and Vivien Foster. 2008. “Financing Public Infrastructure in Sub-Saharan Africa: Patterns and Emerging Issues”. Africa Infrastructure Country Diagnostic Background Paper no. 15. The World Bank, Africa Infrastructure Country Diagnostic, Washington DC. http://infrastructureafrica.afdb.org/system/files/BP15_Fiscal_costs_maintxt_new.pdf.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Brown, Cynthia Stokes. 2008. </w:t>
      </w:r>
      <w:r w:rsidRPr="005269D7">
        <w:rPr>
          <w:rFonts w:cs="Helvetica"/>
          <w:i/>
          <w:iCs/>
          <w:szCs w:val="24"/>
        </w:rPr>
        <w:t>Big History: From the Big Bang to the Present</w:t>
      </w:r>
      <w:r w:rsidRPr="005269D7">
        <w:rPr>
          <w:rFonts w:cs="Helvetica"/>
          <w:szCs w:val="24"/>
        </w:rPr>
        <w:t>. New Press, The, September 1.</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Bruinsma, Jelle. 2011. “The Resources Outlook: By How Much Do Land, Water and Crop Yields Need to Increase by 2050?” In Piero Conforti, ed.,. </w:t>
      </w:r>
      <w:r w:rsidRPr="005269D7">
        <w:rPr>
          <w:rFonts w:cs="Helvetica"/>
          <w:i/>
          <w:iCs/>
          <w:szCs w:val="24"/>
        </w:rPr>
        <w:t>Looking Ahead in World Food and Agriculture: Perspectives to 2050</w:t>
      </w:r>
      <w:r w:rsidRPr="005269D7">
        <w:rPr>
          <w:rFonts w:cs="Helvetica"/>
          <w:szCs w:val="24"/>
        </w:rPr>
        <w:t>. Rome: Food and Agriculture Organization of the United Nations (FAO), 233–275. http://www.fao.org/docrep/014/i2280e/i2280e.pdf.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Buntin, Melinda Beeuwkes, Matthew F. Burke, Michael C. Hoaglin, and David Blumenthal. 2011. “The Benefits Of Health Information Technology: A Review Of The Recent Literature Shows Predominantly Positive Results.” </w:t>
      </w:r>
      <w:r w:rsidRPr="005269D7">
        <w:rPr>
          <w:rFonts w:cs="Helvetica"/>
          <w:i/>
          <w:iCs/>
          <w:szCs w:val="24"/>
        </w:rPr>
        <w:t>Health Affairs</w:t>
      </w:r>
      <w:r w:rsidRPr="005269D7">
        <w:rPr>
          <w:rFonts w:cs="Helvetica"/>
          <w:szCs w:val="24"/>
        </w:rPr>
        <w:t xml:space="preserve"> 30(3): 464–471. doi:10.1377/hlthaff.2011.0178.</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Burrows, Gideon, Jules Acton, and Tamsin Maunder. 2004. </w:t>
      </w:r>
      <w:r w:rsidRPr="005269D7">
        <w:rPr>
          <w:rFonts w:cs="Helvetica"/>
          <w:i/>
          <w:iCs/>
          <w:szCs w:val="24"/>
        </w:rPr>
        <w:t>Water and Sanitation: The Education Drain</w:t>
      </w:r>
      <w:r w:rsidRPr="005269D7">
        <w:rPr>
          <w:rFonts w:cs="Helvetica"/>
          <w:szCs w:val="24"/>
        </w:rPr>
        <w:t>. London: WaterAid. http://www.wateraid.org/documents/education20report.pdf.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Calderón, César. 2008. “Infrastructure and Growth in Africa”. Working Paper no. 3. The World Bank, Africa Infrastructure Country Diagnostic, Washington, DC. http://infrastructureafrica.afdb.org/system/files/BP15_Fiscal_costs_maintxt_new.pdf.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Calderón, Cesar, and Alberto Chong. 2004. “Volume and Quality of Infrastructure and the Distribution of Income: An Empirical Investigation.” </w:t>
      </w:r>
      <w:r w:rsidRPr="005269D7">
        <w:rPr>
          <w:rFonts w:cs="Helvetica"/>
          <w:i/>
          <w:iCs/>
          <w:szCs w:val="24"/>
        </w:rPr>
        <w:t>Review of Income and Wealth</w:t>
      </w:r>
      <w:r w:rsidRPr="005269D7">
        <w:rPr>
          <w:rFonts w:cs="Helvetica"/>
          <w:szCs w:val="24"/>
        </w:rPr>
        <w:t xml:space="preserve"> 50(1): 87–106. doi:10.1111/j.0034-6586.2004.00113.x.</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Calderón, César, Enrique Moral-Benito, and Luis Servén. 2011. “Is Infrastructure Capital Productive? A Dynamic Heterogeneous Approach”. Policy Research Working Paper no. 5682. World Bank, Washington, DC.</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Calderón, César, R. Odawara, and Luis Servén. 2012. “Infrastructure Investment in Developing Countries: A Quarter-Century Retrospective”. Mimeo. World Bank, Washington, DC.</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Calderón, César, and Luis Servén. 2003. “The Output Cost of Latin America’s Infrastructure Gap.” In William Easterly and Luis Servén, eds.,. </w:t>
      </w:r>
      <w:r w:rsidRPr="005269D7">
        <w:rPr>
          <w:rFonts w:cs="Helvetica"/>
          <w:i/>
          <w:iCs/>
          <w:szCs w:val="24"/>
        </w:rPr>
        <w:t>The Limits of Stabilization: Infrastructure, Public Deficits, and Growth in Latin America</w:t>
      </w:r>
      <w:r w:rsidRPr="005269D7">
        <w:rPr>
          <w:rFonts w:cs="Helvetica"/>
          <w:szCs w:val="24"/>
        </w:rPr>
        <w:t>. Palo Alto, CA and Washington, DC: Stanford University Press and World Bank, 95–117.</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2004a. “The Effects of Infrastructure Development on Growth and Income Distribution”. World Bank Policy Research Working Paper. Report Number 3400, World Bank, Washington, DC.</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 2004b. </w:t>
      </w:r>
      <w:r w:rsidRPr="005269D7">
        <w:rPr>
          <w:rFonts w:cs="Helvetica"/>
          <w:i/>
          <w:iCs/>
          <w:szCs w:val="24"/>
        </w:rPr>
        <w:t>Trends in Infrastructure in Latin America, 1980-2001</w:t>
      </w:r>
      <w:r w:rsidRPr="005269D7">
        <w:rPr>
          <w:rFonts w:cs="Helvetica"/>
          <w:szCs w:val="24"/>
        </w:rPr>
        <w:t>. Washington, DC: World Bank.</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 2010a. “Infrastructure and Economic Development in Sub-Saharan Africa.” </w:t>
      </w:r>
      <w:r w:rsidRPr="005269D7">
        <w:rPr>
          <w:rFonts w:cs="Helvetica"/>
          <w:i/>
          <w:iCs/>
          <w:szCs w:val="24"/>
        </w:rPr>
        <w:t>Journal of African Economies</w:t>
      </w:r>
      <w:r w:rsidRPr="005269D7">
        <w:rPr>
          <w:rFonts w:cs="Helvetica"/>
          <w:szCs w:val="24"/>
        </w:rPr>
        <w:t xml:space="preserve"> 19(Supplement 1): i13–i87. doi:10.1093/jae/ejp022.</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2010b. “Infrastructure in Latin America”. World Bank Policy Research Working Paper. Report Number 5317. World Bank, Washington, DC.</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Campos, J. Edgardo, and Sanjay Pradhan. 2007. </w:t>
      </w:r>
      <w:r w:rsidRPr="005269D7">
        <w:rPr>
          <w:rFonts w:cs="Helvetica"/>
          <w:i/>
          <w:iCs/>
          <w:szCs w:val="24"/>
        </w:rPr>
        <w:t>The Many Faces of Corruption: Tracking Vulnerabilities at the Sector Level</w:t>
      </w:r>
      <w:r w:rsidRPr="005269D7">
        <w:rPr>
          <w:rFonts w:cs="Helvetica"/>
          <w:szCs w:val="24"/>
        </w:rPr>
        <w:t>. Washington, DC: World Bank.</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Canning, David. 1998. “A Database of World Stocks of Infrastructure, 1950-1995.” </w:t>
      </w:r>
      <w:r w:rsidRPr="005269D7">
        <w:rPr>
          <w:rFonts w:cs="Helvetica"/>
          <w:i/>
          <w:iCs/>
          <w:szCs w:val="24"/>
        </w:rPr>
        <w:t>The World Bank Economic Review</w:t>
      </w:r>
      <w:r w:rsidRPr="005269D7">
        <w:rPr>
          <w:rFonts w:cs="Helvetica"/>
          <w:szCs w:val="24"/>
        </w:rPr>
        <w:t xml:space="preserve"> 12(3): 529–548.</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Canning, David, and Mansour Farahani. 2007. “A Database of World Stocks of Infrastructure: Update 1950-2005”. Harvard School of Public Health, Boston, MA. http://www.hsph.harvard.edu/faculty/david-canning/data-sets/.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Casson, Lionel. 1994. </w:t>
      </w:r>
      <w:r w:rsidRPr="005269D7">
        <w:rPr>
          <w:rFonts w:cs="Helvetica"/>
          <w:i/>
          <w:iCs/>
          <w:szCs w:val="24"/>
        </w:rPr>
        <w:t>Travel in the Ancient World</w:t>
      </w:r>
      <w:r w:rsidRPr="005269D7">
        <w:rPr>
          <w:rFonts w:cs="Helvetica"/>
          <w:szCs w:val="24"/>
        </w:rPr>
        <w:t>. Baltimore, MD: Johns Hopkins University Press.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Cavallo, Eduardo Alfredo, and Christian Daude. 2008. “Public Investment in Developing Countries: A Blessing or a Curse?” RES Working Paper #4597. Inter-American Development Bank (IADB) - Research Department, OECD, Washington, DC.</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Chatterton, Isabe, and Olga S. Puerto. 2006. </w:t>
      </w:r>
      <w:r w:rsidRPr="005269D7">
        <w:rPr>
          <w:rFonts w:cs="Helvetica"/>
          <w:i/>
          <w:iCs/>
          <w:szCs w:val="24"/>
        </w:rPr>
        <w:t>Estimation of Infrastructure Investment Needs in the South Asia Region: Executive Summary</w:t>
      </w:r>
      <w:r w:rsidRPr="005269D7">
        <w:rPr>
          <w:rFonts w:cs="Helvetica"/>
          <w:szCs w:val="24"/>
        </w:rPr>
        <w:t>. Washington, DC: World Bank. http://0-siteresources.worldbank.org.bianca.penlib.du.edu/INTSARREGTOPTRANSPORT/Resources/Inf_Investment_Needs_IC_version4.pdf.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Chaudhry, Basit, Jerome Wang, Shinyi Wu, Margaret Maglione, Walter Mojica, Elizabeth Roth, Sally C. Morton, and Paul G. Shekelle. 2006. “Systematic Review: Impact of Health Information Technology on Quality, Efficiency, and Costs of Medical Care.” </w:t>
      </w:r>
      <w:r w:rsidRPr="005269D7">
        <w:rPr>
          <w:rFonts w:cs="Helvetica"/>
          <w:i/>
          <w:iCs/>
          <w:szCs w:val="24"/>
        </w:rPr>
        <w:t>Annals of Internal Medicine</w:t>
      </w:r>
      <w:r w:rsidRPr="005269D7">
        <w:rPr>
          <w:rFonts w:cs="Helvetica"/>
          <w:szCs w:val="24"/>
        </w:rPr>
        <w:t xml:space="preserve"> 144(10): E12–E22.</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Christian, David. 2004. </w:t>
      </w:r>
      <w:r w:rsidRPr="005269D7">
        <w:rPr>
          <w:rFonts w:cs="Helvetica"/>
          <w:i/>
          <w:iCs/>
          <w:szCs w:val="24"/>
        </w:rPr>
        <w:t>Maps of Time: An Introduction to Big History</w:t>
      </w:r>
      <w:r w:rsidRPr="005269D7">
        <w:rPr>
          <w:rFonts w:cs="Helvetica"/>
          <w:szCs w:val="24"/>
        </w:rPr>
        <w:t>. Berkeley, CA: University of California Press.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Chupka, Mark W., Robert Earle, Peter Fox-Penner, and Ryan Hledik. 2008. “Transforming America’s Power Industry: The Investment Challenge 2010-2030”. The Brattle Group, Washington, DC. http://www.eei.org/ourissues/finance/Documents/Transforming_Americas_Power_Industry.pdf.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Cilliers, Jakkie, Barry B. Hughes, and Jonathan D. Moyer. 2011. </w:t>
      </w:r>
      <w:r w:rsidRPr="005269D7">
        <w:rPr>
          <w:rFonts w:cs="Helvetica"/>
          <w:i/>
          <w:iCs/>
          <w:szCs w:val="24"/>
        </w:rPr>
        <w:t>African Futures 2050</w:t>
      </w:r>
      <w:r w:rsidRPr="005269D7">
        <w:rPr>
          <w:rFonts w:cs="Helvetica"/>
          <w:szCs w:val="24"/>
        </w:rPr>
        <w:t>. Pretoria, South Africa and Denver, Colorado: Institute for Security Studies and Frederick S. Pardee Center for International Futures.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Cofala, Janusz, Peter Rafaj, Wolfgang Schöpp, Zbigniew Klimont, Jens Borken-Kleefeld, and Markus Amann. 2010. “Emissions of Air Pollutants for the World Energy Outlook 2010 Energy Scenarios”. Final Report Submitted to the International Energy Agency. International Institute for Applied Systems Analysis, Laxenburg, Austria.</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Commission on Growth and Development. 2008. </w:t>
      </w:r>
      <w:r w:rsidRPr="005269D7">
        <w:rPr>
          <w:rFonts w:cs="Helvetica"/>
          <w:i/>
          <w:iCs/>
          <w:szCs w:val="24"/>
        </w:rPr>
        <w:t>The Growth Report: Strategies for Sustained Growth and Inclusive Development</w:t>
      </w:r>
      <w:r w:rsidRPr="005269D7">
        <w:rPr>
          <w:rFonts w:cs="Helvetica"/>
          <w:szCs w:val="24"/>
        </w:rPr>
        <w:t>. Washington, DC: World Bank.</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Congressional Budget Office. 2008. “Evidence on the Costs and Benefits of Health Information Technology”. Congressional Budget Office, Washington, DC. http://www.cbo.gov/ftpdocs/91xx/doc9168/05-20-HealthIT.pdf.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 2010. </w:t>
      </w:r>
      <w:r w:rsidRPr="005269D7">
        <w:rPr>
          <w:rFonts w:cs="Helvetica"/>
          <w:i/>
          <w:iCs/>
          <w:szCs w:val="24"/>
        </w:rPr>
        <w:t>Public Spending on Transportation and Water Infrastructure</w:t>
      </w:r>
      <w:r w:rsidRPr="005269D7">
        <w:rPr>
          <w:rFonts w:cs="Helvetica"/>
          <w:szCs w:val="24"/>
        </w:rPr>
        <w:t>. Washington, DC: Congressional Budget Office. http://www.cbo.gov/ftpdocs/119xx/doc11940/11-17-Infrastructure.pdf.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Corporación Andina de Fomento. 2009. </w:t>
      </w:r>
      <w:r w:rsidRPr="005269D7">
        <w:rPr>
          <w:rFonts w:cs="Helvetica"/>
          <w:i/>
          <w:iCs/>
          <w:szCs w:val="24"/>
        </w:rPr>
        <w:t>Caminos Para El Futuro: Gestión De La Infraestructura En América Latina</w:t>
      </w:r>
      <w:r w:rsidRPr="005269D7">
        <w:rPr>
          <w:rFonts w:cs="Helvetica"/>
          <w:szCs w:val="24"/>
        </w:rPr>
        <w:t>. Caracas, Venezuela: Corporación Andina de Fomento.</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Council for Scientific and Industrial Research. 2010. “Appropriate Sanitation Infrastructure at Schools Improves Access to Education.” </w:t>
      </w:r>
      <w:r w:rsidRPr="005269D7">
        <w:rPr>
          <w:rFonts w:cs="Helvetica"/>
          <w:i/>
          <w:iCs/>
          <w:szCs w:val="24"/>
        </w:rPr>
        <w:t>ScienceScope</w:t>
      </w:r>
      <w:r w:rsidRPr="005269D7">
        <w:rPr>
          <w:rFonts w:cs="Helvetica"/>
          <w:szCs w:val="24"/>
        </w:rPr>
        <w:t>(September): 40–41.</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Craig, John, and Victor Patterson. 2005. “Introduction to the practice of telemedicine.” </w:t>
      </w:r>
      <w:r w:rsidRPr="005269D7">
        <w:rPr>
          <w:rFonts w:cs="Helvetica"/>
          <w:i/>
          <w:iCs/>
          <w:szCs w:val="24"/>
        </w:rPr>
        <w:t>Journal of Telemedicine and Telecare</w:t>
      </w:r>
      <w:r w:rsidRPr="005269D7">
        <w:rPr>
          <w:rFonts w:cs="Helvetica"/>
          <w:szCs w:val="24"/>
        </w:rPr>
        <w:t xml:space="preserve"> 11(1): 3–9. doi:10.1258/1357633053430494.</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Cullenward, Danny, and David G. Victor. 2006. “The Dam Debate and Its Discontents.” </w:t>
      </w:r>
      <w:r w:rsidRPr="005269D7">
        <w:rPr>
          <w:rFonts w:cs="Helvetica"/>
          <w:i/>
          <w:iCs/>
          <w:szCs w:val="24"/>
        </w:rPr>
        <w:t>Climatic Change</w:t>
      </w:r>
      <w:r w:rsidRPr="005269D7">
        <w:rPr>
          <w:rFonts w:cs="Helvetica"/>
          <w:szCs w:val="24"/>
        </w:rPr>
        <w:t xml:space="preserve"> 75(1-2): 81–86. doi:10.1007/s10584-006-9085-7.</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Daga, Vikash, Nimal Manuel, and Laxman Narasimhan. 2010. “Riding Asia’s Digital Tiger.” </w:t>
      </w:r>
      <w:r w:rsidRPr="005269D7">
        <w:rPr>
          <w:rFonts w:cs="Helvetica"/>
          <w:i/>
          <w:iCs/>
          <w:szCs w:val="24"/>
        </w:rPr>
        <w:t>McKinsey Quarterly</w:t>
      </w:r>
      <w:r w:rsidRPr="005269D7">
        <w:rPr>
          <w:rFonts w:cs="Helvetica"/>
          <w:szCs w:val="24"/>
        </w:rPr>
        <w:t>(September).</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Dash, Ranjan Ku, and Pravakar Sahoo. 2010. “Economic Growth in India: The Role of Physical and Social Infrastructure.” </w:t>
      </w:r>
      <w:r w:rsidRPr="005269D7">
        <w:rPr>
          <w:rFonts w:cs="Helvetica"/>
          <w:i/>
          <w:iCs/>
          <w:szCs w:val="24"/>
        </w:rPr>
        <w:t>Journal of Economic Policy Reform</w:t>
      </w:r>
      <w:r w:rsidRPr="005269D7">
        <w:rPr>
          <w:rFonts w:cs="Helvetica"/>
          <w:szCs w:val="24"/>
        </w:rPr>
        <w:t xml:space="preserve"> 13(4): 373–385. doi:10.1080/17487870.2010.523980.</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Delleur, Jacques W. 2003. “The Evolution of Urban Hydrology: Past, Present, and Future.” </w:t>
      </w:r>
      <w:r w:rsidRPr="005269D7">
        <w:rPr>
          <w:rFonts w:cs="Helvetica"/>
          <w:i/>
          <w:iCs/>
          <w:szCs w:val="24"/>
        </w:rPr>
        <w:t>Journal of Hydraulic Engineering</w:t>
      </w:r>
      <w:r w:rsidRPr="005269D7">
        <w:rPr>
          <w:rFonts w:cs="Helvetica"/>
          <w:szCs w:val="24"/>
        </w:rPr>
        <w:t xml:space="preserve"> 129(8) (August 1): 563–573. doi:10.1061/(ASCE)0733-9429(2003)129:8(563).</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Department for International Development (DFID). 2002. </w:t>
      </w:r>
      <w:r w:rsidRPr="005269D7">
        <w:rPr>
          <w:rFonts w:cs="Helvetica"/>
          <w:i/>
          <w:iCs/>
          <w:szCs w:val="24"/>
        </w:rPr>
        <w:t>Making Connections: Infrastructure for Poverty Reduction</w:t>
      </w:r>
      <w:r w:rsidRPr="005269D7">
        <w:rPr>
          <w:rFonts w:cs="Helvetica"/>
          <w:szCs w:val="24"/>
        </w:rPr>
        <w:t>. London: Department for International Development (DFID).</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Derry, Thomas Kingston, and Trevor Illtyd Williams. 1960. </w:t>
      </w:r>
      <w:r w:rsidRPr="005269D7">
        <w:rPr>
          <w:rFonts w:cs="Helvetica"/>
          <w:i/>
          <w:iCs/>
          <w:szCs w:val="24"/>
        </w:rPr>
        <w:t>A Short History of Technology: From the Earliest Times to A.D. 1900</w:t>
      </w:r>
      <w:r w:rsidRPr="005269D7">
        <w:rPr>
          <w:rFonts w:cs="Helvetica"/>
          <w:szCs w:val="24"/>
        </w:rPr>
        <w:t>. Courier Dover Publications.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Desai, Manish A., Sumi Mehta, and Kirk R. Smith. 2004. </w:t>
      </w:r>
      <w:r w:rsidRPr="005269D7">
        <w:rPr>
          <w:rFonts w:cs="Helvetica"/>
          <w:i/>
          <w:iCs/>
          <w:szCs w:val="24"/>
        </w:rPr>
        <w:t>Indoor Smoke from Solid Fuels: Assessing the Environmental Burden of Disease at National and Local Levels</w:t>
      </w:r>
      <w:r w:rsidRPr="005269D7">
        <w:rPr>
          <w:rFonts w:cs="Helvetica"/>
          <w:szCs w:val="24"/>
        </w:rPr>
        <w:t>. Environmental Burden of Disease Series, No. 4. Geneva: World Health Organization (WHO).</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Devnarain, Bhanumathi, and Carmel R. Matthias. 2011. “Poor Access to Water and Sanitation: Consequences for Girls at a Rural School.” </w:t>
      </w:r>
      <w:r w:rsidRPr="005269D7">
        <w:rPr>
          <w:rFonts w:cs="Helvetica"/>
          <w:i/>
          <w:iCs/>
          <w:szCs w:val="24"/>
        </w:rPr>
        <w:t>Agenda</w:t>
      </w:r>
      <w:r w:rsidRPr="005269D7">
        <w:rPr>
          <w:rFonts w:cs="Helvetica"/>
          <w:szCs w:val="24"/>
        </w:rPr>
        <w:t xml:space="preserve"> 25(2): 27–34.</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Dickson, Janet R., Barry B. Hughes, and Mohammod T. Irfan. 2010. </w:t>
      </w:r>
      <w:r w:rsidRPr="005269D7">
        <w:rPr>
          <w:rFonts w:cs="Helvetica"/>
          <w:i/>
          <w:iCs/>
          <w:szCs w:val="24"/>
        </w:rPr>
        <w:t>Advancing Global Education</w:t>
      </w:r>
      <w:r w:rsidRPr="005269D7">
        <w:rPr>
          <w:rFonts w:cs="Helvetica"/>
          <w:szCs w:val="24"/>
        </w:rPr>
        <w:t>. Vol. 2 of the Patterns of Potential Human Progress series. Boulder, CO, and New Delhi, India: Paradigm Publishers and Oxford University Press.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Dinkelman, Taryn. 2011. “The Effects of Rural Electrification on Employment: New Evidence from South Africa.” </w:t>
      </w:r>
      <w:r w:rsidRPr="005269D7">
        <w:rPr>
          <w:rFonts w:cs="Helvetica"/>
          <w:i/>
          <w:iCs/>
          <w:szCs w:val="24"/>
        </w:rPr>
        <w:t>The American Economic Review</w:t>
      </w:r>
      <w:r w:rsidRPr="005269D7">
        <w:rPr>
          <w:rFonts w:cs="Helvetica"/>
          <w:szCs w:val="24"/>
        </w:rPr>
        <w:t xml:space="preserve"> 101(7): 3078–3108.</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Döll, P., K. Fiedler, and J. Zhang. 2009. “Global-Scale Analysis of River Flow Alterations Due to Water Withdrawals and Reservoirs.” </w:t>
      </w:r>
      <w:r w:rsidRPr="005269D7">
        <w:rPr>
          <w:rFonts w:cs="Helvetica"/>
          <w:i/>
          <w:iCs/>
          <w:szCs w:val="24"/>
        </w:rPr>
        <w:t>Hydrology and Earth Systems Science</w:t>
      </w:r>
      <w:r w:rsidRPr="005269D7">
        <w:rPr>
          <w:rFonts w:cs="Helvetica"/>
          <w:szCs w:val="24"/>
        </w:rPr>
        <w:t xml:space="preserve"> 13(12): 2413–2432.</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Doshi, Viren, Gary Schulman, and Daniel Gabaldon. 2007. “Lights! Water! Motion!” </w:t>
      </w:r>
      <w:r w:rsidRPr="005269D7">
        <w:rPr>
          <w:rFonts w:cs="Helvetica"/>
          <w:i/>
          <w:iCs/>
          <w:szCs w:val="24"/>
        </w:rPr>
        <w:t>Strategy+Business</w:t>
      </w:r>
      <w:r w:rsidRPr="005269D7">
        <w:rPr>
          <w:rFonts w:cs="Helvetica"/>
          <w:szCs w:val="24"/>
        </w:rPr>
        <w:t xml:space="preserve"> 46: 1–16.</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Doyle, Martin W., and David G. Havlick. 2009. “Infrastructure and the Environment.” </w:t>
      </w:r>
      <w:r w:rsidRPr="005269D7">
        <w:rPr>
          <w:rFonts w:cs="Helvetica"/>
          <w:i/>
          <w:iCs/>
          <w:szCs w:val="24"/>
        </w:rPr>
        <w:t>Annual Review of Environment and Resources</w:t>
      </w:r>
      <w:r w:rsidRPr="005269D7">
        <w:rPr>
          <w:rFonts w:cs="Helvetica"/>
          <w:szCs w:val="24"/>
        </w:rPr>
        <w:t xml:space="preserve"> 34(1): 349–373. doi:10.1146/annurev.environ.022108.180216.</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Easterly, William, and Sergio Rebelo. 1993. “Fiscal Policy and Economic Growth.” </w:t>
      </w:r>
      <w:r w:rsidRPr="005269D7">
        <w:rPr>
          <w:rFonts w:cs="Helvetica"/>
          <w:i/>
          <w:iCs/>
          <w:szCs w:val="24"/>
        </w:rPr>
        <w:t>Journal of Monetary Economics</w:t>
      </w:r>
      <w:r w:rsidRPr="005269D7">
        <w:rPr>
          <w:rFonts w:cs="Helvetica"/>
          <w:szCs w:val="24"/>
        </w:rPr>
        <w:t xml:space="preserve"> 32(3): 417–458. doi:16/0304-3932(93)90025-B.</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Eltahir, Elfatih A. B., and Guiling Wang. 1999. “Nilometers, El Nino, and Climate Variability.” </w:t>
      </w:r>
      <w:r w:rsidRPr="005269D7">
        <w:rPr>
          <w:rFonts w:cs="Helvetica"/>
          <w:i/>
          <w:iCs/>
          <w:szCs w:val="24"/>
        </w:rPr>
        <w:t>Geophysical Research Letters</w:t>
      </w:r>
      <w:r w:rsidRPr="005269D7">
        <w:rPr>
          <w:rFonts w:cs="Helvetica"/>
          <w:szCs w:val="24"/>
        </w:rPr>
        <w:t xml:space="preserve"> 26(4): 489–492. doi:10.1029/1999GL900013.</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Escribano, Alvaro, J. Luis Guasch, and Jorge Pena. 2010. “Assessing the Impact of Infrastructure Quality on Firm Productivity in Africa: Cross-Country Comparisons Based on Investment Climate Surveys from 1999 to 2005”. Policy Research Working Paper no. 5191. World Bank, Washington, DC.</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Estache, Antonio. 2005. “What Do We Know About Sub-Saharan Africa’s Infrastructure and the Impact of Its 1990s Reforms?” World Bank, Washington  D.C. http://www.energytoolbox.org/library/infra2007/references/infrastructure_reform/What_Do_We_Know_about_Sub-Saharan_Africas_Infrastructure+the_Impact_of_its_1990s_Reforms.pdf.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 2010. “Infrastructure Finance in Developing Countries: An Overview.” </w:t>
      </w:r>
      <w:r w:rsidRPr="005269D7">
        <w:rPr>
          <w:rFonts w:cs="Helvetica"/>
          <w:i/>
          <w:iCs/>
          <w:szCs w:val="24"/>
        </w:rPr>
        <w:t>EIB Papers</w:t>
      </w:r>
      <w:r w:rsidRPr="005269D7">
        <w:rPr>
          <w:rFonts w:cs="Helvetica"/>
          <w:szCs w:val="24"/>
        </w:rPr>
        <w:t xml:space="preserve"> 15(2): 60–88.</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Estache, Antonio, and Marianne Fay. 2010. “Current Debates on Infrastructure Policy.” In Michael Spence and Danny Leipziger, eds.,. </w:t>
      </w:r>
      <w:r w:rsidRPr="005269D7">
        <w:rPr>
          <w:rFonts w:cs="Helvetica"/>
          <w:i/>
          <w:iCs/>
          <w:szCs w:val="24"/>
        </w:rPr>
        <w:t>Globalization and Growth Implications for a Post-Crisis World</w:t>
      </w:r>
      <w:r w:rsidRPr="005269D7">
        <w:rPr>
          <w:rFonts w:cs="Helvetica"/>
          <w:szCs w:val="24"/>
        </w:rPr>
        <w:t>. Washington, DC: World Bank, 151–193.</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Estache, Antonio, Vivien Foster, and Quentin Wodon. 2002. </w:t>
      </w:r>
      <w:r w:rsidRPr="005269D7">
        <w:rPr>
          <w:rFonts w:cs="Helvetica"/>
          <w:i/>
          <w:iCs/>
          <w:szCs w:val="24"/>
        </w:rPr>
        <w:t>Accounting for Poverty in Infrastructure Reform: Learning from Latin America’s Experience</w:t>
      </w:r>
      <w:r w:rsidRPr="005269D7">
        <w:rPr>
          <w:rFonts w:cs="Helvetica"/>
          <w:szCs w:val="24"/>
        </w:rPr>
        <w:t>. Washington, DC: World Bank Publications.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Estache, Antonio, and Ana Goicoechea. 2005. “A Research Database on Infrastructure Economic Performance”. Policy Research Working Paper no. 3643. World Bank, Washington, DC. http://www-wds.worldbank.org/servlet/WDSContentServer/WDSP/IB/2005/06/16/000016406_20050616100502/Rendered/PDF/wps3643.pdf.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European Commission. 2010. </w:t>
      </w:r>
      <w:r w:rsidRPr="005269D7">
        <w:rPr>
          <w:rFonts w:cs="Helvetica"/>
          <w:i/>
          <w:iCs/>
          <w:szCs w:val="24"/>
        </w:rPr>
        <w:t>European Digital Competitiveness Report 2010</w:t>
      </w:r>
      <w:r w:rsidRPr="005269D7">
        <w:rPr>
          <w:rFonts w:cs="Helvetica"/>
          <w:szCs w:val="24"/>
        </w:rPr>
        <w:t>. Luxembourg: Publications Office of the European Union: European Commission. http://ec.europa.eu/information_society/digital-agenda/publications/index_en.htm.</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Ezzati, Majid, Alan D. Lopez, Anthony Rodgers, and Christopher J. L. Murray, eds. 2004. </w:t>
      </w:r>
      <w:r w:rsidRPr="005269D7">
        <w:rPr>
          <w:rFonts w:cs="Helvetica"/>
          <w:i/>
          <w:iCs/>
          <w:szCs w:val="24"/>
        </w:rPr>
        <w:t>Comparative Quantification of Health Risks: Global and Regional Burden of Disease Attributable to Selected Major Risk Factors</w:t>
      </w:r>
      <w:r w:rsidRPr="005269D7">
        <w:rPr>
          <w:rFonts w:cs="Helvetica"/>
          <w:szCs w:val="24"/>
        </w:rPr>
        <w:t>. Geneva, Switzerland: World Health Organization (WHO).</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Fahlbusch, H. 2009. “Early Dams.” </w:t>
      </w:r>
      <w:r w:rsidRPr="005269D7">
        <w:rPr>
          <w:rFonts w:cs="Helvetica"/>
          <w:i/>
          <w:iCs/>
          <w:szCs w:val="24"/>
        </w:rPr>
        <w:t>Proceedings of the ICE - Engineering History and Heritage</w:t>
      </w:r>
      <w:r w:rsidRPr="005269D7">
        <w:rPr>
          <w:rFonts w:cs="Helvetica"/>
          <w:szCs w:val="24"/>
        </w:rPr>
        <w:t xml:space="preserve"> 162(1): 13–18. doi:10.1680/ehah.2009.162.1.13.</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Fahrig, Lenore, and Trina Rytwinski. 2009. “Effects of Roads on Animal Abundance: An Empirical Review and Synthesis.” </w:t>
      </w:r>
      <w:r w:rsidRPr="005269D7">
        <w:rPr>
          <w:rFonts w:cs="Helvetica"/>
          <w:i/>
          <w:iCs/>
          <w:szCs w:val="24"/>
        </w:rPr>
        <w:t>Ecology and Society</w:t>
      </w:r>
      <w:r w:rsidRPr="005269D7">
        <w:rPr>
          <w:rFonts w:cs="Helvetica"/>
          <w:szCs w:val="24"/>
        </w:rPr>
        <w:t xml:space="preserve"> 14(1): 21.</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Fairbairn, Andrew. 2005. “A history of agricultural production at Neolithic Çatalhöyük East, Turkey.” </w:t>
      </w:r>
      <w:r w:rsidRPr="005269D7">
        <w:rPr>
          <w:rFonts w:cs="Helvetica"/>
          <w:i/>
          <w:iCs/>
          <w:szCs w:val="24"/>
        </w:rPr>
        <w:t>World Archaeology</w:t>
      </w:r>
      <w:r w:rsidRPr="005269D7">
        <w:rPr>
          <w:rFonts w:cs="Helvetica"/>
          <w:szCs w:val="24"/>
        </w:rPr>
        <w:t xml:space="preserve"> 37(2): 197–210. doi:10.1080/00438240500094762.</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Fan, Shenggen, Peter Hazell, and Sukhadeo Thorat. 2000. “Government Spending, Growth and Poverty in Rural India.” </w:t>
      </w:r>
      <w:r w:rsidRPr="005269D7">
        <w:rPr>
          <w:rFonts w:cs="Helvetica"/>
          <w:i/>
          <w:iCs/>
          <w:szCs w:val="24"/>
        </w:rPr>
        <w:t>American Journal of Agricultural Economics</w:t>
      </w:r>
      <w:r w:rsidRPr="005269D7">
        <w:rPr>
          <w:rFonts w:cs="Helvetica"/>
          <w:szCs w:val="24"/>
        </w:rPr>
        <w:t xml:space="preserve"> 82(4): 1038–1051.</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Fay, Marianne. 2001. “Financing the Future: Infrastructure Needs in Latin America, 2000-05”. Policy Research Working Paper no. 2545. World Bank, Washington, DC. http://elibrary.worldbank.org/docserver/download/2545.pdf?expires=1311613909&amp;id=id&amp;accname=guest&amp;checksum=ACB78371906738C5C8D3387D4EEAA8ED.</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Fay, Marianne, Danny Leipziger, Quentin Wodon, and Tito Yepes. 2005. “Achieving Child-Health-Related Millennium Development Goals: The Role of Infrastructure.” </w:t>
      </w:r>
      <w:r w:rsidRPr="005269D7">
        <w:rPr>
          <w:rFonts w:cs="Helvetica"/>
          <w:i/>
          <w:iCs/>
          <w:szCs w:val="24"/>
        </w:rPr>
        <w:t>World Development</w:t>
      </w:r>
      <w:r w:rsidRPr="005269D7">
        <w:rPr>
          <w:rFonts w:cs="Helvetica"/>
          <w:szCs w:val="24"/>
        </w:rPr>
        <w:t xml:space="preserve"> 33(8): 1267–1284.</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Fay, Marianne, and Mary Morrison. 2007. </w:t>
      </w:r>
      <w:r w:rsidRPr="005269D7">
        <w:rPr>
          <w:rFonts w:cs="Helvetica"/>
          <w:i/>
          <w:iCs/>
          <w:szCs w:val="24"/>
        </w:rPr>
        <w:t>Infrastructure in Latin America and the Caribbean: Recent Developments and Key Challenges</w:t>
      </w:r>
      <w:r w:rsidRPr="005269D7">
        <w:rPr>
          <w:rFonts w:cs="Helvetica"/>
          <w:szCs w:val="24"/>
        </w:rPr>
        <w:t>. Directions in Development Infrastructure. Washington, DC: World Bank.</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Fay, Marianne, and Tito Yepes. 2003. “Investing in Infrastructure: What Is Needed from 2000 to 2010?” Policy Research Working Paper no. 3102. World Bank, Washington, DC. RePEc. http://ideas.repec.org/p/wbk/wbrwps/3102.html.</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Félio, Guy. 2011. Project to Develop an Infrastructure Report Card for Canada presented at the AM-BC Workshop: The Changing Culture of Asset Management, January 24, Vancouver, Canada. http://www.civicinfo.bc.ca/Library/Asset_Management/Presentations/Changing_Culture_of_Asset_Management/Canadian_Infrastructure_Report_Card_Progress--Canadian_Infrastructure--January_24_2011.pdf.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Fernald, John G. 1999. “Roads to Prosperity? Assessing the Link Between Public Capital and Productivity.” </w:t>
      </w:r>
      <w:r w:rsidRPr="005269D7">
        <w:rPr>
          <w:rFonts w:cs="Helvetica"/>
          <w:i/>
          <w:iCs/>
          <w:szCs w:val="24"/>
        </w:rPr>
        <w:t>American Economic Review</w:t>
      </w:r>
      <w:r w:rsidRPr="005269D7">
        <w:rPr>
          <w:rFonts w:cs="Helvetica"/>
          <w:szCs w:val="24"/>
        </w:rPr>
        <w:t xml:space="preserve"> 89(3): 619–638.</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Fewtrell, Lorna, Annette Prüss-Üstün, Robert Bos, Fiona Gore, and Jamie Bartram. 2007. </w:t>
      </w:r>
      <w:r w:rsidRPr="005269D7">
        <w:rPr>
          <w:rFonts w:cs="Helvetica"/>
          <w:i/>
          <w:iCs/>
          <w:szCs w:val="24"/>
        </w:rPr>
        <w:t>Water, Sanitation and Hygiene</w:t>
      </w:r>
      <w:r w:rsidRPr="005269D7">
        <w:rPr>
          <w:rFonts w:cs="Helvetica"/>
          <w:szCs w:val="24"/>
        </w:rPr>
        <w:t>. Environmnetal Burden of Disease Series. Geneva, Switzerland: World Health Organization (WHO).</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Fleming, Philip J., and John J. Wallace. 1986. “How Not to Lie with Statistics: The Correct Way to Summarize Benchmark Results.” </w:t>
      </w:r>
      <w:r w:rsidRPr="005269D7">
        <w:rPr>
          <w:rFonts w:cs="Helvetica"/>
          <w:i/>
          <w:iCs/>
          <w:szCs w:val="24"/>
        </w:rPr>
        <w:t>Communications of the ACM (Association for Computing Machinery)</w:t>
      </w:r>
      <w:r w:rsidRPr="005269D7">
        <w:rPr>
          <w:rFonts w:cs="Helvetica"/>
          <w:szCs w:val="24"/>
        </w:rPr>
        <w:t xml:space="preserve"> 29(3): 218–221. doi:10.1145/5666.5673.</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Food and Agriculture Organization (FAO). 2010. Review of Global Agricultural Water Use Per Country: Irrigation Water Withdrawal. </w:t>
      </w:r>
      <w:r w:rsidRPr="005269D7">
        <w:rPr>
          <w:rFonts w:cs="Helvetica"/>
          <w:i/>
          <w:iCs/>
          <w:szCs w:val="24"/>
        </w:rPr>
        <w:t>Aquastat-FAO’s Information System on Water and Agriculture</w:t>
      </w:r>
      <w:r w:rsidRPr="005269D7">
        <w:rPr>
          <w:rFonts w:cs="Helvetica"/>
          <w:szCs w:val="24"/>
        </w:rPr>
        <w:t>. http://www.fao.org/nr/water/aquastat/water_use/index5.stm.</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Foster, Vivien, and Cecilia Briceño-Garmendia. 2010. </w:t>
      </w:r>
      <w:r w:rsidRPr="005269D7">
        <w:rPr>
          <w:rFonts w:cs="Helvetica"/>
          <w:i/>
          <w:iCs/>
          <w:szCs w:val="24"/>
        </w:rPr>
        <w:t>Africa’s Infrastructure: A Time for Transformation</w:t>
      </w:r>
      <w:r w:rsidRPr="005269D7">
        <w:rPr>
          <w:rFonts w:cs="Helvetica"/>
          <w:szCs w:val="24"/>
        </w:rPr>
        <w:t>. Washington, DC: Agence Française de Développement and the World Bank.</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Fountas, Spyros, Søren Pedersen, and Simon Blackmore. 2005. “Ict in Precision Agriculture - Diffusion of Technology.” In Ehud Gelb and Andy Offer, eds.,. </w:t>
      </w:r>
      <w:r w:rsidRPr="005269D7">
        <w:rPr>
          <w:rFonts w:cs="Helvetica"/>
          <w:i/>
          <w:iCs/>
          <w:szCs w:val="24"/>
        </w:rPr>
        <w:t>ICT in Agriculture: Perspectives of technological innovation</w:t>
      </w:r>
      <w:r w:rsidRPr="005269D7">
        <w:rPr>
          <w:rFonts w:cs="Helvetica"/>
          <w:szCs w:val="24"/>
        </w:rPr>
        <w:t>. Paris and Haifa, Israel: European Federation for Information Technologies in Agriculture, Food and the Environment (EFITA); Samuel Neaman Institute for Advanced Studies in Science and Technology.</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Fukuda-Parr, Sakiko. 2003. “The Human Development Paradigm: Operationalizing Sen’s Ideas on Capabilities.” </w:t>
      </w:r>
      <w:r w:rsidRPr="005269D7">
        <w:rPr>
          <w:rFonts w:cs="Helvetica"/>
          <w:i/>
          <w:iCs/>
          <w:szCs w:val="24"/>
        </w:rPr>
        <w:t>Feminist Economics</w:t>
      </w:r>
      <w:r w:rsidRPr="005269D7">
        <w:rPr>
          <w:rFonts w:cs="Helvetica"/>
          <w:szCs w:val="24"/>
        </w:rPr>
        <w:t xml:space="preserve"> 9(2-3) (January): 301–317. doi:10.1080/1354570022000077980.</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G20. 2010. “Multi-year Action Plan on Development: Annex II of The Seoul Summit Document”. Seoul, Korea. http://www.g20.utoronto.ca/summits/2010seoul.html.</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Geissbuhler, Antoine, Cheick Oumar Bagayoko, and Ousmane Ly. 2007. “The Raft Network: 5 Years of Distance Continuing Medical Education and Tele-Consultations Over the Internet in French-Speaking Africa.” </w:t>
      </w:r>
      <w:r w:rsidRPr="005269D7">
        <w:rPr>
          <w:rFonts w:cs="Helvetica"/>
          <w:i/>
          <w:iCs/>
          <w:szCs w:val="24"/>
        </w:rPr>
        <w:t>International Journal of Medical Informatics</w:t>
      </w:r>
      <w:r w:rsidRPr="005269D7">
        <w:rPr>
          <w:rFonts w:cs="Helvetica"/>
          <w:szCs w:val="24"/>
        </w:rPr>
        <w:t xml:space="preserve"> 76(5-6): 351–356. doi:16/j.ijmedinf.2007.01.012.</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Geissbuhler, Antoine, Ousmane Ly, Christian Lovis, and Jean-François L’Haire. 2003. “Telemedicine in Western Africa: Lessons Learned from a Pilot Project in Mali, Perspectives and Recommendations.” </w:t>
      </w:r>
      <w:r w:rsidRPr="005269D7">
        <w:rPr>
          <w:rFonts w:cs="Helvetica"/>
          <w:i/>
          <w:iCs/>
          <w:szCs w:val="24"/>
        </w:rPr>
        <w:t>American Medical Informatics Association 2003 Symposium Proceedings</w:t>
      </w:r>
      <w:r w:rsidRPr="005269D7">
        <w:rPr>
          <w:rFonts w:cs="Helvetica"/>
          <w:szCs w:val="24"/>
        </w:rPr>
        <w:t xml:space="preserve"> 2003: 249–253.</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Gilbert, Richard. 2007. </w:t>
      </w:r>
      <w:r w:rsidRPr="005269D7">
        <w:rPr>
          <w:rFonts w:cs="Helvetica"/>
          <w:i/>
          <w:iCs/>
          <w:szCs w:val="24"/>
        </w:rPr>
        <w:t>Transport Revolutions: Moving People and Freight Without Oil</w:t>
      </w:r>
      <w:r w:rsidRPr="005269D7">
        <w:rPr>
          <w:rFonts w:cs="Helvetica"/>
          <w:szCs w:val="24"/>
        </w:rPr>
        <w:t>. London: Earthscan.</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Gleick, Peter H., Heather Cooley, and Mari Morikawa. 2009. </w:t>
      </w:r>
      <w:r w:rsidRPr="005269D7">
        <w:rPr>
          <w:rFonts w:cs="Helvetica"/>
          <w:i/>
          <w:iCs/>
          <w:szCs w:val="24"/>
        </w:rPr>
        <w:t>The World’s Water 2008-2009: The Biennial Report on Freshwater Resources</w:t>
      </w:r>
      <w:r w:rsidRPr="005269D7">
        <w:rPr>
          <w:rFonts w:cs="Helvetica"/>
          <w:szCs w:val="24"/>
        </w:rPr>
        <w:t>. Washington,  DC: Pacific Institute for Studies in Development, Environment and Security. Island Press.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Goldzweig, Caroline Lubick, Ali Towfigh, Margaret Maglione, and Paul G. Shekelle. 2009. “Costs And Benefits Of Health Information Technology: New Trends From The Literature.” </w:t>
      </w:r>
      <w:r w:rsidRPr="005269D7">
        <w:rPr>
          <w:rFonts w:cs="Helvetica"/>
          <w:i/>
          <w:iCs/>
          <w:szCs w:val="24"/>
        </w:rPr>
        <w:t>Health Affairs</w:t>
      </w:r>
      <w:r w:rsidRPr="005269D7">
        <w:rPr>
          <w:rFonts w:cs="Helvetica"/>
          <w:szCs w:val="24"/>
        </w:rPr>
        <w:t xml:space="preserve"> 28(2): w282–w293. doi:10.1377/hlthaff.28.2.w282.</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Goodman, David C., and Colin Chant. 1999. </w:t>
      </w:r>
      <w:r w:rsidRPr="005269D7">
        <w:rPr>
          <w:rFonts w:cs="Helvetica"/>
          <w:i/>
          <w:iCs/>
          <w:szCs w:val="24"/>
        </w:rPr>
        <w:t>European Cities &amp; Technology: Industrial to Post-industrial City</w:t>
      </w:r>
      <w:r w:rsidRPr="005269D7">
        <w:rPr>
          <w:rFonts w:cs="Helvetica"/>
          <w:szCs w:val="24"/>
        </w:rPr>
        <w:t>. New York, NY: Routledge.</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Gosch, Stephen. 2008. </w:t>
      </w:r>
      <w:r w:rsidRPr="005269D7">
        <w:rPr>
          <w:rFonts w:cs="Helvetica"/>
          <w:i/>
          <w:iCs/>
          <w:szCs w:val="24"/>
        </w:rPr>
        <w:t>Premodern Travel in World History</w:t>
      </w:r>
      <w:r w:rsidRPr="005269D7">
        <w:rPr>
          <w:rFonts w:cs="Helvetica"/>
          <w:szCs w:val="24"/>
        </w:rPr>
        <w:t>. New York, NY: Routledge.</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Grun, Bernard, and Werner Stein. 1991. </w:t>
      </w:r>
      <w:r w:rsidRPr="005269D7">
        <w:rPr>
          <w:rFonts w:cs="Helvetica"/>
          <w:i/>
          <w:iCs/>
          <w:szCs w:val="24"/>
        </w:rPr>
        <w:t>The Timetables of History: A Horizontal Linkage of People and Events, Based on Werner Stein’s Kulturfahrplan</w:t>
      </w:r>
      <w:r w:rsidRPr="005269D7">
        <w:rPr>
          <w:rFonts w:cs="Helvetica"/>
          <w:szCs w:val="24"/>
        </w:rPr>
        <w:t>. New York, NY: Simon and Schuster.</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Gulati, Shalni. 2008. “Technology-Enhanced Learning in Developing Nations: A Review.” </w:t>
      </w:r>
      <w:r w:rsidRPr="005269D7">
        <w:rPr>
          <w:rFonts w:cs="Helvetica"/>
          <w:i/>
          <w:iCs/>
          <w:szCs w:val="24"/>
        </w:rPr>
        <w:t>The International Review of Research in Open and Distance Learning</w:t>
      </w:r>
      <w:r w:rsidRPr="005269D7">
        <w:rPr>
          <w:rFonts w:cs="Helvetica"/>
          <w:szCs w:val="24"/>
        </w:rPr>
        <w:t xml:space="preserve"> 9(1): unpaginated.</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Gustavsson, Jenny, Christel Cederberg, Ulf Sonesson, Robert van Otterdijk, and Alexandre Meybeck. 2011. </w:t>
      </w:r>
      <w:r w:rsidRPr="005269D7">
        <w:rPr>
          <w:rFonts w:cs="Helvetica"/>
          <w:i/>
          <w:iCs/>
          <w:szCs w:val="24"/>
        </w:rPr>
        <w:t>Global Food Losses and Food Waste: Extent, Causes and Prevention</w:t>
      </w:r>
      <w:r w:rsidRPr="005269D7">
        <w:rPr>
          <w:rFonts w:cs="Helvetica"/>
          <w:szCs w:val="24"/>
        </w:rPr>
        <w:t>. Rome: Food and Agricultural Organization of the United Nations.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Haller, Laurence, Guy Hutton, and Jamie Bartram. 2007. “Estimating the Costs and Health Benefits of Water and Sanitation Improvements at Global Level.” </w:t>
      </w:r>
      <w:r w:rsidRPr="005269D7">
        <w:rPr>
          <w:rFonts w:cs="Helvetica"/>
          <w:i/>
          <w:iCs/>
          <w:szCs w:val="24"/>
        </w:rPr>
        <w:t>Journal of Water &amp; Health</w:t>
      </w:r>
      <w:r w:rsidRPr="005269D7">
        <w:rPr>
          <w:rFonts w:cs="Helvetica"/>
          <w:szCs w:val="24"/>
        </w:rPr>
        <w:t xml:space="preserve"> 5(4): 467–480. doi:10.2166/wh.2007.008.</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Haq, Mahbub Ul. 1995. </w:t>
      </w:r>
      <w:r w:rsidRPr="005269D7">
        <w:rPr>
          <w:rFonts w:cs="Helvetica"/>
          <w:i/>
          <w:iCs/>
          <w:szCs w:val="24"/>
        </w:rPr>
        <w:t>Reflections on Human Development</w:t>
      </w:r>
      <w:r w:rsidRPr="005269D7">
        <w:rPr>
          <w:rFonts w:cs="Helvetica"/>
          <w:szCs w:val="24"/>
        </w:rPr>
        <w:t>. New York: Oxford University Press.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Herrera, Geoffrey. 2006. </w:t>
      </w:r>
      <w:r w:rsidRPr="005269D7">
        <w:rPr>
          <w:rFonts w:cs="Helvetica"/>
          <w:i/>
          <w:iCs/>
          <w:szCs w:val="24"/>
        </w:rPr>
        <w:t>Technology and International Transformation: The Railroad, the Atom Bomb, and the Politics of Technological Vhange</w:t>
      </w:r>
      <w:r w:rsidRPr="005269D7">
        <w:rPr>
          <w:rFonts w:cs="Helvetica"/>
          <w:szCs w:val="24"/>
        </w:rPr>
        <w:t>. Albany, NY: State University of New York Press.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Hillestad, Richard, James Bigelow, Anthony Bower, Federico Girosi, Robin Meili, Richard Scoville, and Roger Taylor. 2005. “Can Electronic Medical Record Systems Transform Health Care? Potential Health Benefits, Savings, and Costs.” </w:t>
      </w:r>
      <w:r w:rsidRPr="005269D7">
        <w:rPr>
          <w:rFonts w:cs="Helvetica"/>
          <w:i/>
          <w:iCs/>
          <w:szCs w:val="24"/>
        </w:rPr>
        <w:t>Health Affairs</w:t>
      </w:r>
      <w:r w:rsidRPr="005269D7">
        <w:rPr>
          <w:rFonts w:cs="Helvetica"/>
          <w:szCs w:val="24"/>
        </w:rPr>
        <w:t xml:space="preserve"> 24(5): 1103–1117. doi:10.1377/hlthaff.24.5.1103.</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Hjelm, N. M. 2005. “Benefits and Drawbacks of Telemedicine.” </w:t>
      </w:r>
      <w:r w:rsidRPr="005269D7">
        <w:rPr>
          <w:rFonts w:cs="Helvetica"/>
          <w:i/>
          <w:iCs/>
          <w:szCs w:val="24"/>
        </w:rPr>
        <w:t>Journal of Telemedicine and Telecare</w:t>
      </w:r>
      <w:r w:rsidRPr="005269D7">
        <w:rPr>
          <w:rFonts w:cs="Helvetica"/>
          <w:szCs w:val="24"/>
        </w:rPr>
        <w:t xml:space="preserve"> 11(2): 60–70. doi:10.1258/1357633053499886.</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Hledik, Ryan. 2009. “How Green Is the Smart Grid?” </w:t>
      </w:r>
      <w:r w:rsidRPr="005269D7">
        <w:rPr>
          <w:rFonts w:cs="Helvetica"/>
          <w:i/>
          <w:iCs/>
          <w:szCs w:val="24"/>
        </w:rPr>
        <w:t>The Electricity Journal</w:t>
      </w:r>
      <w:r w:rsidRPr="005269D7">
        <w:rPr>
          <w:rFonts w:cs="Helvetica"/>
          <w:szCs w:val="24"/>
        </w:rPr>
        <w:t xml:space="preserve"> 22(3): 29–41. doi:16/j.tej.2009.03.001.</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Hodges, Henry. 1992. </w:t>
      </w:r>
      <w:r w:rsidRPr="005269D7">
        <w:rPr>
          <w:rFonts w:cs="Helvetica"/>
          <w:i/>
          <w:iCs/>
          <w:szCs w:val="24"/>
        </w:rPr>
        <w:t>Technology in the Ancient World</w:t>
      </w:r>
      <w:r w:rsidRPr="005269D7">
        <w:rPr>
          <w:rFonts w:cs="Helvetica"/>
          <w:szCs w:val="24"/>
        </w:rPr>
        <w:t>. New York: Barnes &amp; Noble.</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Hodges, R. J., J. C. Buzby, and B. Bennett. 2010. “Postharvest Losses and Waste in Developed and Less Developed Countries: Opportunities to Improve Resource Use.” </w:t>
      </w:r>
      <w:r w:rsidRPr="005269D7">
        <w:rPr>
          <w:rFonts w:cs="Helvetica"/>
          <w:i/>
          <w:iCs/>
          <w:szCs w:val="24"/>
        </w:rPr>
        <w:t>The Journal of Agricultural Science</w:t>
      </w:r>
      <w:r w:rsidRPr="005269D7">
        <w:rPr>
          <w:rFonts w:cs="Helvetica"/>
          <w:szCs w:val="24"/>
        </w:rPr>
        <w:t xml:space="preserve"> 149(S1): 37–45. doi:10.1017/S0021859610000936.</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Holdren, John P., and Kirk R. Smith. 2000. “Energy, the Environment, and Health.” In Jose Goldemberg, ed.,. </w:t>
      </w:r>
      <w:r w:rsidRPr="005269D7">
        <w:rPr>
          <w:rFonts w:cs="Helvetica"/>
          <w:i/>
          <w:iCs/>
          <w:szCs w:val="24"/>
        </w:rPr>
        <w:t>The World Energy Assessment: Energy and the Challenge of Sustainability</w:t>
      </w:r>
      <w:r w:rsidRPr="005269D7">
        <w:rPr>
          <w:rFonts w:cs="Helvetica"/>
          <w:szCs w:val="24"/>
        </w:rPr>
        <w:t>. The World Energy Assessment. New York, NY: United Nations Development Program (UNDP), 61–110.</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Hughes, Barry B. 2004. “The Base Case of International Futures (IFs): Comparison with Other Forecasts”. Pardee Center for International Futures Working Paper prepared for the National Intelligence Council Project 2020 and International Futures (IFs) Project Use. Denver, CO. http://www.ifs.du.edu/documents/reports.aspx.</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2007. “Forecasting Global Economic Growth with Endogenous Multifactor Productivity: The International Futures (IFs) Approach”. Pardee Center for International Futures Working Paper, University of Denver. Denver, CO. www.ifs.du.edu/documents/reports.aspx.</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 2012. </w:t>
      </w:r>
      <w:r w:rsidRPr="005269D7">
        <w:rPr>
          <w:rFonts w:cs="Helvetica"/>
          <w:i/>
          <w:iCs/>
          <w:szCs w:val="24"/>
        </w:rPr>
        <w:t>Development-oriented Policies and Alternative Human Development Paths</w:t>
      </w:r>
      <w:r w:rsidRPr="005269D7">
        <w:rPr>
          <w:rFonts w:cs="Helvetica"/>
          <w:szCs w:val="24"/>
        </w:rPr>
        <w:t>. Human Development Research Paper. New York: United Nations Development Programme.</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Hughes, Barry B., and Evan E. Hillebrand. 2006. </w:t>
      </w:r>
      <w:r w:rsidRPr="005269D7">
        <w:rPr>
          <w:rFonts w:cs="Helvetica"/>
          <w:i/>
          <w:iCs/>
          <w:szCs w:val="24"/>
        </w:rPr>
        <w:t>Exploring and Shaping International Futures</w:t>
      </w:r>
      <w:r w:rsidRPr="005269D7">
        <w:rPr>
          <w:rFonts w:cs="Helvetica"/>
          <w:szCs w:val="24"/>
        </w:rPr>
        <w:t>. Boulder, CO: Paradigm Publishing.</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Hughes, Barry B., Mohammod Irfan, Haider Khan, Krishna Kumar, Dale S. Rothman, and José Roberto Solórzano. 2009. </w:t>
      </w:r>
      <w:r w:rsidRPr="005269D7">
        <w:rPr>
          <w:rFonts w:cs="Helvetica"/>
          <w:i/>
          <w:iCs/>
          <w:szCs w:val="24"/>
        </w:rPr>
        <w:t>Reducing Global Poverty</w:t>
      </w:r>
      <w:r w:rsidRPr="005269D7">
        <w:rPr>
          <w:rFonts w:cs="Helvetica"/>
          <w:szCs w:val="24"/>
        </w:rPr>
        <w:t>. Vol. 1 of the Patterns of Potential Human Progress series. Boulder, CO, and New Delhi, India: Paradigm Publishers and Oxford University Press.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Hughes, Barry B., Mohammod T. Irfan, Jonathan D. Moyer, Dale S. Rothman, and Jose R. Solorzano. 2011. </w:t>
      </w:r>
      <w:r w:rsidRPr="005269D7">
        <w:rPr>
          <w:rFonts w:cs="Helvetica"/>
          <w:i/>
          <w:iCs/>
          <w:szCs w:val="24"/>
        </w:rPr>
        <w:t>Forecasting the Impacts of Environmental Constraints on Human Development</w:t>
      </w:r>
      <w:r w:rsidRPr="005269D7">
        <w:rPr>
          <w:rFonts w:cs="Helvetica"/>
          <w:szCs w:val="24"/>
        </w:rPr>
        <w:t>. Research Paper. United Nations Human Development Research Paper. United Nations Development Programme. http://hdr.undp.org/en/reports/global/hdr2011/papers/HDRP_2011_08.pdf.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Hughes, Barry B., Randall Kuhn, Cecilia Peterson, Dale S. Rothman, José Roberto Solórzano, and Janet R. Dickson. 2011. </w:t>
      </w:r>
      <w:r w:rsidRPr="005269D7">
        <w:rPr>
          <w:rFonts w:cs="Helvetica"/>
          <w:i/>
          <w:iCs/>
          <w:szCs w:val="24"/>
        </w:rPr>
        <w:t>Improving Global Health</w:t>
      </w:r>
      <w:r w:rsidRPr="005269D7">
        <w:rPr>
          <w:rFonts w:cs="Helvetica"/>
          <w:szCs w:val="24"/>
        </w:rPr>
        <w:t>. Vol. 3 of the Patterns of Potential Human Progress series. Boulder, CO, and New Delhi, India: Paradigm Publishers and Oxford University Press.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Hughes, Barry, and Peter Johnson. 2005. “Sustainable Futures: Building Policy Options into a Scenario for Development in a Global Knowledge Society.” </w:t>
      </w:r>
      <w:r w:rsidRPr="005269D7">
        <w:rPr>
          <w:rFonts w:cs="Helvetica"/>
          <w:i/>
          <w:iCs/>
          <w:szCs w:val="24"/>
        </w:rPr>
        <w:t>Futures</w:t>
      </w:r>
      <w:r w:rsidRPr="005269D7">
        <w:rPr>
          <w:rFonts w:cs="Helvetica"/>
          <w:szCs w:val="24"/>
        </w:rPr>
        <w:t xml:space="preserve"> 37: 813–831.</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Hughes, Gordon, Paul Chinowsky, and Ken Strzepek. 2009. “The Costs of Adapting to Climate Change for Infrastructure”. Economics of Adaptation to Climate Change Discussion Paper no. 2. World Bank, Washington, DC.</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 2010. “The Costs of Adaptation to Climate Change for Water Infrastructure in OECD Countries.” </w:t>
      </w:r>
      <w:r w:rsidRPr="005269D7">
        <w:rPr>
          <w:rFonts w:cs="Helvetica"/>
          <w:i/>
          <w:iCs/>
          <w:szCs w:val="24"/>
        </w:rPr>
        <w:t>Utilities Policy</w:t>
      </w:r>
      <w:r w:rsidRPr="005269D7">
        <w:rPr>
          <w:rFonts w:cs="Helvetica"/>
          <w:szCs w:val="24"/>
        </w:rPr>
        <w:t xml:space="preserve"> 18(3): 142–153.</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Hulten, Charles R. 1996. “Infrastructure Capital and Economic Growth: How Well You Use It May Be More Important Than How Much You Have”. Working Paper Series no. 5847. National Bureau of Economic Research, . http://www.nber.org/papers/w5847.</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Hulten, Charles R., Esra Bennathan, and Sylaja Srinivasan. 2006. “Infrastructure, Externalities, and Economic Development: A Study of the Indian Manufacturing Industry.” </w:t>
      </w:r>
      <w:r w:rsidRPr="005269D7">
        <w:rPr>
          <w:rFonts w:cs="Helvetica"/>
          <w:i/>
          <w:iCs/>
          <w:szCs w:val="24"/>
        </w:rPr>
        <w:t>World Bank Economic Review</w:t>
      </w:r>
      <w:r w:rsidRPr="005269D7">
        <w:rPr>
          <w:rFonts w:cs="Helvetica"/>
          <w:szCs w:val="24"/>
        </w:rPr>
        <w:t xml:space="preserve"> 20(2): 291–308. doi:10.1093/wber/lhj007.</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Humphrey, John W, John Peter Oleson, and Andrew N Sherwood. 1998. </w:t>
      </w:r>
      <w:r w:rsidRPr="005269D7">
        <w:rPr>
          <w:rFonts w:cs="Helvetica"/>
          <w:i/>
          <w:iCs/>
          <w:szCs w:val="24"/>
        </w:rPr>
        <w:t>Greek and Roman technology : a sourcebook, annotated translations of Greek and Latin texts and documents</w:t>
      </w:r>
      <w:r w:rsidRPr="005269D7">
        <w:rPr>
          <w:rFonts w:cs="Helvetica"/>
          <w:szCs w:val="24"/>
        </w:rPr>
        <w:t>. London: Routledge.</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Hurlin, Christophe. 2006. “Network Effects of the Productivity of Infrastructure in Developing Countries”. Policy Research Working Paper no. 3808. World Bank, Washington, DC.</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Hutton, Guy, Laurence Haller, and Jamie Bartram. 2007. “Global Cost-Benefit Analysis of Water Supply and Sanitation Interventions.” </w:t>
      </w:r>
      <w:r w:rsidRPr="005269D7">
        <w:rPr>
          <w:rFonts w:cs="Helvetica"/>
          <w:i/>
          <w:iCs/>
          <w:szCs w:val="24"/>
        </w:rPr>
        <w:t>Journal of Water &amp; Health</w:t>
      </w:r>
      <w:r w:rsidRPr="005269D7">
        <w:rPr>
          <w:rFonts w:cs="Helvetica"/>
          <w:szCs w:val="24"/>
        </w:rPr>
        <w:t xml:space="preserve"> 5(4): 481–502. doi:10.2166/wh.2007.009.</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Inocencio, Arlene, Masao Kikuchi, Manabu Tonosaki, Atsushi Maruyama, Douglas Merrey, Hilmy Sally, and Ijsbrand de Jong. 2007. “Costs and Performance of Irrigation Projects: A Comparison of Sub-Saharan Africa and Other Developing Regions”. International Water Management Institute, Colombo, Sri Lanka. http://www.ifad.org/events/hs/doc/irrigation_projects.pdf.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Institution of Civil Engineers. 2010. </w:t>
      </w:r>
      <w:r w:rsidRPr="005269D7">
        <w:rPr>
          <w:rFonts w:cs="Helvetica"/>
          <w:i/>
          <w:iCs/>
          <w:szCs w:val="24"/>
        </w:rPr>
        <w:t>The State of the Nation: Infrastructure 2010</w:t>
      </w:r>
      <w:r w:rsidRPr="005269D7">
        <w:rPr>
          <w:rFonts w:cs="Helvetica"/>
          <w:szCs w:val="24"/>
        </w:rPr>
        <w:t>. London: Institution of Civil Engineers. ice.org.uk/stateofthenation.</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Institution of Engineers, Australia. 2010. </w:t>
      </w:r>
      <w:r w:rsidRPr="005269D7">
        <w:rPr>
          <w:rFonts w:cs="Helvetica"/>
          <w:i/>
          <w:iCs/>
          <w:szCs w:val="24"/>
        </w:rPr>
        <w:t>Infrastructure Report Card 2010 Australia</w:t>
      </w:r>
      <w:r w:rsidRPr="005269D7">
        <w:rPr>
          <w:rFonts w:cs="Helvetica"/>
          <w:szCs w:val="24"/>
        </w:rPr>
        <w:t>. Barton, Australia: Institution of Engineers, Australia.</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International Atomic Energy Agency (IAEA). 2008. “International Status and Prospects of Nuclear Power”. Vienna. http://www.iaea.org/Publications/Booklets/NuclearPower/np08.pdf.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International Energy Agency. 2010. </w:t>
      </w:r>
      <w:r w:rsidRPr="005269D7">
        <w:rPr>
          <w:rFonts w:cs="Helvetica"/>
          <w:i/>
          <w:iCs/>
          <w:szCs w:val="24"/>
        </w:rPr>
        <w:t>Energy Balances of Non-OECD Countries 2007-2008</w:t>
      </w:r>
      <w:r w:rsidRPr="005269D7">
        <w:rPr>
          <w:rFonts w:cs="Helvetica"/>
          <w:szCs w:val="24"/>
        </w:rPr>
        <w:t>. Paris: Organization for Economic Cooperation and Development (OECD).</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International Energy Agency (IEA). 2010a. </w:t>
      </w:r>
      <w:r w:rsidRPr="005269D7">
        <w:rPr>
          <w:rFonts w:cs="Helvetica"/>
          <w:i/>
          <w:iCs/>
          <w:szCs w:val="24"/>
        </w:rPr>
        <w:t>World Energy Model - Methodology and Assumptions</w:t>
      </w:r>
      <w:r w:rsidRPr="005269D7">
        <w:rPr>
          <w:rFonts w:cs="Helvetica"/>
          <w:szCs w:val="24"/>
        </w:rPr>
        <w:t>. Paris: Organisation for Economic Cooperation and Development (OECD) and International Energy Agency (IEA). http://www.iea.org/weo/docs/weo2010/World_Energy_Model.pdf.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 2010b. </w:t>
      </w:r>
      <w:r w:rsidRPr="005269D7">
        <w:rPr>
          <w:rFonts w:cs="Helvetica"/>
          <w:i/>
          <w:iCs/>
          <w:szCs w:val="24"/>
        </w:rPr>
        <w:t>World Energy Outlook 2010</w:t>
      </w:r>
      <w:r w:rsidRPr="005269D7">
        <w:rPr>
          <w:rFonts w:cs="Helvetica"/>
          <w:szCs w:val="24"/>
        </w:rPr>
        <w:t>. Paris: Organisation for Economic Cooperation and Development (OECD) and International Energy Agency (IEA).</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International Energy Agency (IEA), and Organisation for Economic Co-operation and Development (OECD). 2011. </w:t>
      </w:r>
      <w:r w:rsidRPr="005269D7">
        <w:rPr>
          <w:rFonts w:cs="Helvetica"/>
          <w:i/>
          <w:iCs/>
          <w:szCs w:val="24"/>
        </w:rPr>
        <w:t>World Energy Outlook 2011</w:t>
      </w:r>
      <w:r w:rsidRPr="005269D7">
        <w:rPr>
          <w:rFonts w:cs="Helvetica"/>
          <w:szCs w:val="24"/>
        </w:rPr>
        <w:t>. Paris: Organisation for Economic Cooperation and Development (OECD) and International Energy Agency (IEA).</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International Transport Forum. 2010a. </w:t>
      </w:r>
      <w:r w:rsidRPr="005269D7">
        <w:rPr>
          <w:rFonts w:cs="Helvetica"/>
          <w:i/>
          <w:iCs/>
          <w:szCs w:val="24"/>
        </w:rPr>
        <w:t>Core ICT Indicators 2010</w:t>
      </w:r>
      <w:r w:rsidRPr="005269D7">
        <w:rPr>
          <w:rFonts w:cs="Helvetica"/>
          <w:szCs w:val="24"/>
        </w:rPr>
        <w:t>. Geneva, Switzerland: Partnership on Measuring ICT for Development. http://www.uis.unesco.org/Communication/Documents/Core_ICT_Indicators_2010.pdf.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2010b. World Telecommunication/ICT Indicators Definition. http://www.itu.int/ITU-D/ict/handbook.html.</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 2010c. </w:t>
      </w:r>
      <w:r w:rsidRPr="005269D7">
        <w:rPr>
          <w:rFonts w:cs="Helvetica"/>
          <w:i/>
          <w:iCs/>
          <w:szCs w:val="24"/>
        </w:rPr>
        <w:t>World Telecommunication/ICT Indicators Database (14th Edition)</w:t>
      </w:r>
      <w:r w:rsidRPr="005269D7">
        <w:rPr>
          <w:rFonts w:cs="Helvetica"/>
          <w:szCs w:val="24"/>
        </w:rPr>
        <w:t>. December.</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 2011. </w:t>
      </w:r>
      <w:r w:rsidRPr="005269D7">
        <w:rPr>
          <w:rFonts w:cs="Helvetica"/>
          <w:i/>
          <w:iCs/>
          <w:szCs w:val="24"/>
        </w:rPr>
        <w:t>World Telecommunication/ICT Indicators Database (15th Edition)</w:t>
      </w:r>
      <w:r w:rsidRPr="005269D7">
        <w:rPr>
          <w:rFonts w:cs="Helvetica"/>
          <w:szCs w:val="24"/>
        </w:rPr>
        <w:t>. June. http://www.itu.int/ITU-D/ict/.</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International Transport Forum, and Organisation for Economic Cooperation and Development (OECD). 2010. “Country Notes for Investments in Transport Infrastructure Data”. Paris. http://www.internationaltransportforum.org/statistics/investment/Country_Notes.pdf.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2011. “Trends in Transport Infrastructure Investment 1995-2009”. Paris.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James, Jeffrey. 2009. “Leapfrogging in Mobile Telephony: A Measure for Comparing Country Performance.” </w:t>
      </w:r>
      <w:r w:rsidRPr="005269D7">
        <w:rPr>
          <w:rFonts w:cs="Helvetica"/>
          <w:i/>
          <w:iCs/>
          <w:szCs w:val="24"/>
        </w:rPr>
        <w:t>Technological Forecasting and Social Change</w:t>
      </w:r>
      <w:r w:rsidRPr="005269D7">
        <w:rPr>
          <w:rFonts w:cs="Helvetica"/>
          <w:szCs w:val="24"/>
        </w:rPr>
        <w:t xml:space="preserve"> 76(7): 991–998. doi:16/j.techfore.2008.09.002.</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Jimenez, Antonio, Ken Olson, National Renewable Energy Laboratory (US), and Solar Energy International. 1998. </w:t>
      </w:r>
      <w:r w:rsidRPr="005269D7">
        <w:rPr>
          <w:rFonts w:cs="Helvetica"/>
          <w:i/>
          <w:iCs/>
          <w:szCs w:val="24"/>
        </w:rPr>
        <w:t>Renewable Energy for Rural Health Clinics</w:t>
      </w:r>
      <w:r w:rsidRPr="005269D7">
        <w:rPr>
          <w:rFonts w:cs="Helvetica"/>
          <w:szCs w:val="24"/>
        </w:rPr>
        <w:t>. Golden, CO: National Renewable Energy Laboratory.</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Jones, Stephen. 2006. “Infrastructure Challenges in East and South Asia.” </w:t>
      </w:r>
      <w:r w:rsidRPr="005269D7">
        <w:rPr>
          <w:rFonts w:cs="Helvetica"/>
          <w:i/>
          <w:iCs/>
          <w:szCs w:val="24"/>
        </w:rPr>
        <w:t>IDS Bulletin</w:t>
      </w:r>
      <w:r w:rsidRPr="005269D7">
        <w:rPr>
          <w:rFonts w:cs="Helvetica"/>
          <w:szCs w:val="24"/>
        </w:rPr>
        <w:t xml:space="preserve"> 37(3): 28–44.</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de Jong, Gerard, and Odette van de Riet. 2004. “Drivers of Demand For Passenger Transport Worldwide.” Paper delivered at the European Transport Conference 2004,. Strasbourg, France: Association for European Transport. http://www.etcproceedings.org/paper/drivers-of-demand-for-passenger-transport-worldwide.</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Jonkman, Sebastiaan N., Bob Maaskant, Ezra Boyd, and Marc Lloyd Levitan. 2009. “Loss of Life Caused by the Flooding of New Orleans After Hurricane Katrina: Analysis of the Relationship Between Flood Characteristics and Mortality.” </w:t>
      </w:r>
      <w:r w:rsidRPr="005269D7">
        <w:rPr>
          <w:rFonts w:cs="Helvetica"/>
          <w:i/>
          <w:iCs/>
          <w:szCs w:val="24"/>
        </w:rPr>
        <w:t>Risk Analysis</w:t>
      </w:r>
      <w:r w:rsidRPr="005269D7">
        <w:rPr>
          <w:rFonts w:cs="Helvetica"/>
          <w:szCs w:val="24"/>
        </w:rPr>
        <w:t xml:space="preserve"> 29(5): 676–698. doi:10.1111/j.1539-6924.2008.01190.x.</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Juma, Calestous, and Lee Yee-Cheong. 2005. </w:t>
      </w:r>
      <w:r w:rsidRPr="005269D7">
        <w:rPr>
          <w:rFonts w:cs="Helvetica"/>
          <w:i/>
          <w:iCs/>
          <w:szCs w:val="24"/>
        </w:rPr>
        <w:t>Innovation: Applying Knowledge in Development</w:t>
      </w:r>
      <w:r w:rsidRPr="005269D7">
        <w:rPr>
          <w:rFonts w:cs="Helvetica"/>
          <w:szCs w:val="24"/>
        </w:rPr>
        <w:t>. London: Earthscan.</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Kalba, Kas. 2008. “The Adoption of Mobile Phones in Emerging Markets: Global Diffusion and the Rural Challenge.” </w:t>
      </w:r>
      <w:r w:rsidRPr="005269D7">
        <w:rPr>
          <w:rFonts w:cs="Helvetica"/>
          <w:i/>
          <w:iCs/>
          <w:szCs w:val="24"/>
        </w:rPr>
        <w:t>International journal of Communication</w:t>
      </w:r>
      <w:r w:rsidRPr="005269D7">
        <w:rPr>
          <w:rFonts w:cs="Helvetica"/>
          <w:szCs w:val="24"/>
        </w:rPr>
        <w:t>(2): 631–661.</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Kates, R. W., C. E. Colten, S. Laska, and S. P. Leatherman. 2006. “Reconstruction of New Orleans After Hurricane Katrina: A Research Perspective.” </w:t>
      </w:r>
      <w:r w:rsidRPr="005269D7">
        <w:rPr>
          <w:rFonts w:cs="Helvetica"/>
          <w:i/>
          <w:iCs/>
          <w:szCs w:val="24"/>
        </w:rPr>
        <w:t>Proceedings of the National Academy of Sciences</w:t>
      </w:r>
      <w:r w:rsidRPr="005269D7">
        <w:rPr>
          <w:rFonts w:cs="Helvetica"/>
          <w:szCs w:val="24"/>
        </w:rPr>
        <w:t xml:space="preserve"> 103(40): 14653–14660. doi:10.1073/pnas.0605726103.</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Kaufmann, Daniel, Aart Kraay, and Massimo Mastruzzi. 2010. </w:t>
      </w:r>
      <w:r w:rsidRPr="005269D7">
        <w:rPr>
          <w:rFonts w:cs="Helvetica"/>
          <w:i/>
          <w:iCs/>
          <w:szCs w:val="24"/>
        </w:rPr>
        <w:t>The Worldwide Governance Indicators: Methodology and Analytical Issues</w:t>
      </w:r>
      <w:r w:rsidRPr="005269D7">
        <w:rPr>
          <w:rFonts w:cs="Helvetica"/>
          <w:szCs w:val="24"/>
        </w:rPr>
        <w:t>. World Bank Policy Research Working Paper. Washington, DC: World Bank.</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Kennedy, Peter. 2008. </w:t>
      </w:r>
      <w:r w:rsidRPr="005269D7">
        <w:rPr>
          <w:rFonts w:cs="Helvetica"/>
          <w:i/>
          <w:iCs/>
          <w:szCs w:val="24"/>
        </w:rPr>
        <w:t>A Guide to Econometrics</w:t>
      </w:r>
      <w:r w:rsidRPr="005269D7">
        <w:rPr>
          <w:rFonts w:cs="Helvetica"/>
          <w:szCs w:val="24"/>
        </w:rPr>
        <w:t>, 6th ed. Malden, MA: Blackwell Publishing.</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Khatiwada, Sameer. 2009. </w:t>
      </w:r>
      <w:r w:rsidRPr="005269D7">
        <w:rPr>
          <w:rFonts w:cs="Helvetica"/>
          <w:i/>
          <w:iCs/>
          <w:szCs w:val="24"/>
        </w:rPr>
        <w:t>Stimulus Packages to Counter Global Economic Crisis: A Review</w:t>
      </w:r>
      <w:r w:rsidRPr="005269D7">
        <w:rPr>
          <w:rFonts w:cs="Helvetica"/>
          <w:szCs w:val="24"/>
        </w:rPr>
        <w:t>. Geneva: International Institute for Labour Studies. http://www.ilo.org/public/english/bureau/inst/publications/discussion/dp19609.pdf.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Kim, M. Julie, and Rita Nangia. 2010. “Infrastructure Development in India and China—A Comparative Analysis.” In William Ascher and Corinne Krupp, eds.,. </w:t>
      </w:r>
      <w:r w:rsidRPr="005269D7">
        <w:rPr>
          <w:rFonts w:cs="Helvetica"/>
          <w:i/>
          <w:iCs/>
          <w:szCs w:val="24"/>
        </w:rPr>
        <w:t>Physical Infrastructure Development: Balancing The Growth, Equity, and Environmental Imperatives</w:t>
      </w:r>
      <w:r w:rsidRPr="005269D7">
        <w:rPr>
          <w:rFonts w:cs="Helvetica"/>
          <w:szCs w:val="24"/>
        </w:rPr>
        <w:t>. New York, NY: Palgrave Macmillan, 97–140.</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Kimmins, J.p. (hamish). 2009. “Old Growth in a New World. A Pacific Northwest Icon Reexamined EDITED BY THOMAS A. SPIES AND SALLY L. DUNCAN Xiii + 344 Pp., 23 × 15 × 2 Cm, ISBN 978 1 59726 410 5 Paperback, US$ 32.00, Washington, DC, USA: Island Press, 2009.” </w:t>
      </w:r>
      <w:r w:rsidRPr="005269D7">
        <w:rPr>
          <w:rFonts w:cs="Helvetica"/>
          <w:i/>
          <w:iCs/>
          <w:szCs w:val="24"/>
        </w:rPr>
        <w:t>Environmental Conservation</w:t>
      </w:r>
      <w:r w:rsidRPr="005269D7">
        <w:rPr>
          <w:rFonts w:cs="Helvetica"/>
          <w:szCs w:val="24"/>
        </w:rPr>
        <w:t xml:space="preserve"> 36(02): 171–172. doi:10.1017/S0376892909990105.</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Kohli, Harpaul Alberto, and Phillip Basil. 2011. “Requirements for Infrastructure Investment in Latin America Under Alternate Growth Scenarios.” </w:t>
      </w:r>
      <w:r w:rsidRPr="005269D7">
        <w:rPr>
          <w:rFonts w:cs="Helvetica"/>
          <w:i/>
          <w:iCs/>
          <w:szCs w:val="24"/>
        </w:rPr>
        <w:t>Global Journal of Emerging Market Economies</w:t>
      </w:r>
      <w:r w:rsidRPr="005269D7">
        <w:rPr>
          <w:rFonts w:cs="Helvetica"/>
          <w:szCs w:val="24"/>
        </w:rPr>
        <w:t xml:space="preserve"> 3(1): 59 –110. doi:10.1177/097491011000300103.</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Kohli, Harpaul Alberto, and Natasha Mukherjee. 2011. “Potential Costs to Asia of the Middle Income Trap.” </w:t>
      </w:r>
      <w:r w:rsidRPr="005269D7">
        <w:rPr>
          <w:rFonts w:cs="Helvetica"/>
          <w:i/>
          <w:iCs/>
          <w:szCs w:val="24"/>
        </w:rPr>
        <w:t>Global Journal of Emerging Market Economies</w:t>
      </w:r>
      <w:r w:rsidRPr="005269D7">
        <w:rPr>
          <w:rFonts w:cs="Helvetica"/>
          <w:szCs w:val="24"/>
        </w:rPr>
        <w:t xml:space="preserve"> forthcoming.</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Labouze, Eric, Adrien Beton, Cécile des Abbayes, Sanaée Lyama, Lutz Stobbe, Sebastian Gallehr, and Lutz Günter Scheidt. 2008. “Impacts of Information and Communication Technologies on Energy Efficiency: Final Report”. European Commission DG INFSO, Brussels. ftp://ftp.cordis.europa.eu/pub/fp7/ict/docs/sustainable-growth/ict4ee-final-report_en.pdf.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Lall, Somik, and H. C. Wang. 2006. “Improving the Development Impact of Infrastructure, Proposal for a Research Program Grant on Infrastructure”. Internal Document. World Bank, Washington, DC.</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Lawson, Sandra, and Raluca Dragusanu. 2008. “Building the World: Mapping Infrastructure Demand”. Global Economics Paper no. 166. Goldman Sachs, New York, NY. http://www2.goldmansachs.com/our-thinking/brics/brics-reports-pdfs/infrastructure-building-the-world.pdf.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Legros, Gwénaëlle, Ines Havet, Nigel Bruce, and Sophie Bonjour. 2009. </w:t>
      </w:r>
      <w:r w:rsidRPr="005269D7">
        <w:rPr>
          <w:rFonts w:cs="Helvetica"/>
          <w:i/>
          <w:iCs/>
          <w:szCs w:val="24"/>
        </w:rPr>
        <w:t>The Energy Access Situation in Developing Countries: A Review Focusing on the Least Developed Countries and Sub-Saharan Africa</w:t>
      </w:r>
      <w:r w:rsidRPr="005269D7">
        <w:rPr>
          <w:rFonts w:cs="Helvetica"/>
          <w:szCs w:val="24"/>
        </w:rPr>
        <w:t>. New York, NY: United Nations Development Program (UNDP).</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Lehner, Bernhard, Catherine Reidy Liermann, Carmen Revenga, Charles Vörösmarty, Balazs Fekete, Philippe Crouzet, Petra Döll, Marcel Endejan, Karen Frenken, Jun Magome, Christer Nilsson, James C. Robertson, Raimund Rödel, Nikolai Sindorf, and Dominik Wisser. 2011. “High-Resolution Mapping of the World’s Reservoirs and Dams for Sustainable River-Flow Management.” </w:t>
      </w:r>
      <w:r w:rsidRPr="005269D7">
        <w:rPr>
          <w:rFonts w:cs="Helvetica"/>
          <w:i/>
          <w:iCs/>
          <w:szCs w:val="24"/>
        </w:rPr>
        <w:t>Frontiers in Ecology and the Environment</w:t>
      </w:r>
      <w:r w:rsidRPr="005269D7">
        <w:rPr>
          <w:rFonts w:cs="Helvetica"/>
          <w:szCs w:val="24"/>
        </w:rPr>
        <w:t>. doi:10.1890/100125. http://www.esajournals.org/doi/abs/10.1890/100125.</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Leipziger, Danny, Marianne Fay, Quentin Wodon, and Tito Yepes. 2003. “Achieving the Millennium Development Goals: The Role of Infrastructure”. Policy Research Working Paper no. 3163. World Bank, Washington, DC.</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Light, Daniel. 2009. “The Role of ICT in Enhancing Education in Developing Countries: Findings from an Evaluation of The Intel® Teach Essentials Course in India, Turkey, and Chile.” </w:t>
      </w:r>
      <w:r w:rsidRPr="005269D7">
        <w:rPr>
          <w:rFonts w:cs="Helvetica"/>
          <w:i/>
          <w:iCs/>
          <w:szCs w:val="24"/>
        </w:rPr>
        <w:t>Complementary uses of Information Systems in Decision Making, Planning and Democracy: An Example in the Education Sector</w:t>
      </w:r>
      <w:r w:rsidRPr="005269D7">
        <w:rPr>
          <w:rFonts w:cs="Helvetica"/>
          <w:szCs w:val="24"/>
        </w:rPr>
        <w:t xml:space="preserve"> 4(2): 52–66.</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Lofgren, Hans, and Carolina Diaz-Bonilla. 2010. “MAMS: An Economy-Wide Model for Analysis of MDG Country Strategies–an Application to Latin America and the Caribbean.” In Marco Sánchez, Rob Vos, Enrique Ganuza, Hans Lofgren, and Carolina Díaz-Bonilla, eds.,. </w:t>
      </w:r>
      <w:r w:rsidRPr="005269D7">
        <w:rPr>
          <w:rFonts w:cs="Helvetica"/>
          <w:i/>
          <w:iCs/>
          <w:szCs w:val="24"/>
        </w:rPr>
        <w:t>Public Policies for Human Development: Achieving the Millennium Development Goals in Latin America</w:t>
      </w:r>
      <w:r w:rsidRPr="005269D7">
        <w:rPr>
          <w:rFonts w:cs="Helvetica"/>
          <w:szCs w:val="24"/>
        </w:rPr>
        <w:t>. Basingstoke, UK: Palgrave Macmillan, 71–126.</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Lokshin, Michael, and Ruslan Yemtsov. 2004. </w:t>
      </w:r>
      <w:r w:rsidRPr="005269D7">
        <w:rPr>
          <w:rFonts w:cs="Helvetica"/>
          <w:i/>
          <w:iCs/>
          <w:szCs w:val="24"/>
        </w:rPr>
        <w:t>Evaluating the Impact of Infrastructure Rehabilitation Projects on Household Welfare in Rural Georgia</w:t>
      </w:r>
      <w:r w:rsidRPr="005269D7">
        <w:rPr>
          <w:rFonts w:cs="Helvetica"/>
          <w:szCs w:val="24"/>
        </w:rPr>
        <w:t>. Research Paper. Georgia: Poverty Update. Washington, DC: World Bank.</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López, Humberto. 2003. “Macroeconomics and Inequality.” Paper delivered at the Macroeconomic Challenges in Low Income Countries,. Washington, DC: International Monetary Fund. http://www.imf.org/external/np/res/seminars/2003/lic/pdf/hl.pdf.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2004. “Pro-Growth, Pro-Poor: Is There a Tradeoff?” Policy Research Working Paper Series WPS3378. World Bank, Washington, DC.</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Lora, Eduardo A. 2007. </w:t>
      </w:r>
      <w:r w:rsidRPr="005269D7">
        <w:rPr>
          <w:rFonts w:cs="Helvetica"/>
          <w:i/>
          <w:iCs/>
          <w:szCs w:val="24"/>
        </w:rPr>
        <w:t>Public Investment in Infrastructure in Latin America: Is Debt the Culprit?</w:t>
      </w:r>
      <w:r w:rsidRPr="005269D7">
        <w:rPr>
          <w:rFonts w:cs="Helvetica"/>
          <w:szCs w:val="24"/>
        </w:rPr>
        <w:t xml:space="preserve"> Inter-American Development Bank Working Paper. Washington, DC: Inter-American Development Bank (IADB) - Research Department.</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Martínez, Andrés, Valentín Villarroel, Joaquín Seoane, and Francisco del Pozo. 2004. “Rural Telemedicine for Primary Healthcare in Developing Countries.” </w:t>
      </w:r>
      <w:r w:rsidRPr="005269D7">
        <w:rPr>
          <w:rFonts w:cs="Helvetica"/>
          <w:i/>
          <w:iCs/>
          <w:szCs w:val="24"/>
        </w:rPr>
        <w:t>IEEE Technology and Society Magazine</w:t>
      </w:r>
      <w:r w:rsidRPr="005269D7">
        <w:rPr>
          <w:rFonts w:cs="Helvetica"/>
          <w:szCs w:val="24"/>
        </w:rPr>
        <w:t xml:space="preserve"> 23(2): 13– 22. doi:10.1109/MTAS.2004.1304394.</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Mathers, Colin D., and Dejan Loncar. 2006. “Projections of Global Mortality and Burden of Disease from 2002 to 2030.” </w:t>
      </w:r>
      <w:r w:rsidRPr="005269D7">
        <w:rPr>
          <w:rFonts w:cs="Helvetica"/>
          <w:i/>
          <w:iCs/>
          <w:szCs w:val="24"/>
        </w:rPr>
        <w:t>PLoS Medicine</w:t>
      </w:r>
      <w:r w:rsidRPr="005269D7">
        <w:rPr>
          <w:rFonts w:cs="Helvetica"/>
          <w:szCs w:val="24"/>
        </w:rPr>
        <w:t xml:space="preserve"> 3(11): e442. doi:10.1371/journal.pmed.0030442.</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n.d. “New Projections of Global Mortality and Burden of Disease from 2002 to 2030. Protocol S1. Technical Appendix to Mathers and Loncar 2006.”</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Mbekeani, Kennedy K. 2010. “Infrastructure, Trade Expansion and Regional Integration: Global Experience and Lessons for Africa.” </w:t>
      </w:r>
      <w:r w:rsidRPr="005269D7">
        <w:rPr>
          <w:rFonts w:cs="Helvetica"/>
          <w:i/>
          <w:iCs/>
          <w:szCs w:val="24"/>
        </w:rPr>
        <w:t>Journal of African Economies</w:t>
      </w:r>
      <w:r w:rsidRPr="005269D7">
        <w:rPr>
          <w:rFonts w:cs="Helvetica"/>
          <w:szCs w:val="24"/>
        </w:rPr>
        <w:t xml:space="preserve"> 19(Supplement 1): i88–i113. doi:10.1093/jae/ejp021.</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McCrae, John. 2001. </w:t>
      </w:r>
      <w:r w:rsidRPr="005269D7">
        <w:rPr>
          <w:rFonts w:cs="Helvetica"/>
          <w:i/>
          <w:iCs/>
          <w:szCs w:val="24"/>
        </w:rPr>
        <w:t>Roads</w:t>
      </w:r>
      <w:r w:rsidRPr="005269D7">
        <w:rPr>
          <w:rFonts w:cs="Helvetica"/>
          <w:szCs w:val="24"/>
        </w:rPr>
        <w:t>. The Creative Company, August 1.</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McCully, Patrick. 2001. </w:t>
      </w:r>
      <w:r w:rsidRPr="005269D7">
        <w:rPr>
          <w:rFonts w:cs="Helvetica"/>
          <w:i/>
          <w:iCs/>
          <w:szCs w:val="24"/>
        </w:rPr>
        <w:t>Silenced Rivers: The Ecology and Politics of Large Dams</w:t>
      </w:r>
      <w:r w:rsidRPr="005269D7">
        <w:rPr>
          <w:rFonts w:cs="Helvetica"/>
          <w:szCs w:val="24"/>
        </w:rPr>
        <w:t>, Enl. and updated ed. London and New York: Zed Books.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McNeil, Ian. 1990. </w:t>
      </w:r>
      <w:r w:rsidRPr="005269D7">
        <w:rPr>
          <w:rFonts w:cs="Helvetica"/>
          <w:i/>
          <w:iCs/>
          <w:szCs w:val="24"/>
        </w:rPr>
        <w:t>An Encyclopaedia of the History of Technology</w:t>
      </w:r>
      <w:r w:rsidRPr="005269D7">
        <w:rPr>
          <w:rFonts w:cs="Helvetica"/>
          <w:szCs w:val="24"/>
        </w:rPr>
        <w:t>. Taylor &amp; Francis, February 2.</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Misuraca, Gianluca, Alasdair Reid, and Mark Deakin. 2011. </w:t>
      </w:r>
      <w:r w:rsidRPr="005269D7">
        <w:rPr>
          <w:rFonts w:cs="Helvetica"/>
          <w:i/>
          <w:iCs/>
          <w:szCs w:val="24"/>
        </w:rPr>
        <w:t>Exploring Emerging ICT-Enabled Governance Models in European Cities</w:t>
      </w:r>
      <w:r w:rsidRPr="005269D7">
        <w:rPr>
          <w:rFonts w:cs="Helvetica"/>
          <w:szCs w:val="24"/>
        </w:rPr>
        <w:t>. Seville, Spain: Joint Research Centre, Institute for Prospective Studies. ftp://ftp.jrc.es/pub/EURdoc/EURdoc/JRC65581_TN.pdf.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Mithen, Steven. 2006. </w:t>
      </w:r>
      <w:r w:rsidRPr="005269D7">
        <w:rPr>
          <w:rFonts w:cs="Helvetica"/>
          <w:i/>
          <w:iCs/>
          <w:szCs w:val="24"/>
        </w:rPr>
        <w:t>After the Ice: A Global Human History, 20,000-5000 BC</w:t>
      </w:r>
      <w:r w:rsidRPr="005269D7">
        <w:rPr>
          <w:rFonts w:cs="Helvetica"/>
          <w:szCs w:val="24"/>
        </w:rPr>
        <w:t>. Cambridge, MA: Harvard University Press.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Morgan, Trevor. 2006. “Outlook for Global Investment in Electricity Infrastructure.” In Organisation for Economic Co-operation and DevelopmentOrganisation for Economic Cooperation and Development (OECD), ed.,. </w:t>
      </w:r>
      <w:r w:rsidRPr="005269D7">
        <w:rPr>
          <w:rFonts w:cs="Helvetica"/>
          <w:i/>
          <w:iCs/>
          <w:szCs w:val="24"/>
        </w:rPr>
        <w:t>Infrastructure to 2030 Volume 1: Telecom, Land Transport, Water and Electricity</w:t>
      </w:r>
      <w:r w:rsidRPr="005269D7">
        <w:rPr>
          <w:rFonts w:cs="Helvetica"/>
          <w:szCs w:val="24"/>
        </w:rPr>
        <w:t>. Infrastructure to 2030. Paris: Organisation for Economic Cooperation and Development (OECD), 149–184.</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Morten, Nielsen. 2009. Technology Use in the 2009 South African Elections. </w:t>
      </w:r>
      <w:r w:rsidRPr="005269D7">
        <w:rPr>
          <w:rFonts w:cs="Helvetica"/>
          <w:i/>
          <w:iCs/>
          <w:szCs w:val="24"/>
        </w:rPr>
        <w:t>Pan European Participation Network</w:t>
      </w:r>
      <w:r w:rsidRPr="005269D7">
        <w:rPr>
          <w:rFonts w:cs="Helvetica"/>
          <w:szCs w:val="24"/>
        </w:rPr>
        <w:t>. April 20.</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Moyer, Jonathan D., and Barry B. Hughes. 2012. “ICTs: Do They Contribute to Increased Carbon Emissions?” </w:t>
      </w:r>
      <w:r w:rsidRPr="005269D7">
        <w:rPr>
          <w:rFonts w:cs="Helvetica"/>
          <w:i/>
          <w:iCs/>
          <w:szCs w:val="24"/>
        </w:rPr>
        <w:t>Technological Forecasting and Social Change</w:t>
      </w:r>
      <w:r w:rsidRPr="005269D7">
        <w:rPr>
          <w:rFonts w:cs="Helvetica"/>
          <w:szCs w:val="24"/>
        </w:rPr>
        <w:t xml:space="preserve"> article in press. doi:10.1016/j.techfore.2011.12.005. http://linkinghub.elsevier.com/retrieve/pii/S0040162511002836.</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National Intelligence Council (USNIC). 2004. </w:t>
      </w:r>
      <w:r w:rsidRPr="005269D7">
        <w:rPr>
          <w:rFonts w:cs="Helvetica"/>
          <w:i/>
          <w:iCs/>
          <w:szCs w:val="24"/>
        </w:rPr>
        <w:t>Mapping the Global Future: Report of the National Intelligence Council’s 2020 Project, Based on Consultations with Nongovernmental Experts Around the World</w:t>
      </w:r>
      <w:r w:rsidRPr="005269D7">
        <w:rPr>
          <w:rFonts w:cs="Helvetica"/>
          <w:szCs w:val="24"/>
        </w:rPr>
        <w:t>. Washington, DC: National Intelligence Council, Supt. of Docs., USGPO, distributor.</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 2008. </w:t>
      </w:r>
      <w:r w:rsidRPr="005269D7">
        <w:rPr>
          <w:rFonts w:cs="Helvetica"/>
          <w:i/>
          <w:iCs/>
          <w:szCs w:val="24"/>
        </w:rPr>
        <w:t>Global Trands 2025: A Transformed World</w:t>
      </w:r>
      <w:r w:rsidRPr="005269D7">
        <w:rPr>
          <w:rFonts w:cs="Helvetica"/>
          <w:szCs w:val="24"/>
        </w:rPr>
        <w:t>. Washington, DC: National Intelligence Council (USNIC).</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Ndulu, Benno J. 2006. “Infrastructure, Regional Integration and Growth in Sub-Saharan Africa: Dealing with the Disadvantages of Geography and Sovereign Fragmentation.” </w:t>
      </w:r>
      <w:r w:rsidRPr="005269D7">
        <w:rPr>
          <w:rFonts w:cs="Helvetica"/>
          <w:i/>
          <w:iCs/>
          <w:szCs w:val="24"/>
        </w:rPr>
        <w:t>Journal of African Economies</w:t>
      </w:r>
      <w:r w:rsidRPr="005269D7">
        <w:rPr>
          <w:rFonts w:cs="Helvetica"/>
          <w:szCs w:val="24"/>
        </w:rPr>
        <w:t xml:space="preserve"> 15: 212–244. doi:10.1093/jae/ejl033.</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Nelson, Gerald C., Mark W. Rosegrant, Amanda Palazzo, Ian Gray, Christina Ingersoll, Richard Robertson, Simla Tokgoz, Tingju Zhu, Timothy B. Sulser, Claudia Ringler, Siwa Msangi, and Liangzhi You. 2010. </w:t>
      </w:r>
      <w:r w:rsidRPr="005269D7">
        <w:rPr>
          <w:rFonts w:cs="Helvetica"/>
          <w:i/>
          <w:iCs/>
          <w:szCs w:val="24"/>
        </w:rPr>
        <w:t>Food Security, Farming, and Climate Change to 2050: Scenarios, Results, Policy Options</w:t>
      </w:r>
      <w:r w:rsidRPr="005269D7">
        <w:rPr>
          <w:rFonts w:cs="Helvetica"/>
          <w:szCs w:val="24"/>
        </w:rPr>
        <w:t>. Washington, DC: International Food Policy Research Institute. http://www.ifpri.org/publication/food-security-farming-and-climate-change-2050.</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Nelson, Richard R., ed. 1993. </w:t>
      </w:r>
      <w:r w:rsidRPr="005269D7">
        <w:rPr>
          <w:rFonts w:cs="Helvetica"/>
          <w:i/>
          <w:iCs/>
          <w:szCs w:val="24"/>
        </w:rPr>
        <w:t>National Innovation Systems: A Comparative Analysis</w:t>
      </w:r>
      <w:r w:rsidRPr="005269D7">
        <w:rPr>
          <w:rFonts w:cs="Helvetica"/>
          <w:szCs w:val="24"/>
        </w:rPr>
        <w:t>. New York, NY: Oxford University Press.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O’Brian, Patrick. 2000. </w:t>
      </w:r>
      <w:r w:rsidRPr="005269D7">
        <w:rPr>
          <w:rFonts w:cs="Helvetica"/>
          <w:i/>
          <w:iCs/>
          <w:szCs w:val="24"/>
        </w:rPr>
        <w:t>Encyclopedia of World History</w:t>
      </w:r>
      <w:r w:rsidRPr="005269D7">
        <w:rPr>
          <w:rFonts w:cs="Helvetica"/>
          <w:szCs w:val="24"/>
        </w:rPr>
        <w:t>. New York, NY: Facts on File.</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O’Brien, Patrick Karl, Philip’s Map Studio, and Cosmographics (Firm). 1999. </w:t>
      </w:r>
      <w:r w:rsidRPr="005269D7">
        <w:rPr>
          <w:rFonts w:cs="Helvetica"/>
          <w:i/>
          <w:iCs/>
          <w:szCs w:val="24"/>
        </w:rPr>
        <w:t>Oxford Atlas of World History</w:t>
      </w:r>
      <w:r w:rsidRPr="005269D7">
        <w:rPr>
          <w:rFonts w:cs="Helvetica"/>
          <w:szCs w:val="24"/>
        </w:rPr>
        <w:t>. New York, NY: Oxford University Press.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Odoki, Jennaro B., Farhad Ahmed, Gary Taylor, and Sunday A. Okello. 2008. </w:t>
      </w:r>
      <w:r w:rsidRPr="005269D7">
        <w:rPr>
          <w:rFonts w:cs="Helvetica"/>
          <w:i/>
          <w:iCs/>
          <w:szCs w:val="24"/>
        </w:rPr>
        <w:t>Towards the Mainstreaming of an Approach to Include Social Benefit within Road Appraisal; A Case Study from Uganda</w:t>
      </w:r>
      <w:r w:rsidRPr="005269D7">
        <w:rPr>
          <w:rFonts w:cs="Helvetica"/>
          <w:szCs w:val="24"/>
        </w:rPr>
        <w:t>. Transport Sector Board Paper TP-17. Washington, DC: World Bank. http://www.dfid.gov.uk/r4d/PDF/Outputs/Transport/C21-TP-17_SocialBenefits_web.pdf.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Ogun, T. P. 2010. “Infrastructure and Poverty Reduction: Implications for Urban Development in Nigeria”. Working Paper no. 2010/43. World Institute for Development Economics Research, United Nations University, Helsinki. http://www.wider.unu.edu/stc/repec/pdfs/wp2010/wp2010-43.pdf.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Olson, Mancur. 1965. </w:t>
      </w:r>
      <w:r w:rsidRPr="005269D7">
        <w:rPr>
          <w:rFonts w:cs="Helvetica"/>
          <w:i/>
          <w:iCs/>
          <w:szCs w:val="24"/>
        </w:rPr>
        <w:t>The Logic of Collective Action</w:t>
      </w:r>
      <w:r w:rsidRPr="005269D7">
        <w:rPr>
          <w:rFonts w:cs="Helvetica"/>
          <w:szCs w:val="24"/>
        </w:rPr>
        <w:t>. Cambridge, MA: Harvard University Press.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Organisation for Economic Cooperation and Development (OECD). 2006. </w:t>
      </w:r>
      <w:r w:rsidRPr="005269D7">
        <w:rPr>
          <w:rFonts w:cs="Helvetica"/>
          <w:i/>
          <w:iCs/>
          <w:szCs w:val="24"/>
        </w:rPr>
        <w:t>Infrastructure to 2030 Volume 1: Telecom, Land Transport, Water and Electricity</w:t>
      </w:r>
      <w:r w:rsidRPr="005269D7">
        <w:rPr>
          <w:rFonts w:cs="Helvetica"/>
          <w:szCs w:val="24"/>
        </w:rPr>
        <w:t>. Infrastructure to 2030. Paris: Organisation for Economic Cooperation and Development (OECD).</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 2007. </w:t>
      </w:r>
      <w:r w:rsidRPr="005269D7">
        <w:rPr>
          <w:rFonts w:cs="Helvetica"/>
          <w:i/>
          <w:iCs/>
          <w:szCs w:val="24"/>
        </w:rPr>
        <w:t>Infrastructure to 2030 Volume 2: Mapping Policy for Electricity, Water and Transport</w:t>
      </w:r>
      <w:r w:rsidRPr="005269D7">
        <w:rPr>
          <w:rFonts w:cs="Helvetica"/>
          <w:szCs w:val="24"/>
        </w:rPr>
        <w:t>. Infrastructure to 2030. Paris: Organisation for Economic Cooperation and Development (OECD).</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 2009a. </w:t>
      </w:r>
      <w:r w:rsidRPr="005269D7">
        <w:rPr>
          <w:rFonts w:cs="Helvetica"/>
          <w:i/>
          <w:iCs/>
          <w:szCs w:val="24"/>
        </w:rPr>
        <w:t>Going for Growth: Economic Policy Reforms</w:t>
      </w:r>
      <w:r w:rsidRPr="005269D7">
        <w:rPr>
          <w:rFonts w:cs="Helvetica"/>
          <w:szCs w:val="24"/>
        </w:rPr>
        <w:t>. Paris: Organisation for Economic Cooperation and Development (OECD).</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2009b. OECD Futures Project: Transcontinental Needs to 2030/2050: Project Description. Organisation for Economic Co-operation and Development Advisory Unit on Multi-disciplinary Issues.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 2010a. </w:t>
      </w:r>
      <w:r w:rsidRPr="005269D7">
        <w:rPr>
          <w:rFonts w:cs="Helvetica"/>
          <w:i/>
          <w:iCs/>
          <w:szCs w:val="24"/>
        </w:rPr>
        <w:t>Are the New Millennium Learners Making the Grade? Technology Use and Educational Performance in PISA 2006.</w:t>
      </w:r>
      <w:r w:rsidRPr="005269D7">
        <w:rPr>
          <w:rFonts w:cs="Helvetica"/>
          <w:szCs w:val="24"/>
        </w:rPr>
        <w:t xml:space="preserve"> Paris: OECD Publishing and Centre for Educational Research and Innovation. http://www.oecd.org/document/57/0,3746,en_2649_35845581_45000313_1_1_1_1,00.html.</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 2010b. </w:t>
      </w:r>
      <w:r w:rsidRPr="005269D7">
        <w:rPr>
          <w:rFonts w:cs="Helvetica"/>
          <w:i/>
          <w:iCs/>
          <w:szCs w:val="24"/>
        </w:rPr>
        <w:t>Improving Health Sector Efficiency: The Role of Information and Communication Technologies</w:t>
      </w:r>
      <w:r w:rsidRPr="005269D7">
        <w:rPr>
          <w:rFonts w:cs="Helvetica"/>
          <w:szCs w:val="24"/>
        </w:rPr>
        <w:t>. Paris: Organisation for Economic Cooperation and Development (OECD).</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 2010c. </w:t>
      </w:r>
      <w:r w:rsidRPr="005269D7">
        <w:rPr>
          <w:rFonts w:cs="Helvetica"/>
          <w:i/>
          <w:iCs/>
          <w:szCs w:val="24"/>
        </w:rPr>
        <w:t>Improving Health Sector Efficiency: The Role of Information and Communication Technologies</w:t>
      </w:r>
      <w:r w:rsidRPr="005269D7">
        <w:rPr>
          <w:rFonts w:cs="Helvetica"/>
          <w:szCs w:val="24"/>
        </w:rPr>
        <w:t>. OECD Health Policy Studies. Paris: Organisation for Economic Cooperation and Development (OECD).</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 2011. </w:t>
      </w:r>
      <w:r w:rsidRPr="005269D7">
        <w:rPr>
          <w:rFonts w:cs="Helvetica"/>
          <w:i/>
          <w:iCs/>
          <w:szCs w:val="24"/>
        </w:rPr>
        <w:t>OECD Communications Outlook 2011</w:t>
      </w:r>
      <w:r w:rsidRPr="005269D7">
        <w:rPr>
          <w:rFonts w:cs="Helvetica"/>
          <w:szCs w:val="24"/>
        </w:rPr>
        <w:t>. Paris: Organisation for Economic Cooperation and Development (OECD). 10.1787/comms_outlook-2011-en.</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Oswald, Michelle, Qiang Li, Sue McNeil, and Susanne Trimbath. 2011. “Measuring Infrastructure Performance: Development of a National Infrastructure Index.” </w:t>
      </w:r>
      <w:r w:rsidRPr="005269D7">
        <w:rPr>
          <w:rFonts w:cs="Helvetica"/>
          <w:i/>
          <w:iCs/>
          <w:szCs w:val="24"/>
        </w:rPr>
        <w:t>Public Works Management &amp; Policy</w:t>
      </w:r>
      <w:r w:rsidRPr="005269D7">
        <w:rPr>
          <w:rFonts w:cs="Helvetica"/>
          <w:szCs w:val="24"/>
        </w:rPr>
        <w:t>. doi:10.1177/1087724X11410071. http://pwm.sagepub.com/content/early/2011/05/24/1087724X11410071.abstract.</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Parfitt, Julian, Mark Barthel, and Sarah Macnaughton. 2010. “Food Waste Within Food Supply Chains: Quantification and Potential for Change to 2050.” </w:t>
      </w:r>
      <w:r w:rsidRPr="005269D7">
        <w:rPr>
          <w:rFonts w:cs="Helvetica"/>
          <w:i/>
          <w:iCs/>
          <w:szCs w:val="24"/>
        </w:rPr>
        <w:t>Philosophical Transactions of the Royal Society B: Biological Sciences</w:t>
      </w:r>
      <w:r w:rsidRPr="005269D7">
        <w:rPr>
          <w:rFonts w:cs="Helvetica"/>
          <w:szCs w:val="24"/>
        </w:rPr>
        <w:t xml:space="preserve"> 365(1554): 3065–3081. doi:10.1098/rstb.2010.0126.</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Pearce, Fred. 2003. “Replumbing the Planet-Gigantic Engineering Projects Are Redirecting the Waters of Some of the World’s Greatest Rivers. Are These Megaprojects the Only Way to Bring Clean Water to All, or Are They.” </w:t>
      </w:r>
      <w:r w:rsidRPr="005269D7">
        <w:rPr>
          <w:rFonts w:cs="Helvetica"/>
          <w:i/>
          <w:iCs/>
          <w:szCs w:val="24"/>
        </w:rPr>
        <w:t>New Scientist-UK Edition</w:t>
      </w:r>
      <w:r w:rsidRPr="005269D7">
        <w:rPr>
          <w:rFonts w:cs="Helvetica"/>
          <w:szCs w:val="24"/>
        </w:rPr>
        <w:t xml:space="preserve"> 178(2398): 30–35.</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 2006. </w:t>
      </w:r>
      <w:r w:rsidRPr="005269D7">
        <w:rPr>
          <w:rFonts w:cs="Helvetica"/>
          <w:i/>
          <w:iCs/>
          <w:szCs w:val="24"/>
        </w:rPr>
        <w:t>When the Rivers Run Dry: Water, the Defining Crisis of the Twenty-First Century</w:t>
      </w:r>
      <w:r w:rsidRPr="005269D7">
        <w:rPr>
          <w:rFonts w:cs="Helvetica"/>
          <w:szCs w:val="24"/>
        </w:rPr>
        <w:t>. Boston, MA: Beacon Press.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Permanent Secretariat of SELA. 2011. “Physical Infrastructure for Integration in Latin America and the Caribbean”. SP/Di no. 09-11. Latin America and Caribbean Economic System, Caracas, Venezuela. http://www.sela.org/attach/258/EDOCS/SRed/2011/06/T023600004772-0-Physical_Infrastructure_for_Integration_in_LAC.pdf.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Perrault, Jean-François, Luc Savard, and Antonio Estache. 2010. “The Impact of Infrastructure Spending in Sub-Saharan Africa: A CGE Modeling Approach”. Africa Infrastructure Country Diagnostic Working Paper no. 15. World Bank, Washington, DC.</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Pinstrup-Andersen, Per, and Shimokawa Shimokawa. 2008. “Rural Infrastructure and Agricultural Development.” In François Bourguignon and Boris Pleskovic, eds.,. </w:t>
      </w:r>
      <w:r w:rsidRPr="005269D7">
        <w:rPr>
          <w:rFonts w:cs="Helvetica"/>
          <w:i/>
          <w:iCs/>
          <w:szCs w:val="24"/>
        </w:rPr>
        <w:t>Rethinking Infrastructure for Development</w:t>
      </w:r>
      <w:r w:rsidRPr="005269D7">
        <w:rPr>
          <w:rFonts w:cs="Helvetica"/>
          <w:szCs w:val="24"/>
        </w:rPr>
        <w:t>. Annual World Bank Conference on Development Economics - 2007. Washington, DC: World Bank, 175–203.</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Poddar, Tushar. 2009. “India CAN Afford Its Massive Infrastructure Needs”. Global Economics Paper no. 187. Goldman Sachs, New York, NY. http://www2.goldmansachs.com/our-thinking/brics/brics-reports-pdfs/infrastructure-building-the-world.pdf.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Porter, Gina, Kate Hampshire, Albert Abane, Augustine Tanle, Alister Munthali, Elsbeth Robson, Mac Mashiri, and Goodhope Maponya. 2011. “Young People’s Transport and Mobility in Sub-Saharan Africa: The Gendered Journey to School.” </w:t>
      </w:r>
      <w:r w:rsidRPr="005269D7">
        <w:rPr>
          <w:rFonts w:cs="Helvetica"/>
          <w:i/>
          <w:iCs/>
          <w:szCs w:val="24"/>
        </w:rPr>
        <w:t>Documents d’Anàlisi Geogràfica</w:t>
      </w:r>
      <w:r w:rsidRPr="005269D7">
        <w:rPr>
          <w:rFonts w:cs="Helvetica"/>
          <w:szCs w:val="24"/>
        </w:rPr>
        <w:t xml:space="preserve"> 57(1): 61–79.</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Practical Action. 2010. </w:t>
      </w:r>
      <w:r w:rsidRPr="005269D7">
        <w:rPr>
          <w:rFonts w:cs="Helvetica"/>
          <w:i/>
          <w:iCs/>
          <w:szCs w:val="24"/>
        </w:rPr>
        <w:t>Poor People’s Energy Outlook 2010</w:t>
      </w:r>
      <w:r w:rsidRPr="005269D7">
        <w:rPr>
          <w:rFonts w:cs="Helvetica"/>
          <w:szCs w:val="24"/>
        </w:rPr>
        <w:t>. Rugby, UK: Practical Action.</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Pritchett, Lant. 2000. “The Tyranny of Concepts: CUDIE (Cumulated, Depreciated, Investment Effort) Is Not Capital.” </w:t>
      </w:r>
      <w:r w:rsidRPr="005269D7">
        <w:rPr>
          <w:rFonts w:cs="Helvetica"/>
          <w:i/>
          <w:iCs/>
          <w:szCs w:val="24"/>
        </w:rPr>
        <w:t>Journal of Economic Growth</w:t>
      </w:r>
      <w:r w:rsidRPr="005269D7">
        <w:rPr>
          <w:rFonts w:cs="Helvetica"/>
          <w:szCs w:val="24"/>
        </w:rPr>
        <w:t xml:space="preserve"> 5(4): 361–384.</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Prüss-Üstün, Annette, and Carlos F. Corvalán. 2006. </w:t>
      </w:r>
      <w:r w:rsidRPr="005269D7">
        <w:rPr>
          <w:rFonts w:cs="Helvetica"/>
          <w:i/>
          <w:iCs/>
          <w:szCs w:val="24"/>
        </w:rPr>
        <w:t>Preventing Disease Through Healthy Environments: Towards an Estimate of the Environmental Burden of Disease</w:t>
      </w:r>
      <w:r w:rsidRPr="005269D7">
        <w:rPr>
          <w:rFonts w:cs="Helvetica"/>
          <w:szCs w:val="24"/>
        </w:rPr>
        <w:t>. Geneva, Switzerland: World Health Organization (WHO).</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Prüss-Üstün, Annette, David Kay, Lorna Fewtrell, and Jamie Bartram. 2004. “Unsafe Water, Sanitation and Hygiene.” </w:t>
      </w:r>
      <w:r w:rsidRPr="005269D7">
        <w:rPr>
          <w:rFonts w:cs="Helvetica"/>
          <w:i/>
          <w:iCs/>
          <w:szCs w:val="24"/>
        </w:rPr>
        <w:t>Comparative Quantification of Health Risks: Global and Regional Burden of Disease Attributable to Selected Major Risk Factors</w:t>
      </w:r>
      <w:r w:rsidRPr="005269D7">
        <w:rPr>
          <w:rFonts w:cs="Helvetica"/>
          <w:szCs w:val="24"/>
        </w:rPr>
        <w:t>. Vol. 2. Geneva, Switzerland: World Health Organization (WHO), 2:1321–1352.</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Qaddoumi, Ibrahim, Asem Mansour, Awni Musharbash, James Drake, Maisa Swaidan, Tarik Tihan, and Eric Bouffet. 2007. “Impact of Telemedicine on Pediatric Neuro-Oncology in a Developing Country: The Jordanian-Canadian Experience.” </w:t>
      </w:r>
      <w:r w:rsidRPr="005269D7">
        <w:rPr>
          <w:rFonts w:cs="Helvetica"/>
          <w:i/>
          <w:iCs/>
          <w:szCs w:val="24"/>
        </w:rPr>
        <w:t>Pediatric Blood &amp; Cancer</w:t>
      </w:r>
      <w:r w:rsidRPr="005269D7">
        <w:rPr>
          <w:rFonts w:cs="Helvetica"/>
          <w:szCs w:val="24"/>
        </w:rPr>
        <w:t xml:space="preserve"> 48(1): 39–43. doi:10.1002/pbc.21085.</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Qiang, Christine Zhen-Wei, Carlo M. Rossotto, and Kaoru Kimura. 2009. “Economic Impacts of Broadband.” In World Bank, ed.,. </w:t>
      </w:r>
      <w:r w:rsidRPr="005269D7">
        <w:rPr>
          <w:rFonts w:cs="Helvetica"/>
          <w:i/>
          <w:iCs/>
          <w:szCs w:val="24"/>
        </w:rPr>
        <w:t>2009 Information and Communications for Development: Extending Reach and Increasing Impact</w:t>
      </w:r>
      <w:r w:rsidRPr="005269D7">
        <w:rPr>
          <w:rFonts w:cs="Helvetica"/>
          <w:szCs w:val="24"/>
        </w:rPr>
        <w:t>. Washington, DC: World Bank, 35–50.</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Rawls, John. 1971. </w:t>
      </w:r>
      <w:r w:rsidRPr="005269D7">
        <w:rPr>
          <w:rFonts w:cs="Helvetica"/>
          <w:i/>
          <w:iCs/>
          <w:szCs w:val="24"/>
        </w:rPr>
        <w:t>A Theory of Justice</w:t>
      </w:r>
      <w:r w:rsidRPr="005269D7">
        <w:rPr>
          <w:rFonts w:cs="Helvetica"/>
          <w:szCs w:val="24"/>
        </w:rPr>
        <w:t>. Cambridge, MA: Harvard University Press.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Redmount, C. A. 1995. “The Wadi Tumilat and the‘ Canal of the Pharaohs’.” </w:t>
      </w:r>
      <w:r w:rsidRPr="005269D7">
        <w:rPr>
          <w:rFonts w:cs="Helvetica"/>
          <w:i/>
          <w:iCs/>
          <w:szCs w:val="24"/>
        </w:rPr>
        <w:t>Journal of Near Eastern Studies</w:t>
      </w:r>
      <w:r w:rsidRPr="005269D7">
        <w:rPr>
          <w:rFonts w:cs="Helvetica"/>
          <w:szCs w:val="24"/>
        </w:rPr>
        <w:t xml:space="preserve"> 54(2): 127–135.</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Richter, Brian D., Sandra Postel, Carmen Revenga, Thayer Scudder, Bernhard Lehner, Allegra Churchill, and Morgan Chow. 2010. “Lost in Development’s Shadow: The Downstream Human Consequences of Dams.” </w:t>
      </w:r>
      <w:r w:rsidRPr="005269D7">
        <w:rPr>
          <w:rFonts w:cs="Helvetica"/>
          <w:i/>
          <w:iCs/>
          <w:szCs w:val="24"/>
        </w:rPr>
        <w:t>Water Alternatives</w:t>
      </w:r>
      <w:r w:rsidRPr="005269D7">
        <w:rPr>
          <w:rFonts w:cs="Helvetica"/>
          <w:szCs w:val="24"/>
        </w:rPr>
        <w:t xml:space="preserve"> 3(2): 14–42.</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Rijsberman, Frank R. 2006. “Water Scarcity: Fact or Fiction?” </w:t>
      </w:r>
      <w:r w:rsidRPr="005269D7">
        <w:rPr>
          <w:rFonts w:cs="Helvetica"/>
          <w:i/>
          <w:iCs/>
          <w:szCs w:val="24"/>
        </w:rPr>
        <w:t>Agricultural Water Management</w:t>
      </w:r>
      <w:r w:rsidRPr="005269D7">
        <w:rPr>
          <w:rFonts w:cs="Helvetica"/>
          <w:szCs w:val="24"/>
        </w:rPr>
        <w:t xml:space="preserve"> 80(1-3): 5–22.</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Rioja, Felix K. 2001. “Growth, Welfare, and Public Infrastructure: A General Equilibrium Analysis of Latin American Economies.” </w:t>
      </w:r>
      <w:r w:rsidRPr="005269D7">
        <w:rPr>
          <w:rFonts w:cs="Helvetica"/>
          <w:i/>
          <w:iCs/>
          <w:szCs w:val="24"/>
        </w:rPr>
        <w:t>Journal of Economic Development</w:t>
      </w:r>
      <w:r w:rsidRPr="005269D7">
        <w:rPr>
          <w:rFonts w:cs="Helvetica"/>
          <w:szCs w:val="24"/>
        </w:rPr>
        <w:t xml:space="preserve"> 26(2): 119–130.</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Roberts, Peter, Shyam KC, and Cordula Rastogi. 2006. </w:t>
      </w:r>
      <w:r w:rsidRPr="005269D7">
        <w:rPr>
          <w:rFonts w:cs="Helvetica"/>
          <w:i/>
          <w:iCs/>
          <w:szCs w:val="24"/>
        </w:rPr>
        <w:t>Rural Access Index: A Key Development Indicator</w:t>
      </w:r>
      <w:r w:rsidRPr="005269D7">
        <w:rPr>
          <w:rFonts w:cs="Helvetica"/>
          <w:szCs w:val="24"/>
        </w:rPr>
        <w:t>. Transport Papers. Washington, DC: World Bank. http://www.worldbank.org/transport/transportresults/headline/rural-access.html.</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Rodrigues, Monica. 2010. “Information and Communication Technology (ict) and Latin American Agricultural Technology Systems: A Preliminary Coevolution Approach.” Paper delivered at the 4th International Conference on Indicators and Concepts of Innovation (ICICI 2010),. Stuttgart, Germany.</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Rogers, Bonnie, Kim Dennison, Nikki Adepoju, Shelia Dowd, and Kenneth Uedoi. 2010. “Vaccine Cold Chain: Part 1. Proper Handling and Storage of Vaccine.” </w:t>
      </w:r>
      <w:r w:rsidRPr="005269D7">
        <w:rPr>
          <w:rFonts w:cs="Helvetica"/>
          <w:i/>
          <w:iCs/>
          <w:szCs w:val="24"/>
        </w:rPr>
        <w:t>AAOHN Journal</w:t>
      </w:r>
      <w:r w:rsidRPr="005269D7">
        <w:rPr>
          <w:rFonts w:cs="Helvetica"/>
          <w:szCs w:val="24"/>
        </w:rPr>
        <w:t xml:space="preserve"> 58(8): 337–344. doi:10.3928/08910162-20100716-02.</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Röller, Lars-Hendrik, and Leonard Waverman. 2001. “Telecommunications Infrastructure and Economic Development: A Simultaneous Approach.” </w:t>
      </w:r>
      <w:r w:rsidRPr="005269D7">
        <w:rPr>
          <w:rFonts w:cs="Helvetica"/>
          <w:i/>
          <w:iCs/>
          <w:szCs w:val="24"/>
        </w:rPr>
        <w:t>American Economic Review</w:t>
      </w:r>
      <w:r w:rsidRPr="005269D7">
        <w:rPr>
          <w:rFonts w:cs="Helvetica"/>
          <w:szCs w:val="24"/>
        </w:rPr>
        <w:t xml:space="preserve"> 91(4): 909–923.</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Romer, Paul. 1994. “The Origins of Endogenous Growth.” </w:t>
      </w:r>
      <w:r w:rsidRPr="005269D7">
        <w:rPr>
          <w:rFonts w:cs="Helvetica"/>
          <w:i/>
          <w:iCs/>
          <w:szCs w:val="24"/>
        </w:rPr>
        <w:t>Journal of Economic Perspectives</w:t>
      </w:r>
      <w:r w:rsidRPr="005269D7">
        <w:rPr>
          <w:rFonts w:cs="Helvetica"/>
          <w:szCs w:val="24"/>
        </w:rPr>
        <w:t xml:space="preserve"> 8(1): 3–22.</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Romer, Paul M. 1990. “Endogenous Technological Change.” </w:t>
      </w:r>
      <w:r w:rsidRPr="005269D7">
        <w:rPr>
          <w:rFonts w:cs="Helvetica"/>
          <w:i/>
          <w:iCs/>
          <w:szCs w:val="24"/>
        </w:rPr>
        <w:t>Journal of Political Economy</w:t>
      </w:r>
      <w:r w:rsidRPr="005269D7">
        <w:rPr>
          <w:rFonts w:cs="Helvetica"/>
          <w:szCs w:val="24"/>
        </w:rPr>
        <w:t xml:space="preserve"> 98(5): 71–102.</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Romp, Ward, and Jakob de Haan. 2007. “Public Capital and Economic Growth: A Critical Survey.” </w:t>
      </w:r>
      <w:r w:rsidRPr="005269D7">
        <w:rPr>
          <w:rFonts w:cs="Helvetica"/>
          <w:i/>
          <w:iCs/>
          <w:szCs w:val="24"/>
        </w:rPr>
        <w:t>Perspektiven der Wirtschaftspolitik</w:t>
      </w:r>
      <w:r w:rsidRPr="005269D7">
        <w:rPr>
          <w:rFonts w:cs="Helvetica"/>
          <w:szCs w:val="24"/>
        </w:rPr>
        <w:t xml:space="preserve"> 8(S1): 6–52. doi:10.1111/j.1468-2516.2007.00242.x.</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Rose-Ackerman, S. 1999. </w:t>
      </w:r>
      <w:r w:rsidRPr="005269D7">
        <w:rPr>
          <w:rFonts w:cs="Helvetica"/>
          <w:i/>
          <w:iCs/>
          <w:szCs w:val="24"/>
        </w:rPr>
        <w:t>Corruption and Government: Causes, Consequences, and Reform</w:t>
      </w:r>
      <w:r w:rsidRPr="005269D7">
        <w:rPr>
          <w:rFonts w:cs="Helvetica"/>
          <w:szCs w:val="24"/>
        </w:rPr>
        <w:t>. Cambridge, UK: Cambridge University Press.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Rosenberg, David M., Patrick McCully, and Catherine M. Pringle. 2000. “Global-Scale Environmental Effects of Hydrological Alterations: Introduction.” </w:t>
      </w:r>
      <w:r w:rsidRPr="005269D7">
        <w:rPr>
          <w:rFonts w:cs="Helvetica"/>
          <w:i/>
          <w:iCs/>
          <w:szCs w:val="24"/>
        </w:rPr>
        <w:t>BioScience</w:t>
      </w:r>
      <w:r w:rsidRPr="005269D7">
        <w:rPr>
          <w:rFonts w:cs="Helvetica"/>
          <w:szCs w:val="24"/>
        </w:rPr>
        <w:t xml:space="preserve"> 50(9): 746–751. doi:10.1641/0006-3568(2000)050[0746:GSEEOH]2.0.CO;2.</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Schwab, Klaus. 2010. </w:t>
      </w:r>
      <w:r w:rsidRPr="005269D7">
        <w:rPr>
          <w:rFonts w:cs="Helvetica"/>
          <w:i/>
          <w:iCs/>
          <w:szCs w:val="24"/>
        </w:rPr>
        <w:t>The Global Competitiveness Report 2010-2011</w:t>
      </w:r>
      <w:r w:rsidRPr="005269D7">
        <w:rPr>
          <w:rFonts w:cs="Helvetica"/>
          <w:szCs w:val="24"/>
        </w:rPr>
        <w:t>. Geneva, Switzerland: World Economic Forum.</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Searls, Doc. 2008. Understanding Infrastructure. Linux Journal. </w:t>
      </w:r>
      <w:r w:rsidRPr="005269D7">
        <w:rPr>
          <w:rFonts w:cs="Helvetica"/>
          <w:i/>
          <w:iCs/>
          <w:szCs w:val="24"/>
        </w:rPr>
        <w:t>Understanding Infrastructure | Linux Journal</w:t>
      </w:r>
      <w:r w:rsidRPr="005269D7">
        <w:rPr>
          <w:rFonts w:cs="Helvetica"/>
          <w:szCs w:val="24"/>
        </w:rPr>
        <w:t>. April 19. http://www.linuxjournal.com/content/understanding-infrastructure.</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Seed, Raymond B, Robert G Bea, Remon I Abdelmalak, Adda G Athanasopoulos, Jr. Boutwell, Jonathan D Bray, Jean-Louis Briaud, Carmen Cheung, Diego Cobos-Roa, Julien Cohen-Waeber, Brian D Collins, Luke Ehrensing, Dan A Farber, W. Michael Hanneman, Leslie F Harder, Kofi S Inkabi, Anne M Kammerer, Deniz Karadeniz, Robert E Kayen, Robb E. S Moss, Jennifer Nicks, Seshu Nimala, Juan M Pestana, Jim Porter, Keunyong Rhee, Michael F Riemer, Karlene Roberts, J. David Rogers, Rune Storesund, Anand V Govindasamy, Xavier Vera-Grunauer, Joseph E Wartman, Conor M Watkins, Jr. Wenk, and Solomon C Yim. 2006. “Investigation of the Performance of the New Orleans Flood Protection System in Hurrican Katrina on August 29, 2005.” </w:t>
      </w:r>
      <w:r w:rsidRPr="005269D7">
        <w:rPr>
          <w:rFonts w:cs="Helvetica"/>
          <w:i/>
          <w:iCs/>
          <w:szCs w:val="24"/>
        </w:rPr>
        <w:t>Final Report July 31, 2006</w:t>
      </w:r>
      <w:r w:rsidRPr="005269D7">
        <w:rPr>
          <w:rFonts w:cs="Helvetica"/>
          <w:szCs w:val="24"/>
        </w:rPr>
        <w:t xml:space="preserve"> 1: Main Text and Executive Summary. http://works.bepress.com/rmoss/17/.</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Seely, Bruce. 2008. “The Secret is the System.” </w:t>
      </w:r>
      <w:r w:rsidRPr="005269D7">
        <w:rPr>
          <w:rFonts w:cs="Helvetica"/>
          <w:i/>
          <w:iCs/>
          <w:szCs w:val="24"/>
        </w:rPr>
        <w:t>Wilson Quarterly</w:t>
      </w:r>
      <w:r w:rsidRPr="005269D7">
        <w:rPr>
          <w:rFonts w:cs="Helvetica"/>
          <w:szCs w:val="24"/>
        </w:rPr>
        <w:t xml:space="preserve"> 32(2): 47–58.</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Sen, Amartya. 1999. </w:t>
      </w:r>
      <w:r w:rsidRPr="005269D7">
        <w:rPr>
          <w:rFonts w:cs="Helvetica"/>
          <w:i/>
          <w:iCs/>
          <w:szCs w:val="24"/>
        </w:rPr>
        <w:t>Development as Freedom</w:t>
      </w:r>
      <w:r w:rsidRPr="005269D7">
        <w:rPr>
          <w:rFonts w:cs="Helvetica"/>
          <w:szCs w:val="24"/>
        </w:rPr>
        <w:t>, 1st. ed. New York, NY: Knopf.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Servén, Luis. 2010. “Infrastructure and Growth”. Research Brief. World Bank Development Research Group, Washington, DC. http://siteresources.worldbank.org/EXTMACROECO/Resources/ForG-20v2.pdf?resourceurlname=ForG-20v2.pdf.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Shirazi, Farid, Ojelanki Ngwenyama, and Olga Morawczynski. 2010. “ICT Expansion and the Digital Divide in Democratic Freedoms: An Analysis of the Impact of ICT Expansion, Education and ICTt Filtering on Democracy.” </w:t>
      </w:r>
      <w:r w:rsidRPr="005269D7">
        <w:rPr>
          <w:rFonts w:cs="Helvetica"/>
          <w:i/>
          <w:iCs/>
          <w:szCs w:val="24"/>
        </w:rPr>
        <w:t>Telematics and Informatics</w:t>
      </w:r>
      <w:r w:rsidRPr="005269D7">
        <w:rPr>
          <w:rFonts w:cs="Helvetica"/>
          <w:szCs w:val="24"/>
        </w:rPr>
        <w:t xml:space="preserve"> 27(1): 21–31. doi:10.1016/j.tele.2009.05.001.</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Solomon, Steven. 2010. </w:t>
      </w:r>
      <w:r w:rsidRPr="005269D7">
        <w:rPr>
          <w:rFonts w:cs="Helvetica"/>
          <w:i/>
          <w:iCs/>
          <w:szCs w:val="24"/>
        </w:rPr>
        <w:t>Water: the Epic Struggle for Wealth, Power, and Civilization</w:t>
      </w:r>
      <w:r w:rsidRPr="005269D7">
        <w:rPr>
          <w:rFonts w:cs="Helvetica"/>
          <w:szCs w:val="24"/>
        </w:rPr>
        <w:t>, 1st ed. New York, NY: Harper.</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Solow, R. M. 1957. “Technical Change and the Aggregate Production Function.” </w:t>
      </w:r>
      <w:r w:rsidRPr="005269D7">
        <w:rPr>
          <w:rFonts w:cs="Helvetica"/>
          <w:i/>
          <w:iCs/>
          <w:szCs w:val="24"/>
        </w:rPr>
        <w:t>The Review of Economics and Statistics</w:t>
      </w:r>
      <w:r w:rsidRPr="005269D7">
        <w:rPr>
          <w:rFonts w:cs="Helvetica"/>
          <w:szCs w:val="24"/>
        </w:rPr>
        <w:t xml:space="preserve"> 39(3): 312–320.</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Solow, Robert M. 1956. “A Contribution to the Theory of Economic Growth.” </w:t>
      </w:r>
      <w:r w:rsidRPr="005269D7">
        <w:rPr>
          <w:rFonts w:cs="Helvetica"/>
          <w:i/>
          <w:iCs/>
          <w:szCs w:val="24"/>
        </w:rPr>
        <w:t>The Quarterly Journal of Economics</w:t>
      </w:r>
      <w:r w:rsidRPr="005269D7">
        <w:rPr>
          <w:rFonts w:cs="Helvetica"/>
          <w:szCs w:val="24"/>
        </w:rPr>
        <w:t xml:space="preserve"> 70(1): 65–94.</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Songco, Jocelyn A. 2002. </w:t>
      </w:r>
      <w:r w:rsidRPr="005269D7">
        <w:rPr>
          <w:rFonts w:cs="Helvetica"/>
          <w:i/>
          <w:iCs/>
          <w:szCs w:val="24"/>
        </w:rPr>
        <w:t>Do Rural Infrastructure Investments Benefit the Poor? Evaluating Linkages: A Global View, a Focus on Vietnam</w:t>
      </w:r>
      <w:r w:rsidRPr="005269D7">
        <w:rPr>
          <w:rFonts w:cs="Helvetica"/>
          <w:szCs w:val="24"/>
        </w:rPr>
        <w:t>. World Bank Publications.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Spencer, Dunstan S. 1996. “Infrastructure and Technology Constraints to Agricultural Development in the Humid and Subhumid Tropics of Africa.” </w:t>
      </w:r>
      <w:r w:rsidRPr="005269D7">
        <w:rPr>
          <w:rFonts w:cs="Helvetica"/>
          <w:i/>
          <w:iCs/>
          <w:szCs w:val="24"/>
        </w:rPr>
        <w:t>African Development Review</w:t>
      </w:r>
      <w:r w:rsidRPr="005269D7">
        <w:rPr>
          <w:rFonts w:cs="Helvetica"/>
          <w:szCs w:val="24"/>
        </w:rPr>
        <w:t xml:space="preserve"> 8(2): 68–93.</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Spier, Fred. 2010. </w:t>
      </w:r>
      <w:r w:rsidRPr="005269D7">
        <w:rPr>
          <w:rFonts w:cs="Helvetica"/>
          <w:i/>
          <w:iCs/>
          <w:szCs w:val="24"/>
        </w:rPr>
        <w:t>Big History and the Future of Humanity</w:t>
      </w:r>
      <w:r w:rsidRPr="005269D7">
        <w:rPr>
          <w:rFonts w:cs="Helvetica"/>
          <w:szCs w:val="24"/>
        </w:rPr>
        <w:t>, 1st ed. Wiley-Blackwell, April 6.</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Stambrook, David. 2006. “Key Factors Driving the Future Demand for Surface Transport Infrastructure and Services.” In Organisation for Economic Cooperation and Development (OECD), ed.,. </w:t>
      </w:r>
      <w:r w:rsidRPr="005269D7">
        <w:rPr>
          <w:rFonts w:cs="Helvetica"/>
          <w:i/>
          <w:iCs/>
          <w:szCs w:val="24"/>
        </w:rPr>
        <w:t>Infrastructure to 2030 Volume 1: Telecom, Land Transport, Water and Electricity</w:t>
      </w:r>
      <w:r w:rsidRPr="005269D7">
        <w:rPr>
          <w:rFonts w:cs="Helvetica"/>
          <w:szCs w:val="24"/>
        </w:rPr>
        <w:t>. Infrastructure to 2030. Paris: Organisation for Economic Cooperation and Development (OECD), 185–239.</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Star, Susan Leigh. 1999. “The Ethnography of Infrastructure.” </w:t>
      </w:r>
      <w:r w:rsidRPr="005269D7">
        <w:rPr>
          <w:rFonts w:cs="Helvetica"/>
          <w:i/>
          <w:iCs/>
          <w:szCs w:val="24"/>
        </w:rPr>
        <w:t>American Behavioral Scientist</w:t>
      </w:r>
      <w:r w:rsidRPr="005269D7">
        <w:rPr>
          <w:rFonts w:cs="Helvetica"/>
          <w:szCs w:val="24"/>
        </w:rPr>
        <w:t xml:space="preserve"> 43(3): 377 –391. doi:10.1177/00027649921955326.</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Stearns, Peter N. 2007. </w:t>
      </w:r>
      <w:r w:rsidRPr="005269D7">
        <w:rPr>
          <w:rFonts w:cs="Helvetica"/>
          <w:i/>
          <w:iCs/>
          <w:szCs w:val="24"/>
        </w:rPr>
        <w:t>The Industrial Revolution in World History</w:t>
      </w:r>
      <w:r w:rsidRPr="005269D7">
        <w:rPr>
          <w:rFonts w:cs="Helvetica"/>
          <w:szCs w:val="24"/>
        </w:rPr>
        <w:t>. Boulder, CO: Westview Press.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Stein, M. 2006. </w:t>
      </w:r>
      <w:r w:rsidRPr="005269D7">
        <w:rPr>
          <w:rFonts w:cs="Helvetica"/>
          <w:i/>
          <w:iCs/>
          <w:szCs w:val="24"/>
        </w:rPr>
        <w:t>Mobileactive Strategy Guide# 1: Using Mobile Phones in Electoral and Voter Registration Campaigns</w:t>
      </w:r>
      <w:r w:rsidRPr="005269D7">
        <w:rPr>
          <w:rFonts w:cs="Helvetica"/>
          <w:szCs w:val="24"/>
        </w:rPr>
        <w:t>. New York, NY: MobileActive.org.</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Stein, Michael. 2006. “Using Mobile Phones in Electoral and Voter Registration Campaigns”. MobileActive strategy guide #1. Amherst, MA.</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Stepanova, Ekaterina. 2011. “The Role of Information Communication Technologies in the ‘Arab Spring’”. Institute of World Economy and International Relations (IMEMO), Russian Academy of Sciences. PONARS Eurasia Policy Memo no. 159. Washington, DC: George Washington University.</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Stevens, Barrie, Pierre-Alain Schieb, and Michael Andrieu. 2006. “A Cross-sectoral Perspective on the Development of Global Infrastructures to 2030.” In Organisation for Economic Cooperation and Development (OECD), ed.,. </w:t>
      </w:r>
      <w:r w:rsidRPr="005269D7">
        <w:rPr>
          <w:rFonts w:cs="Helvetica"/>
          <w:i/>
          <w:iCs/>
          <w:szCs w:val="24"/>
        </w:rPr>
        <w:t>Infrastructure to 2030 Volume 1: Telecom, Land Transport, Water and Electricity</w:t>
      </w:r>
      <w:r w:rsidRPr="005269D7">
        <w:rPr>
          <w:rFonts w:cs="Helvetica"/>
          <w:szCs w:val="24"/>
        </w:rPr>
        <w:t>. Infrastructure to 2030. Paris: Organisation for Economic Cooperation and Development (OECD), 13–49.</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Stifel, David, and Bart Minten. 2008. “Isolation and Agricultural Productivity.” </w:t>
      </w:r>
      <w:r w:rsidRPr="005269D7">
        <w:rPr>
          <w:rFonts w:cs="Helvetica"/>
          <w:i/>
          <w:iCs/>
          <w:szCs w:val="24"/>
        </w:rPr>
        <w:t>Agricultural Economics</w:t>
      </w:r>
      <w:r w:rsidRPr="005269D7">
        <w:rPr>
          <w:rFonts w:cs="Helvetica"/>
          <w:szCs w:val="24"/>
        </w:rPr>
        <w:t xml:space="preserve"> 39(1): 1–16.</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Straub, Stéphane. 2008. “Infrastructure and Growth in Developing Countries: Recent Advances and Research Challenges”. Policy Research Working Paper no. 4460. World Bank, Washington, DC.</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 2011. “Infrastructure and Development: A Critical Appraisal of the Macro-level Literature.” </w:t>
      </w:r>
      <w:r w:rsidRPr="005269D7">
        <w:rPr>
          <w:rFonts w:cs="Helvetica"/>
          <w:i/>
          <w:iCs/>
          <w:szCs w:val="24"/>
        </w:rPr>
        <w:t>Journal of Development Studies</w:t>
      </w:r>
      <w:r w:rsidRPr="005269D7">
        <w:rPr>
          <w:rFonts w:cs="Helvetica"/>
          <w:szCs w:val="24"/>
        </w:rPr>
        <w:t xml:space="preserve"> 47(5): 683–708. doi:10.1080/00220388.2010.509785.</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Streips, Krisjans, and David M. Simpson. 2007. “Critical Infrastructure Failure in a Natural Disaster: Initial Notes Comparing Kobe and Katrina”. Working Paper no. 07-01. Center for Hazards Research and Policy Development, University of Louisville, Louisville, KY. http://hazardcenter.louisville.edu/joomla/images/Research/riticalinfrastructurefailure.pdf.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Tatem, Andrew J., Simon I. Hay, and David J. Rogers. 2006. “Global Traffic and Disease Vector Dispersal.” </w:t>
      </w:r>
      <w:r w:rsidRPr="005269D7">
        <w:rPr>
          <w:rFonts w:cs="Helvetica"/>
          <w:i/>
          <w:iCs/>
          <w:szCs w:val="24"/>
        </w:rPr>
        <w:t>Proceedings of the National Academy of Sciences</w:t>
      </w:r>
      <w:r w:rsidRPr="005269D7">
        <w:rPr>
          <w:rFonts w:cs="Helvetica"/>
          <w:szCs w:val="24"/>
        </w:rPr>
        <w:t xml:space="preserve"> 103(16): 6242–6247. doi:10.1073/pnas.0508391103.</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Ter-Minassian, Teresa, and Mark Allen. 2004. </w:t>
      </w:r>
      <w:r w:rsidRPr="005269D7">
        <w:rPr>
          <w:rFonts w:cs="Helvetica"/>
          <w:i/>
          <w:iCs/>
          <w:szCs w:val="24"/>
        </w:rPr>
        <w:t>Public Investment and Fiscal Policy</w:t>
      </w:r>
      <w:r w:rsidRPr="005269D7">
        <w:rPr>
          <w:rFonts w:cs="Helvetica"/>
          <w:szCs w:val="24"/>
        </w:rPr>
        <w:t>. Washington, DC: International Monetary Fund.</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The Economist. 2010. It’s a Smart World: A Special Report on Smart Systems. </w:t>
      </w:r>
      <w:r w:rsidRPr="005269D7">
        <w:rPr>
          <w:rFonts w:cs="Helvetica"/>
          <w:i/>
          <w:iCs/>
          <w:szCs w:val="24"/>
        </w:rPr>
        <w:t>The Economist</w:t>
      </w:r>
      <w:r w:rsidRPr="005269D7">
        <w:rPr>
          <w:rFonts w:cs="Helvetica"/>
          <w:szCs w:val="24"/>
        </w:rPr>
        <w:t>, November 6.</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Toyama, Kentaro. 2010. “Can Technology End Poverty?” </w:t>
      </w:r>
      <w:r w:rsidRPr="005269D7">
        <w:rPr>
          <w:rFonts w:cs="Helvetica"/>
          <w:i/>
          <w:iCs/>
          <w:szCs w:val="24"/>
        </w:rPr>
        <w:t>Boston Review</w:t>
      </w:r>
      <w:r w:rsidRPr="005269D7">
        <w:rPr>
          <w:rFonts w:cs="Helvetica"/>
          <w:szCs w:val="24"/>
        </w:rPr>
        <w:t xml:space="preserve"> 35(6): 12–29.</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Trucano, Michael. 2005. </w:t>
      </w:r>
      <w:r w:rsidRPr="005269D7">
        <w:rPr>
          <w:rFonts w:cs="Helvetica"/>
          <w:i/>
          <w:iCs/>
          <w:szCs w:val="24"/>
        </w:rPr>
        <w:t>Knowledge Maps: ICT in Education</w:t>
      </w:r>
      <w:r w:rsidRPr="005269D7">
        <w:rPr>
          <w:rFonts w:cs="Helvetica"/>
          <w:szCs w:val="24"/>
        </w:rPr>
        <w:t>. Information for Development Program ICT and Education Series Publication. Washington, DC: World Bank. http://www.infodev.org/en/Publiction.8.html.</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U.S. Energy Information Administration (EIA). 2011. </w:t>
      </w:r>
      <w:r w:rsidRPr="005269D7">
        <w:rPr>
          <w:rFonts w:cs="Helvetica"/>
          <w:i/>
          <w:iCs/>
          <w:szCs w:val="24"/>
        </w:rPr>
        <w:t>International Energy Outlook 2011</w:t>
      </w:r>
      <w:r w:rsidRPr="005269D7">
        <w:rPr>
          <w:rFonts w:cs="Helvetica"/>
          <w:szCs w:val="24"/>
        </w:rPr>
        <w:t>. Washington, DC: U.S. Energy Information Administration. http://www.eia.gov/forecasts/ieo/pdf/0484(2011).pdf.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UNESCO. 2003. “Recent Developments and Future Prospects of Higher Education in Sub-Saharan Africa in the 21st Century.” Paper delivered at the Meeting of Higher Education Partners,. Paris: UNESCO, June 23.</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United Nations Development Programme (UNDP). 1997. “Governance for Sustainable Human Development”. Policy Document. United Nations Human Development Programme, New York, NY. http://gis.emro.who.int/HealthSystemObservatory/Workshops/WorkshopDocuments/Reference%20reading%20material/Literature%20on%20Governance/GOVERN~2.PDF.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 2010. </w:t>
      </w:r>
      <w:r w:rsidRPr="005269D7">
        <w:rPr>
          <w:rFonts w:cs="Helvetica"/>
          <w:i/>
          <w:iCs/>
          <w:szCs w:val="24"/>
        </w:rPr>
        <w:t>The Real Wealth of Nations: Pathways to Human Development</w:t>
      </w:r>
      <w:r w:rsidRPr="005269D7">
        <w:rPr>
          <w:rFonts w:cs="Helvetica"/>
          <w:szCs w:val="24"/>
        </w:rPr>
        <w:t>. New York: United Nations Development Program (UNDP).</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 2012. </w:t>
      </w:r>
      <w:r w:rsidRPr="005269D7">
        <w:rPr>
          <w:rFonts w:cs="Helvetica"/>
          <w:i/>
          <w:iCs/>
          <w:szCs w:val="24"/>
        </w:rPr>
        <w:t>Mobile Technologies and Empowerment: Enhancing Human Development Through Participation and Innovation</w:t>
      </w:r>
      <w:r w:rsidRPr="005269D7">
        <w:rPr>
          <w:rFonts w:cs="Helvetica"/>
          <w:szCs w:val="24"/>
        </w:rPr>
        <w:t>. New York, NY: UNDP Bureau for Development Policy.</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United Nations Economic and Social Commission for Asia and the Pacific, and United Nations. 2007. </w:t>
      </w:r>
      <w:r w:rsidRPr="005269D7">
        <w:rPr>
          <w:rFonts w:cs="Helvetica"/>
          <w:i/>
          <w:iCs/>
          <w:szCs w:val="24"/>
        </w:rPr>
        <w:t>Sustainable Infrastructure in Asia: Overview and Proceedings: Seoul Initiative Policy Forum on Sustainable Infrastructure, Seoul, Republic of Korea, 6-8 September 2006</w:t>
      </w:r>
      <w:r w:rsidRPr="005269D7">
        <w:rPr>
          <w:rFonts w:cs="Helvetica"/>
          <w:szCs w:val="24"/>
        </w:rPr>
        <w:t>. Bangkok, Thailand: United Nations, ESCAP and Ministry of Environment, Republic of Korea.</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United Nations Environment Programme (UNEP). 2007. </w:t>
      </w:r>
      <w:r w:rsidRPr="005269D7">
        <w:rPr>
          <w:rFonts w:cs="Helvetica"/>
          <w:i/>
          <w:iCs/>
          <w:szCs w:val="24"/>
        </w:rPr>
        <w:t>Global Environment Outlook 4: Environment for Development.</w:t>
      </w:r>
      <w:r w:rsidRPr="005269D7">
        <w:rPr>
          <w:rFonts w:cs="Helvetica"/>
          <w:szCs w:val="24"/>
        </w:rPr>
        <w:t xml:space="preserve"> Nairobi, Kenya: United Nations Environment Programme (UNEP).</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 2011. </w:t>
      </w:r>
      <w:r w:rsidRPr="005269D7">
        <w:rPr>
          <w:rFonts w:cs="Helvetica"/>
          <w:i/>
          <w:iCs/>
          <w:szCs w:val="24"/>
        </w:rPr>
        <w:t>Decoupling Natural Resource Use and Environmental Impacts from Economic Growth</w:t>
      </w:r>
      <w:r w:rsidRPr="005269D7">
        <w:rPr>
          <w:rFonts w:cs="Helvetica"/>
          <w:szCs w:val="24"/>
        </w:rPr>
        <w:t>. Nairobi, Kenya: United Nations Environment Programme (UNEP).</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United Nations Environment Programme (UNEP), United States Geological Survey, and University of Maryland. 2005. </w:t>
      </w:r>
      <w:r w:rsidRPr="005269D7">
        <w:rPr>
          <w:rFonts w:cs="Helvetica"/>
          <w:i/>
          <w:iCs/>
          <w:szCs w:val="24"/>
        </w:rPr>
        <w:t>One Planet, Many People: Atlas of Our Changing Environment</w:t>
      </w:r>
      <w:r w:rsidRPr="005269D7">
        <w:rPr>
          <w:rFonts w:cs="Helvetica"/>
          <w:szCs w:val="24"/>
        </w:rPr>
        <w:t>. Nairobi, Kenya: United Nations Environment Programme (UNEP).</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United Nations Secretary-General’s Advisory Group on Energy and Climate Change (AGECC). 2010. </w:t>
      </w:r>
      <w:r w:rsidRPr="005269D7">
        <w:rPr>
          <w:rFonts w:cs="Helvetica"/>
          <w:i/>
          <w:iCs/>
          <w:szCs w:val="24"/>
        </w:rPr>
        <w:t>Energy for a Sustainable Future: Summary Report and Recommendations</w:t>
      </w:r>
      <w:r w:rsidRPr="005269D7">
        <w:rPr>
          <w:rFonts w:cs="Helvetica"/>
          <w:szCs w:val="24"/>
        </w:rPr>
        <w:t>. New York, NY: United Nations.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United States Chamber of Commerce. 2010. “Let’s Rebuild America: Infrastructue Index Initiation Phase Report”. US Chamber of Commerce, Washington, DC. http://www.uschamber.com/sites/default/files/lra/docs/lr</w:t>
      </w:r>
      <w:r w:rsidR="00DE7F01">
        <w:rPr>
          <w:rFonts w:cs="Helvetica"/>
          <w:szCs w:val="24"/>
        </w:rPr>
        <w:t>aindexinitphasereport100406.pdf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Urban Land Institute, and Ernst &amp; Young. 2011. </w:t>
      </w:r>
      <w:r w:rsidRPr="005269D7">
        <w:rPr>
          <w:rFonts w:cs="Helvetica"/>
          <w:i/>
          <w:iCs/>
          <w:szCs w:val="24"/>
        </w:rPr>
        <w:t>Infrastructure 2011: A Strategic Priority</w:t>
      </w:r>
      <w:r w:rsidRPr="005269D7">
        <w:rPr>
          <w:rFonts w:cs="Helvetica"/>
          <w:szCs w:val="24"/>
        </w:rPr>
        <w:t>. Washington, DC: Urban Land Institute.</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US Department of the Treasury. 2010. “An Economic Analysis of Infrastructure Investment”. US Department of the Treasury, Washington, DC. http://www.whitehouse.gov/sites/default/files/infrastructure_investment_report.pdf.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Vellidis, G., M. Tucker, C. Perry, C. Kvien, and C. Bednarz. 2008. “A Real-Time Wireless Smart Sensor Array for Scheduling Irrigation.” </w:t>
      </w:r>
      <w:r w:rsidRPr="005269D7">
        <w:rPr>
          <w:rFonts w:cs="Helvetica"/>
          <w:i/>
          <w:iCs/>
          <w:szCs w:val="24"/>
        </w:rPr>
        <w:t>Computers and Electronics in Agriculture</w:t>
      </w:r>
      <w:r w:rsidRPr="005269D7">
        <w:rPr>
          <w:rFonts w:cs="Helvetica"/>
          <w:szCs w:val="24"/>
        </w:rPr>
        <w:t xml:space="preserve"> 61(1): 44–50. doi:10.1016/j.compag.2007.05.009.</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WaterAid. 2009. </w:t>
      </w:r>
      <w:r w:rsidRPr="005269D7">
        <w:rPr>
          <w:rFonts w:cs="Helvetica"/>
          <w:i/>
          <w:iCs/>
          <w:szCs w:val="24"/>
        </w:rPr>
        <w:t>Is Menstrual Hygiene and Management an Issue for Adolescent School Girls? A Comparative Study of Four Schools in Different Settings of Nepal</w:t>
      </w:r>
      <w:r w:rsidRPr="005269D7">
        <w:rPr>
          <w:rFonts w:cs="Helvetica"/>
          <w:szCs w:val="24"/>
        </w:rPr>
        <w:t>. Kathmandu, Nepal: WaterAid. http://www.wateraid.org/documents/plugin_documents/wa_nep_mhm_rep_march2009.pdf.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Webley, Simon. 1985. </w:t>
      </w:r>
      <w:r w:rsidRPr="005269D7">
        <w:rPr>
          <w:rFonts w:cs="Helvetica"/>
          <w:i/>
          <w:iCs/>
          <w:szCs w:val="24"/>
        </w:rPr>
        <w:t>Stiffening the Sinews of the Nations: Economic Infrastructure in the United States, United Kingdom and Canada</w:t>
      </w:r>
      <w:r w:rsidRPr="005269D7">
        <w:rPr>
          <w:rFonts w:cs="Helvetica"/>
          <w:szCs w:val="24"/>
        </w:rPr>
        <w:t>. British-North American Committee.</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White, Devin Alan. 2007. </w:t>
      </w:r>
      <w:r w:rsidRPr="005269D7">
        <w:rPr>
          <w:rFonts w:cs="Helvetica"/>
          <w:i/>
          <w:iCs/>
          <w:szCs w:val="24"/>
        </w:rPr>
        <w:t>Transportation, Integration, Facilitation: Prehistoric Trail Networks of the Western Papagueria</w:t>
      </w:r>
      <w:r w:rsidRPr="005269D7">
        <w:rPr>
          <w:rFonts w:cs="Helvetica"/>
          <w:szCs w:val="24"/>
        </w:rPr>
        <w:t>. Ann Arbor, MI: ProQuest.</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WHO/UNICEF Joint Monitoring Program for Water Supply and Sanitation. 2000. </w:t>
      </w:r>
      <w:r w:rsidRPr="005269D7">
        <w:rPr>
          <w:rFonts w:cs="Helvetica"/>
          <w:i/>
          <w:iCs/>
          <w:szCs w:val="24"/>
        </w:rPr>
        <w:t>Global Water Supply and Sanitation Assessment 2000 Report</w:t>
      </w:r>
      <w:r w:rsidRPr="005269D7">
        <w:rPr>
          <w:rFonts w:cs="Helvetica"/>
          <w:szCs w:val="24"/>
        </w:rPr>
        <w:t>. Geneva, Switzerland: World Health Organization (WHO) and United Nations Children’s Fund (UNICEF).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WHO/UNICEF Joint Monitoring Programme for Supply and Sanitation. 2010. JMP: Definition and Methods: Introduction. </w:t>
      </w:r>
      <w:r w:rsidRPr="005269D7">
        <w:rPr>
          <w:rFonts w:cs="Helvetica"/>
          <w:i/>
          <w:iCs/>
          <w:szCs w:val="24"/>
        </w:rPr>
        <w:t>JMP</w:t>
      </w:r>
      <w:r w:rsidRPr="005269D7">
        <w:rPr>
          <w:rFonts w:cs="Helvetica"/>
          <w:szCs w:val="24"/>
        </w:rPr>
        <w:t>. http://www.wssinfo.org/definitions-methods/introduction/.</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Woodman, Richard. 2002. </w:t>
      </w:r>
      <w:r w:rsidRPr="005269D7">
        <w:rPr>
          <w:rFonts w:cs="Helvetica"/>
          <w:i/>
          <w:iCs/>
          <w:szCs w:val="24"/>
        </w:rPr>
        <w:t>The History of the Ship: the Comprehensive Story of Seafaring from the Earliest Times to the Present Day</w:t>
      </w:r>
      <w:r w:rsidRPr="005269D7">
        <w:rPr>
          <w:rFonts w:cs="Helvetica"/>
          <w:szCs w:val="24"/>
        </w:rPr>
        <w:t>, 2nd ed. Guilford, CT: Lyons Press.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World Bank. no date. Measuring Knowledge in the World’s Economies: Knowledge Assessment Methodology and Knowledge Economy Index. Knowledge for Development Program. http://siteresources.worldbank.org/INTUNIKAM/Resources/KAMbooklet.pdf.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1991. “Managing Development: The Governance Dimension”. Discussion Paper. World Bank, Washington, DC. http://www-wds.worldbank.org/external/default/WDSContentServer/WDSP/IB/2006/03/07/000090341_20060307104630/Rendered/PDF/34899.pdf.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 1994. </w:t>
      </w:r>
      <w:r w:rsidRPr="005269D7">
        <w:rPr>
          <w:rFonts w:cs="Helvetica"/>
          <w:i/>
          <w:iCs/>
          <w:szCs w:val="24"/>
        </w:rPr>
        <w:t>World Development Report 1994: Infrastructure for Development</w:t>
      </w:r>
      <w:r w:rsidRPr="005269D7">
        <w:rPr>
          <w:rFonts w:cs="Helvetica"/>
          <w:szCs w:val="24"/>
        </w:rPr>
        <w:t>. New York, NY and Washington, DC: Oxford University Press.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 2006. </w:t>
      </w:r>
      <w:r w:rsidRPr="005269D7">
        <w:rPr>
          <w:rFonts w:cs="Helvetica"/>
          <w:i/>
          <w:iCs/>
          <w:szCs w:val="24"/>
        </w:rPr>
        <w:t>Infrastructure at the Crossroads: Lessons from 20 Years of World Bank Experience</w:t>
      </w:r>
      <w:r w:rsidRPr="005269D7">
        <w:rPr>
          <w:rFonts w:cs="Helvetica"/>
          <w:szCs w:val="24"/>
        </w:rPr>
        <w:t>. Washington, DC: World Bank.</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 2008a. </w:t>
      </w:r>
      <w:r w:rsidRPr="005269D7">
        <w:rPr>
          <w:rFonts w:cs="Helvetica"/>
          <w:i/>
          <w:iCs/>
          <w:szCs w:val="24"/>
        </w:rPr>
        <w:t>The Welfare Impact of Rural Electrification: A Reassessment of the Costs and Benefits</w:t>
      </w:r>
      <w:r w:rsidRPr="005269D7">
        <w:rPr>
          <w:rFonts w:cs="Helvetica"/>
          <w:szCs w:val="24"/>
        </w:rPr>
        <w:t>. Washington, DC: World Bank.</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2008b. “World Bank Group Sustainable Infrastructure Action Plan FY2009-2011”. Washington, DC.</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 2009. </w:t>
      </w:r>
      <w:r w:rsidRPr="005269D7">
        <w:rPr>
          <w:rFonts w:cs="Helvetica"/>
          <w:i/>
          <w:iCs/>
          <w:szCs w:val="24"/>
        </w:rPr>
        <w:t>Accelerating Catch-up Tertiary Education for Growth in Sub-Saharan Africa.</w:t>
      </w:r>
      <w:r w:rsidRPr="005269D7">
        <w:rPr>
          <w:rFonts w:cs="Helvetica"/>
          <w:szCs w:val="24"/>
        </w:rPr>
        <w:t xml:space="preserve"> Washington, DC: World Bank.</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2010. Information &amp; Communications Technologies - ICT Glossary Guide. http://web.worldbank.org/WBSITE/EXTERNAL/TOPICS/EXTINFORMATIONANDCOMMUNICATIONANDTECHNOLOGIES/0,,contentMDK:21035032~menuPK:282850~pagePK:210058~piPK:210062~theSitePK:282823~isCURL:Y,00.html.</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 2011. </w:t>
      </w:r>
      <w:r w:rsidRPr="005269D7">
        <w:rPr>
          <w:rFonts w:cs="Helvetica"/>
          <w:i/>
          <w:iCs/>
          <w:szCs w:val="24"/>
        </w:rPr>
        <w:t>Ict in Agriculture: Connecting Smallholders to Knowledge Networks, and Institutions</w:t>
      </w:r>
      <w:r w:rsidRPr="005269D7">
        <w:rPr>
          <w:rFonts w:cs="Helvetica"/>
          <w:szCs w:val="24"/>
        </w:rPr>
        <w:t>. E-source Book. Washington, DC: World Bank.</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World Commission on Dams. 2000. </w:t>
      </w:r>
      <w:r w:rsidRPr="005269D7">
        <w:rPr>
          <w:rFonts w:cs="Helvetica"/>
          <w:i/>
          <w:iCs/>
          <w:szCs w:val="24"/>
        </w:rPr>
        <w:t>Dams and Development: A New Framework for Decision-Making</w:t>
      </w:r>
      <w:r w:rsidRPr="005269D7">
        <w:rPr>
          <w:rFonts w:cs="Helvetica"/>
          <w:szCs w:val="24"/>
        </w:rPr>
        <w:t>. Report of the World Commission on Dams. London and Sterling, VA: Earthscan.</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World Commission on Environment and Development. 1987. </w:t>
      </w:r>
      <w:r w:rsidRPr="005269D7">
        <w:rPr>
          <w:rFonts w:cs="Helvetica"/>
          <w:i/>
          <w:iCs/>
          <w:szCs w:val="24"/>
        </w:rPr>
        <w:t>Our Common Future</w:t>
      </w:r>
      <w:r w:rsidRPr="005269D7">
        <w:rPr>
          <w:rFonts w:cs="Helvetica"/>
          <w:szCs w:val="24"/>
        </w:rPr>
        <w:t>. New York, NY: Oxford University Press.</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World Health Organization (WHO). 2009a. </w:t>
      </w:r>
      <w:r w:rsidRPr="005269D7">
        <w:rPr>
          <w:rFonts w:cs="Helvetica"/>
          <w:i/>
          <w:iCs/>
          <w:szCs w:val="24"/>
        </w:rPr>
        <w:t>Global Health Risks: Mortality and Burden of Disease Attributable to Selected Major Risks.</w:t>
      </w:r>
      <w:r w:rsidRPr="005269D7">
        <w:rPr>
          <w:rFonts w:cs="Helvetica"/>
          <w:szCs w:val="24"/>
        </w:rPr>
        <w:t xml:space="preserve"> Geneva, Switzerland: World Health Organization (WHO).</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 2009b. </w:t>
      </w:r>
      <w:r w:rsidRPr="005269D7">
        <w:rPr>
          <w:rFonts w:cs="Helvetica"/>
          <w:i/>
          <w:iCs/>
          <w:szCs w:val="24"/>
        </w:rPr>
        <w:t>Global Status Report on Road Safety: Time for Action</w:t>
      </w:r>
      <w:r w:rsidRPr="005269D7">
        <w:rPr>
          <w:rFonts w:cs="Helvetica"/>
          <w:szCs w:val="24"/>
        </w:rPr>
        <w:t>. Geneva, Switzerland: World Health Organization (WHO).</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2011. “Global Plan of Action for Road Safety 2011-2020”. Decade of Action for Road Safety 2011-2020, Geneva, Switzerland. http://www.decadeofaction.org/documents/global_plan_en.pdf.</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World Health Organization (WHO), and United Nations Children’s Fund (UNICEF). 2010. </w:t>
      </w:r>
      <w:r w:rsidRPr="005269D7">
        <w:rPr>
          <w:rFonts w:cs="Helvetica"/>
          <w:i/>
          <w:iCs/>
          <w:szCs w:val="24"/>
        </w:rPr>
        <w:t>Progress on Sanitation and Drinking-Water: 2010 Update</w:t>
      </w:r>
      <w:r w:rsidRPr="005269D7">
        <w:rPr>
          <w:rFonts w:cs="Helvetica"/>
          <w:szCs w:val="24"/>
        </w:rPr>
        <w:t>. Geneva, Switzerland: WHO/UNICEF Joint Monitoring Programme for Water Supply and Sanitation.</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 2012. </w:t>
      </w:r>
      <w:r w:rsidRPr="005269D7">
        <w:rPr>
          <w:rFonts w:cs="Helvetica"/>
          <w:i/>
          <w:iCs/>
          <w:szCs w:val="24"/>
        </w:rPr>
        <w:t>Progress on Sanitation and Drinking-Water: 2012 Update</w:t>
      </w:r>
      <w:r w:rsidRPr="005269D7">
        <w:rPr>
          <w:rFonts w:cs="Helvetica"/>
          <w:szCs w:val="24"/>
        </w:rPr>
        <w:t>. Geneva: WHO/UNICEF Joint Monitoring Programme for Water Supply and Sanitation.</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Yepes, Tito. 2005. </w:t>
      </w:r>
      <w:r w:rsidRPr="005269D7">
        <w:rPr>
          <w:rFonts w:cs="Helvetica"/>
          <w:i/>
          <w:iCs/>
          <w:szCs w:val="24"/>
        </w:rPr>
        <w:t>Expenditure on Infrastructure in East Asia Region, 2006–2010</w:t>
      </w:r>
      <w:r w:rsidRPr="005269D7">
        <w:rPr>
          <w:rFonts w:cs="Helvetica"/>
          <w:szCs w:val="24"/>
        </w:rPr>
        <w:t>. East Asia Pacific Infrastructure Flagship Study. Manila: Asian Development Bank (ADB), Japan Bank for International Cooperation (JBIC), World Bank.</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2008. “Investment Needs for Infrastructure in Developing Countries 2008-15”. Draft. World Bank, Washington, DC.</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You, Liangzhi, Claudia Ringler, Ulrike Wood-Sichra, Richard Robertson, Stanley Wood, Tingju Zhu, Gerald Nelson, Zhe Guo, and Yan Sun. 2011. “What Is the Irrigation Potential for Africa? A Combined Biophysical and Socioeconomic Approach.” </w:t>
      </w:r>
      <w:r w:rsidRPr="005269D7">
        <w:rPr>
          <w:rFonts w:cs="Helvetica"/>
          <w:i/>
          <w:iCs/>
          <w:szCs w:val="24"/>
        </w:rPr>
        <w:t>Food Policy</w:t>
      </w:r>
      <w:r w:rsidRPr="005269D7">
        <w:rPr>
          <w:rFonts w:cs="Helvetica"/>
          <w:szCs w:val="24"/>
        </w:rPr>
        <w:t xml:space="preserve"> 36(6): 770–782. doi:10.1016/j.foodpol.2011.09.001.</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Zhang, Ke. 2005. “China’s Online Education: Rhetoric and Realities.” In Alison A. Carr-Chellman, ed.,. </w:t>
      </w:r>
      <w:r w:rsidRPr="005269D7">
        <w:rPr>
          <w:rFonts w:cs="Helvetica"/>
          <w:i/>
          <w:iCs/>
          <w:szCs w:val="24"/>
        </w:rPr>
        <w:t>Global Perspectives on E-Learning: Rhetoric and Reality</w:t>
      </w:r>
      <w:r w:rsidRPr="005269D7">
        <w:rPr>
          <w:rFonts w:cs="Helvetica"/>
          <w:szCs w:val="24"/>
        </w:rPr>
        <w:t>. London: Sage Publications, Inc., 21–32.</w:t>
      </w:r>
    </w:p>
    <w:p w:rsidR="005269D7" w:rsidRPr="005269D7" w:rsidRDefault="005269D7" w:rsidP="005269D7">
      <w:pPr>
        <w:widowControl w:val="0"/>
        <w:autoSpaceDE w:val="0"/>
        <w:autoSpaceDN w:val="0"/>
        <w:adjustRightInd w:val="0"/>
        <w:ind w:left="720" w:hanging="720"/>
        <w:rPr>
          <w:rFonts w:cs="Helvetica"/>
          <w:szCs w:val="24"/>
        </w:rPr>
      </w:pPr>
      <w:r w:rsidRPr="005269D7">
        <w:rPr>
          <w:rFonts w:cs="Helvetica"/>
          <w:szCs w:val="24"/>
        </w:rPr>
        <w:t xml:space="preserve">Zittrain, Jonathan L. 2006. “The Generative Internet.” </w:t>
      </w:r>
      <w:r w:rsidRPr="005269D7">
        <w:rPr>
          <w:rFonts w:cs="Helvetica"/>
          <w:i/>
          <w:iCs/>
          <w:szCs w:val="24"/>
        </w:rPr>
        <w:t>Harvard Law Review</w:t>
      </w:r>
      <w:r w:rsidRPr="005269D7">
        <w:rPr>
          <w:rFonts w:cs="Helvetica"/>
          <w:szCs w:val="24"/>
        </w:rPr>
        <w:t xml:space="preserve"> 119(7): 1974–2040.</w:t>
      </w:r>
    </w:p>
    <w:p w:rsidR="006B1499" w:rsidRPr="005269D7" w:rsidRDefault="006B1499" w:rsidP="006B1499"/>
    <w:sectPr w:rsidR="006B1499" w:rsidRPr="005269D7" w:rsidSect="006B1499">
      <w:type w:val="continuous"/>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imSun">
    <w:altName w:val="宋体"/>
    <w:charset w:val="86"/>
    <w:family w:val="auto"/>
    <w:pitch w:val="variable"/>
    <w:sig w:usb0="00000003" w:usb1="288F0000" w:usb2="00000016" w:usb3="00000000" w:csb0="00040001" w:csb1="00000000"/>
  </w:font>
  <w:font w:name="Cambria">
    <w:panose1 w:val="02040503050406030204"/>
    <w:charset w:val="00"/>
    <w:family w:val="auto"/>
    <w:pitch w:val="variable"/>
    <w:sig w:usb0="00000003" w:usb1="00000000" w:usb2="00000000" w:usb3="00000000" w:csb0="00000001" w:csb1="00000000"/>
  </w:font>
  <w:font w:name="Lucida Grande">
    <w:panose1 w:val="05000000000000000000"/>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NewRomanPS">
    <w:altName w:val="Cambria"/>
    <w:panose1 w:val="00000000000000000000"/>
    <w:charset w:val="4D"/>
    <w:family w:val="roman"/>
    <w:notTrueType/>
    <w:pitch w:val="default"/>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mbria Math">
    <w:altName w:val="Times New Roman"/>
    <w:panose1 w:val="00000000000000000000"/>
    <w:charset w:val="4D"/>
    <w:family w:val="roman"/>
    <w:notTrueType/>
    <w:pitch w:val="default"/>
    <w:sig w:usb0="00000003" w:usb1="00000000" w:usb2="00000000" w:usb3="00000000" w:csb0="00000001" w:csb1="00000000"/>
  </w:font>
  <w:font w:name="STIXGeneral">
    <w:altName w:val="Cambria"/>
    <w:charset w:val="00"/>
    <w:family w:val="auto"/>
    <w:pitch w:val="variable"/>
    <w:sig w:usb0="00000003" w:usb1="00000000" w:usb2="00000000" w:usb3="00000000" w:csb0="00000001" w:csb1="00000000"/>
  </w:font>
  <w:font w:name="Menlo Regular">
    <w:panose1 w:val="020B0609030804020204"/>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00000000" w:usb2="00010000" w:usb3="00000000" w:csb0="80000000" w:csb1="00000000"/>
  </w:font>
  <w:font w:name="Lucida Sans Unicode">
    <w:panose1 w:val="020B0602030504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1AA" w:rsidRDefault="00F7383F" w:rsidP="0043092C">
    <w:pPr>
      <w:pStyle w:val="Footer"/>
      <w:framePr w:wrap="around" w:vAnchor="text" w:hAnchor="margin" w:xAlign="center" w:y="1"/>
      <w:rPr>
        <w:rStyle w:val="PageNumber"/>
        <w:lang w:val="en-US"/>
      </w:rPr>
    </w:pPr>
    <w:r>
      <w:rPr>
        <w:rStyle w:val="PageNumber"/>
      </w:rPr>
      <w:fldChar w:fldCharType="begin"/>
    </w:r>
    <w:r w:rsidR="002C11AA">
      <w:rPr>
        <w:rStyle w:val="PageNumber"/>
      </w:rPr>
      <w:instrText xml:space="preserve">PAGE  </w:instrText>
    </w:r>
    <w:r>
      <w:rPr>
        <w:rStyle w:val="PageNumber"/>
      </w:rPr>
      <w:fldChar w:fldCharType="end"/>
    </w:r>
  </w:p>
  <w:p w:rsidR="002C11AA" w:rsidRDefault="002C11AA">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1AA" w:rsidRDefault="00F7383F" w:rsidP="0043092C">
    <w:pPr>
      <w:pStyle w:val="Footer"/>
      <w:framePr w:wrap="around" w:vAnchor="text" w:hAnchor="margin" w:xAlign="center" w:y="1"/>
      <w:rPr>
        <w:rStyle w:val="PageNumber"/>
        <w:lang w:val="en-US"/>
      </w:rPr>
    </w:pPr>
    <w:r>
      <w:rPr>
        <w:rStyle w:val="PageNumber"/>
      </w:rPr>
      <w:fldChar w:fldCharType="begin"/>
    </w:r>
    <w:r w:rsidR="002C11AA">
      <w:rPr>
        <w:rStyle w:val="PageNumber"/>
      </w:rPr>
      <w:instrText xml:space="preserve">PAGE  </w:instrText>
    </w:r>
    <w:r>
      <w:rPr>
        <w:rStyle w:val="PageNumber"/>
      </w:rPr>
      <w:fldChar w:fldCharType="separate"/>
    </w:r>
    <w:r w:rsidR="00C66024">
      <w:rPr>
        <w:rStyle w:val="PageNumber"/>
        <w:noProof/>
      </w:rPr>
      <w:t>229</w:t>
    </w:r>
    <w:r>
      <w:rPr>
        <w:rStyle w:val="PageNumber"/>
      </w:rPr>
      <w:fldChar w:fldCharType="end"/>
    </w:r>
  </w:p>
  <w:p w:rsidR="00C66024" w:rsidRDefault="002C11AA">
    <w:pPr>
      <w:pStyle w:val="Footer"/>
      <w:rPr>
        <w:sz w:val="20"/>
      </w:rPr>
    </w:pPr>
    <w:r w:rsidRPr="005F0270">
      <w:rPr>
        <w:sz w:val="20"/>
      </w:rPr>
      <w:t>Consolidated Manuscript for Review</w:t>
    </w:r>
  </w:p>
  <w:p w:rsidR="002C11AA" w:rsidRPr="005F0270" w:rsidRDefault="00C66024">
    <w:pPr>
      <w:pStyle w:val="Footer"/>
      <w:rPr>
        <w:sz w:val="20"/>
      </w:rPr>
    </w:pPr>
    <w:r>
      <w:rPr>
        <w:sz w:val="20"/>
      </w:rPr>
      <w:t>Do not cite</w:t>
    </w:r>
    <w:r w:rsidR="002C11AA" w:rsidRPr="005F0270">
      <w:rPr>
        <w:sz w:val="20"/>
      </w:rPr>
      <w:tab/>
    </w:r>
    <w:r w:rsidR="002C11AA" w:rsidRPr="005F0270">
      <w:rPr>
        <w:sz w:val="20"/>
      </w:rPr>
      <w:tab/>
      <w:t>May 31</w:t>
    </w:r>
    <w:r w:rsidR="002C11AA" w:rsidRPr="005F0270">
      <w:rPr>
        <w:sz w:val="20"/>
        <w:vertAlign w:val="superscript"/>
      </w:rPr>
      <w:t>st</w:t>
    </w:r>
    <w:r w:rsidR="002C11AA" w:rsidRPr="005F0270">
      <w:rPr>
        <w:sz w:val="20"/>
      </w:rPr>
      <w:t>, 2012</w:t>
    </w:r>
  </w:p>
  <w:p w:rsidR="002C11AA" w:rsidRPr="00693CBB" w:rsidRDefault="002C11AA">
    <w:pPr>
      <w:pStyle w:val="Footer"/>
    </w:pPr>
    <w:r w:rsidRPr="00693CBB">
      <w:rPr>
        <w:lang w:val="en-US"/>
      </w:rPr>
      <w:t xml:space="preserve"> </w:t>
    </w:r>
    <w:r>
      <w:rPr>
        <w:lang w:val="en-US"/>
      </w:rPr>
      <w:tab/>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1AA" w:rsidRDefault="00F7383F">
    <w:pPr>
      <w:pStyle w:val="Footer"/>
      <w:framePr w:wrap="around" w:vAnchor="text" w:hAnchor="margin" w:xAlign="center" w:y="1"/>
      <w:rPr>
        <w:rStyle w:val="PageNumber"/>
        <w:lang w:val="en-US"/>
      </w:rPr>
    </w:pPr>
    <w:r>
      <w:rPr>
        <w:rStyle w:val="PageNumber"/>
      </w:rPr>
      <w:fldChar w:fldCharType="begin"/>
    </w:r>
    <w:r w:rsidR="002C11AA">
      <w:rPr>
        <w:rStyle w:val="PageNumber"/>
      </w:rPr>
      <w:instrText xml:space="preserve">PAGE  </w:instrText>
    </w:r>
    <w:r>
      <w:rPr>
        <w:rStyle w:val="PageNumber"/>
      </w:rPr>
      <w:fldChar w:fldCharType="end"/>
    </w:r>
  </w:p>
  <w:p w:rsidR="002C11AA" w:rsidRDefault="002C11AA">
    <w:pPr>
      <w:pStyle w:val="Footer"/>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11AA" w:rsidRDefault="00F7383F">
    <w:pPr>
      <w:pStyle w:val="Footer"/>
      <w:rPr>
        <w:sz w:val="18"/>
      </w:rPr>
    </w:pPr>
    <w:r>
      <w:rPr>
        <w:sz w:val="18"/>
      </w:rPr>
      <w:fldChar w:fldCharType="begin"/>
    </w:r>
    <w:r w:rsidR="002C11AA">
      <w:rPr>
        <w:sz w:val="18"/>
      </w:rPr>
      <w:instrText xml:space="preserve">filename </w:instrText>
    </w:r>
    <w:r>
      <w:rPr>
        <w:sz w:val="18"/>
      </w:rPr>
      <w:fldChar w:fldCharType="separate"/>
    </w:r>
    <w:r w:rsidR="002C11AA">
      <w:rPr>
        <w:noProof/>
        <w:sz w:val="18"/>
      </w:rPr>
      <w:t>Building Global Infrastructure.docx</w:t>
    </w:r>
    <w:r>
      <w:rPr>
        <w:sz w:val="18"/>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id="-1">
    <w:p w:rsidR="002C11AA" w:rsidRPr="006629E9" w:rsidRDefault="002C11AA" w:rsidP="007D46DA">
      <w:pPr>
        <w:pStyle w:val="FootnoteText"/>
        <w:rPr>
          <w:lang w:val="en-US"/>
        </w:rPr>
      </w:pPr>
      <w:r w:rsidRPr="004C6126">
        <w:rPr>
          <w:rStyle w:val="FootnoteReference"/>
        </w:rPr>
        <w:footnoteRef/>
      </w:r>
      <w:r>
        <w:t xml:space="preserve"> found at </w:t>
      </w:r>
      <w:r w:rsidRPr="00460830">
        <w:t>http://thinkexist.com/quotation/what_vast_additions_to_the_conveniences_and/296982.html</w:t>
      </w:r>
      <w:r>
        <w:t>.</w:t>
      </w:r>
    </w:p>
  </w:footnote>
  <w:footnote w:id="0">
    <w:p w:rsidR="002C11AA" w:rsidRPr="002F2A1B" w:rsidRDefault="002C11AA" w:rsidP="007D46DA">
      <w:pPr>
        <w:pStyle w:val="FootnoteText"/>
        <w:rPr>
          <w:lang w:val="en-US"/>
        </w:rPr>
      </w:pPr>
      <w:r w:rsidRPr="004C6126">
        <w:rPr>
          <w:rStyle w:val="FootnoteReference"/>
        </w:rPr>
        <w:footnoteRef/>
      </w:r>
      <w:r>
        <w:t xml:space="preserve"> </w:t>
      </w:r>
      <w:r>
        <w:rPr>
          <w:lang w:val="en-US"/>
        </w:rPr>
        <w:t>Italics in original.</w:t>
      </w:r>
    </w:p>
  </w:footnote>
  <w:footnote w:id="1">
    <w:p w:rsidR="002C11AA" w:rsidRPr="009620B6" w:rsidRDefault="002C11AA" w:rsidP="007D46DA">
      <w:pPr>
        <w:pStyle w:val="FootnoteText"/>
      </w:pPr>
      <w:r w:rsidRPr="004C6126">
        <w:rPr>
          <w:rStyle w:val="FootnoteReference"/>
        </w:rPr>
        <w:footnoteRef/>
      </w:r>
      <w:r w:rsidRPr="009620B6">
        <w:t xml:space="preserve"> Percentage of </w:t>
      </w:r>
      <w:r>
        <w:t>t</w:t>
      </w:r>
      <w:r w:rsidRPr="009620B6">
        <w:t xml:space="preserve">on-miles. Data from the 2007 Commodity Flow Survey conducted by the U.S. Bureau of Transportation Statistics and the U.S. Census Bureau. Data accessed at </w:t>
      </w:r>
      <w:hyperlink r:id="rId1" w:history="1">
        <w:r w:rsidRPr="009620B6">
          <w:rPr>
            <w:rStyle w:val="Hyperlink"/>
          </w:rPr>
          <w:t>http://factfinder.census.gov/servlet/GQRTable?_bm=y&amp;-geo_id=01000US&amp;-ds_name=CF0700A06&amp;-_lang=en</w:t>
        </w:r>
      </w:hyperlink>
      <w:r w:rsidRPr="009620B6">
        <w:t>.</w:t>
      </w:r>
    </w:p>
  </w:footnote>
  <w:footnote w:id="2">
    <w:p w:rsidR="002C11AA" w:rsidRPr="00AF06BE" w:rsidRDefault="002C11AA" w:rsidP="007D46DA">
      <w:pPr>
        <w:pStyle w:val="FootnoteText"/>
      </w:pPr>
      <w:r w:rsidRPr="004C6126">
        <w:rPr>
          <w:rStyle w:val="FootnoteReference"/>
        </w:rPr>
        <w:footnoteRef/>
      </w:r>
      <w:r w:rsidRPr="009620B6">
        <w:t xml:space="preserve"> From U.S. EIA Oil Market Basics. See </w:t>
      </w:r>
      <w:hyperlink r:id="rId2" w:history="1">
        <w:r w:rsidRPr="009620B6">
          <w:rPr>
            <w:rStyle w:val="Hyperlink"/>
          </w:rPr>
          <w:t>http://www.eia.doe.gov/pub/oil_gas/petroleum/analysis_publications/oil_market_basics/trade_text.htm</w:t>
        </w:r>
      </w:hyperlink>
      <w:r w:rsidRPr="009620B6">
        <w:t>.</w:t>
      </w:r>
    </w:p>
  </w:footnote>
  <w:footnote w:id="3">
    <w:p w:rsidR="002C11AA" w:rsidRPr="0010737A" w:rsidRDefault="002C11AA" w:rsidP="007D46DA">
      <w:pPr>
        <w:pStyle w:val="FootnoteText"/>
        <w:rPr>
          <w:lang w:val="en-US"/>
        </w:rPr>
      </w:pPr>
      <w:r w:rsidRPr="004C6126">
        <w:rPr>
          <w:rStyle w:val="FootnoteReference"/>
        </w:rPr>
        <w:footnoteRef/>
      </w:r>
      <w:r>
        <w:t xml:space="preserve"> </w:t>
      </w:r>
      <w:r>
        <w:rPr>
          <w:lang w:val="en-US"/>
        </w:rPr>
        <w:t>The twelve pillars are, in order: institutions, infrastructure, macroeconomic environment, health and primary education, higher education and training, goods market efficiency, labor market efficiency; financial market development, technological readiness, market size, business sophistication, and innovation</w:t>
      </w:r>
      <w:r w:rsidDel="00E6531D">
        <w:rPr>
          <w:lang w:val="en-US"/>
        </w:rPr>
        <w:t xml:space="preserve"> </w:t>
      </w:r>
      <w:r w:rsidR="00F7383F">
        <w:rPr>
          <w:lang w:val="en-US"/>
        </w:rPr>
        <w:fldChar w:fldCharType="begin"/>
      </w:r>
      <w:r>
        <w:rPr>
          <w:lang w:val="en-US"/>
        </w:rPr>
        <w:instrText xml:space="preserve"> ADDIN ZOTERO_ITEM {"citationID":"2d7eaahhi4","properties":{"formattedCitation":"{\\rtf (Schwab 2010, 4\\uc0\\u8211{}8)}","plainCitation":"(Schwab 2010, 4–8)"},"citationItems":[{"id":1145,"uris":["http://zotero.org/groups/4482/items/8NVQJX87"],"uri":["http://zotero.org/groups/4482/items/8NVQJX87"],"locator":"4-8","label":"page"}]} </w:instrText>
      </w:r>
      <w:r w:rsidR="00F7383F">
        <w:rPr>
          <w:lang w:val="en-US"/>
        </w:rPr>
        <w:fldChar w:fldCharType="separate"/>
      </w:r>
      <w:r>
        <w:t>(Schwab 2010:</w:t>
      </w:r>
      <w:r w:rsidRPr="003E4031">
        <w:t xml:space="preserve"> 4–8)</w:t>
      </w:r>
      <w:r w:rsidR="00F7383F">
        <w:rPr>
          <w:lang w:val="en-US"/>
        </w:rPr>
        <w:fldChar w:fldCharType="end"/>
      </w:r>
      <w:r>
        <w:rPr>
          <w:lang w:val="en-US"/>
        </w:rPr>
        <w:t>.</w:t>
      </w:r>
    </w:p>
  </w:footnote>
  <w:footnote w:id="4">
    <w:p w:rsidR="002C11AA" w:rsidRPr="00C01113" w:rsidRDefault="002C11AA" w:rsidP="007D46DA">
      <w:pPr>
        <w:pStyle w:val="FootnoteText"/>
        <w:rPr>
          <w:lang w:val="en-US"/>
        </w:rPr>
      </w:pPr>
      <w:r w:rsidRPr="004C6126">
        <w:rPr>
          <w:rStyle w:val="FootnoteReference"/>
        </w:rPr>
        <w:footnoteRef/>
      </w:r>
      <w:r>
        <w:t xml:space="preserve"> </w:t>
      </w:r>
      <w:r>
        <w:rPr>
          <w:lang w:val="en-US"/>
        </w:rPr>
        <w:t xml:space="preserve">See recent reviews of this literature by Romp and de Haan </w:t>
      </w:r>
      <w:r w:rsidR="00F7383F">
        <w:rPr>
          <w:lang w:val="en-US"/>
        </w:rPr>
        <w:fldChar w:fldCharType="begin"/>
      </w:r>
      <w:r>
        <w:rPr>
          <w:lang w:val="en-US"/>
        </w:rPr>
        <w:instrText xml:space="preserve"> ADDIN ZOTERO_ITEM {"citationID":"2b3e2hnpin","properties":{"formattedCitation":"(2007)","plainCitation":"(2007)"},"citationItems":[{"id":668,"uris":["http://zotero.org/groups/4482/items/XGKNBP7J"],"uri":["http://zotero.org/groups/4482/items/XGKNBP7J"],"suppress-author":true}]} </w:instrText>
      </w:r>
      <w:r w:rsidR="00F7383F">
        <w:rPr>
          <w:lang w:val="en-US"/>
        </w:rPr>
        <w:fldChar w:fldCharType="separate"/>
      </w:r>
      <w:r>
        <w:t>(2007)</w:t>
      </w:r>
      <w:r w:rsidR="00F7383F">
        <w:rPr>
          <w:lang w:val="en-US"/>
        </w:rPr>
        <w:fldChar w:fldCharType="end"/>
      </w:r>
      <w:r>
        <w:rPr>
          <w:lang w:val="en-US"/>
        </w:rPr>
        <w:t xml:space="preserve"> and Straub </w:t>
      </w:r>
      <w:r w:rsidR="00F7383F">
        <w:rPr>
          <w:lang w:val="en-US"/>
        </w:rPr>
        <w:fldChar w:fldCharType="begin"/>
      </w:r>
      <w:r>
        <w:rPr>
          <w:lang w:val="en-US"/>
        </w:rPr>
        <w:instrText xml:space="preserve"> ADDIN ZOTERO_ITEM {"citationID":"poohdcirf","properties":{"formattedCitation":"(2008; 2011)","plainCitation":"(2008; 2011)"},"citationItems":[{"id":236,"uris":["http://zotero.org/groups/4482/items/5DH46KB2"],"uri":["http://zotero.org/groups/4482/items/5DH46KB2"],"label":"page","suppress-author":true},{"id":1171,"uris":["http://zotero.org/groups/4482/items/NTMIMTHX"],"uri":["http://zotero.org/groups/4482/items/NTMIMTHX"],"label":"page","suppress-author":true}]} </w:instrText>
      </w:r>
      <w:r w:rsidR="00F7383F">
        <w:rPr>
          <w:lang w:val="en-US"/>
        </w:rPr>
        <w:fldChar w:fldCharType="separate"/>
      </w:r>
      <w:r>
        <w:t>(2008; 2011)</w:t>
      </w:r>
      <w:r w:rsidR="00F7383F">
        <w:rPr>
          <w:lang w:val="en-US"/>
        </w:rPr>
        <w:fldChar w:fldCharType="end"/>
      </w:r>
      <w:r>
        <w:rPr>
          <w:lang w:val="en-US"/>
        </w:rPr>
        <w:t>.</w:t>
      </w:r>
    </w:p>
  </w:footnote>
  <w:footnote w:id="5">
    <w:p w:rsidR="002C11AA" w:rsidRPr="002941E0" w:rsidRDefault="002C11AA" w:rsidP="007D46DA">
      <w:pPr>
        <w:pStyle w:val="FootnoteText"/>
        <w:rPr>
          <w:lang w:val="en-US"/>
        </w:rPr>
      </w:pPr>
      <w:r w:rsidRPr="004C6126">
        <w:rPr>
          <w:rStyle w:val="FootnoteReference"/>
        </w:rPr>
        <w:footnoteRef/>
      </w:r>
      <w:r>
        <w:t xml:space="preserve"> Data from WHO risk factor estimates for 2004, available at http://www.who.int/healthinfo/global_burden_disease/risk_factors/en/index.html.</w:t>
      </w:r>
    </w:p>
  </w:footnote>
  <w:footnote w:id="6">
    <w:p w:rsidR="002C11AA" w:rsidRPr="00A27A73" w:rsidRDefault="002C11AA" w:rsidP="007D46DA">
      <w:pPr>
        <w:pStyle w:val="FootnoteText"/>
        <w:rPr>
          <w:lang w:val="en-US"/>
        </w:rPr>
      </w:pPr>
      <w:r w:rsidRPr="004C6126">
        <w:rPr>
          <w:rStyle w:val="FootnoteReference"/>
        </w:rPr>
        <w:footnoteRef/>
      </w:r>
      <w:r>
        <w:t xml:space="preserve"> Also from http://www.who.int/healthinfo/global_burden_disease/risk_factors/en/index.html.</w:t>
      </w:r>
    </w:p>
  </w:footnote>
  <w:footnote w:id="7">
    <w:p w:rsidR="002C11AA" w:rsidRDefault="002C11AA" w:rsidP="007D46DA">
      <w:pPr>
        <w:pStyle w:val="FootnoteText"/>
      </w:pPr>
      <w:r>
        <w:rPr>
          <w:rStyle w:val="FootnoteReference"/>
        </w:rPr>
        <w:footnoteRef/>
      </w:r>
      <w:r>
        <w:t xml:space="preserve"> Most dates are approximate</w:t>
      </w:r>
    </w:p>
  </w:footnote>
  <w:footnote w:id="8">
    <w:p w:rsidR="002C11AA" w:rsidRPr="004806A4" w:rsidRDefault="002C11AA" w:rsidP="007D46DA">
      <w:pPr>
        <w:pStyle w:val="FootnoteText"/>
        <w:rPr>
          <w:lang w:val="en-US"/>
        </w:rPr>
      </w:pPr>
      <w:r w:rsidRPr="004C6126">
        <w:rPr>
          <w:rStyle w:val="FootnoteReference"/>
        </w:rPr>
        <w:footnoteRef/>
      </w:r>
      <w:r>
        <w:t xml:space="preserve"> </w:t>
      </w:r>
      <w:r w:rsidRPr="004806A4">
        <w:t>http://www.sdrm.org/history/timeline/</w:t>
      </w:r>
      <w:r>
        <w:t xml:space="preserve"> For other information on infrastructure timelines see </w:t>
      </w:r>
      <w:r w:rsidRPr="0070199E">
        <w:t>http://en.wikipedia.org/wiki/London_sewerage_system</w:t>
      </w:r>
      <w:r>
        <w:t xml:space="preserve"> (see also Goodman and Chant (1999); </w:t>
      </w:r>
      <w:r w:rsidRPr="0017723D">
        <w:t>http://en.wikipedia.org/wiki/London_water_supply_infrastructure</w:t>
      </w:r>
      <w:r>
        <w:t xml:space="preserve">; </w:t>
      </w:r>
      <w:r w:rsidRPr="009866A1">
        <w:t>http://www.thehistoricalarchive.com/happenings/57/the-history-of-electricity-a-timeline/</w:t>
      </w:r>
      <w:r>
        <w:t xml:space="preserve">; </w:t>
      </w:r>
      <w:r w:rsidRPr="006F6EFB">
        <w:t>http://en.wikipedia.org/wiki/Timeline_of_the_telephone</w:t>
      </w:r>
      <w:r>
        <w:t xml:space="preserve">; </w:t>
      </w:r>
      <w:r w:rsidRPr="006F6EFB">
        <w:t>http://en.wikipedia.org/wiki/Timeline_of_radio</w:t>
      </w:r>
    </w:p>
  </w:footnote>
  <w:footnote w:id="9">
    <w:p w:rsidR="002C11AA" w:rsidRPr="0036669A" w:rsidRDefault="002C11AA" w:rsidP="007D46DA">
      <w:pPr>
        <w:pStyle w:val="FootnoteText"/>
        <w:rPr>
          <w:lang w:val="en-US"/>
        </w:rPr>
      </w:pPr>
      <w:r w:rsidRPr="004C6126">
        <w:rPr>
          <w:rStyle w:val="FootnoteReference"/>
        </w:rPr>
        <w:footnoteRef/>
      </w:r>
      <w:r>
        <w:t xml:space="preserve"> </w:t>
      </w:r>
      <w:r>
        <w:rPr>
          <w:lang w:val="en-US"/>
        </w:rPr>
        <w:t>Target 7c of the MDGs.</w:t>
      </w:r>
    </w:p>
  </w:footnote>
  <w:footnote w:id="10">
    <w:p w:rsidR="002C11AA" w:rsidRPr="001C70F5" w:rsidRDefault="002C11AA" w:rsidP="007D46DA">
      <w:pPr>
        <w:pStyle w:val="FootnoteText"/>
        <w:rPr>
          <w:lang w:val="en-US"/>
        </w:rPr>
      </w:pPr>
      <w:r w:rsidRPr="004C6126">
        <w:rPr>
          <w:rStyle w:val="FootnoteReference"/>
        </w:rPr>
        <w:footnoteRef/>
      </w:r>
      <w:r>
        <w:t xml:space="preserve"> </w:t>
      </w:r>
      <w:r>
        <w:rPr>
          <w:lang w:val="en-US"/>
        </w:rPr>
        <w:t xml:space="preserve">Legros et al. </w:t>
      </w:r>
      <w:r w:rsidR="00F7383F">
        <w:rPr>
          <w:lang w:val="en-US"/>
        </w:rPr>
        <w:fldChar w:fldCharType="begin"/>
      </w:r>
      <w:r>
        <w:rPr>
          <w:lang w:val="en-US"/>
        </w:rPr>
        <w:instrText xml:space="preserve"> ADDIN ZOTERO_ITEM {"citationID":"1tlrmai71n","properties":{"formattedCitation":"{\\rtf (2009, 5\\uc0\\u8211{}6)}","plainCitation":"(2009, 5–6)"},"citationItems":[{"id":476,"uris":["http://zotero.org/groups/4482/items/KM4EHMDP"],"uri":["http://zotero.org/groups/4482/items/KM4EHMDP"],"locator":"5-6","label":"page","suppress-author":true}]} </w:instrText>
      </w:r>
      <w:r w:rsidR="00F7383F">
        <w:rPr>
          <w:lang w:val="en-US"/>
        </w:rPr>
        <w:fldChar w:fldCharType="separate"/>
      </w:r>
      <w:r w:rsidRPr="003E4031">
        <w:t>(2009, 5–6)</w:t>
      </w:r>
      <w:r w:rsidR="00F7383F">
        <w:rPr>
          <w:lang w:val="en-US"/>
        </w:rPr>
        <w:fldChar w:fldCharType="end"/>
      </w:r>
      <w:r>
        <w:rPr>
          <w:lang w:val="en-US"/>
        </w:rPr>
        <w:t xml:space="preserve"> defined modern forms of energy as household connections to electricity; the use of electricity, liquid fuels, or gaseous fuels as the primary fuel to satisfy cooking needs; and the use of mechanical power (from electricity, modern fuels, traditional biomass, wind, or hydroelectric power) for productive, non-industrial applications.</w:t>
      </w:r>
    </w:p>
  </w:footnote>
  <w:footnote w:id="11">
    <w:p w:rsidR="002C11AA" w:rsidRPr="0089616D" w:rsidRDefault="002C11AA" w:rsidP="007D46DA">
      <w:pPr>
        <w:pStyle w:val="FootnoteText"/>
        <w:rPr>
          <w:lang w:val="en-US"/>
        </w:rPr>
      </w:pPr>
      <w:r w:rsidRPr="004C6126">
        <w:rPr>
          <w:rStyle w:val="FootnoteReference"/>
        </w:rPr>
        <w:footnoteRef/>
      </w:r>
      <w:r>
        <w:t xml:space="preserve"> </w:t>
      </w:r>
      <w:r>
        <w:rPr>
          <w:lang w:val="en-US"/>
        </w:rPr>
        <w:t>As of 22 August 2011.</w:t>
      </w:r>
    </w:p>
  </w:footnote>
  <w:footnote w:id="12">
    <w:p w:rsidR="002C11AA" w:rsidRPr="003515DD" w:rsidRDefault="002C11AA" w:rsidP="007D46DA">
      <w:pPr>
        <w:pStyle w:val="FootnoteText"/>
        <w:rPr>
          <w:lang w:val="en-US"/>
        </w:rPr>
      </w:pPr>
      <w:r w:rsidRPr="000E4C4E">
        <w:rPr>
          <w:rStyle w:val="FootnoteReference"/>
        </w:rPr>
        <w:footnoteRef/>
      </w:r>
      <w:r>
        <w:t xml:space="preserve"> </w:t>
      </w:r>
      <w:r>
        <w:rPr>
          <w:lang w:val="en-US"/>
        </w:rPr>
        <w:t xml:space="preserve">Some studies, e.g. Hughes, Chinowsky, and Strzepek </w:t>
      </w:r>
      <w:r w:rsidR="00F7383F">
        <w:rPr>
          <w:lang w:val="en-US"/>
        </w:rPr>
        <w:fldChar w:fldCharType="begin"/>
      </w:r>
      <w:r>
        <w:rPr>
          <w:lang w:val="en-US"/>
        </w:rPr>
        <w:instrText xml:space="preserve"> ADDIN ZOTERO_ITEM {"citationID":"rs9TVJSx","properties":{"formattedCitation":"(2009)","plainCitation":"(2009)"},"citationItems":[{"id":975,"uris":["http://zotero.org/groups/4482/items/ZNDAXGEG"],"uri":["http://zotero.org/groups/4482/items/ZNDAXGEG"],"suppress-author":true}]} </w:instrText>
      </w:r>
      <w:r w:rsidR="00F7383F">
        <w:rPr>
          <w:lang w:val="en-US"/>
        </w:rPr>
        <w:fldChar w:fldCharType="separate"/>
      </w:r>
      <w:r w:rsidRPr="003515DD">
        <w:rPr>
          <w:szCs w:val="21"/>
        </w:rPr>
        <w:t>(2009)</w:t>
      </w:r>
      <w:r w:rsidR="00F7383F">
        <w:rPr>
          <w:lang w:val="en-US"/>
        </w:rPr>
        <w:fldChar w:fldCharType="end"/>
      </w:r>
      <w:r>
        <w:rPr>
          <w:lang w:val="en-US"/>
        </w:rPr>
        <w:t>, also include schools and hospitals, but this is an exception among the studies we have explored.</w:t>
      </w:r>
    </w:p>
  </w:footnote>
  <w:footnote w:id="13">
    <w:p w:rsidR="002C11AA" w:rsidRDefault="002C11AA" w:rsidP="007D46DA">
      <w:pPr>
        <w:pStyle w:val="FootnoteText"/>
      </w:pPr>
      <w:r>
        <w:rPr>
          <w:rStyle w:val="FootnoteReference"/>
        </w:rPr>
        <w:footnoteRef/>
      </w:r>
      <w:r>
        <w:t xml:space="preserve"> Hughes et al also include schools, hospitals and other urban infrastructure in their study</w:t>
      </w:r>
    </w:p>
  </w:footnote>
  <w:footnote w:id="14">
    <w:p w:rsidR="002C11AA" w:rsidRDefault="002C11AA" w:rsidP="007D46DA">
      <w:pPr>
        <w:pStyle w:val="FootnoteText"/>
      </w:pPr>
      <w:r w:rsidRPr="000E4C4E">
        <w:rPr>
          <w:rStyle w:val="FootnoteReference"/>
        </w:rPr>
        <w:footnoteRef/>
      </w:r>
      <w:r>
        <w:t xml:space="preserve"> </w:t>
      </w:r>
      <w:hyperlink r:id="rId3" w:history="1">
        <w:r>
          <w:rPr>
            <w:rStyle w:val="Hyperlink"/>
          </w:rPr>
          <w:t>http://databank.worldbank.org</w:t>
        </w:r>
      </w:hyperlink>
    </w:p>
  </w:footnote>
  <w:footnote w:id="15">
    <w:p w:rsidR="002C11AA" w:rsidRDefault="002C11AA" w:rsidP="007D46DA">
      <w:pPr>
        <w:pStyle w:val="FootnoteText"/>
      </w:pPr>
      <w:r w:rsidRPr="000E4C4E">
        <w:rPr>
          <w:rStyle w:val="FootnoteReference"/>
        </w:rPr>
        <w:footnoteRef/>
      </w:r>
      <w:r>
        <w:t xml:space="preserve"> </w:t>
      </w:r>
      <w:hyperlink r:id="rId4" w:history="1">
        <w:r>
          <w:rPr>
            <w:rStyle w:val="Hyperlink"/>
          </w:rPr>
          <w:t>http://earthtrends.wri.org/</w:t>
        </w:r>
      </w:hyperlink>
    </w:p>
  </w:footnote>
  <w:footnote w:id="16">
    <w:p w:rsidR="002C11AA" w:rsidRPr="00E779BE" w:rsidRDefault="002C11AA" w:rsidP="007D46DA">
      <w:pPr>
        <w:pStyle w:val="FootnoteText"/>
      </w:pPr>
      <w:r w:rsidRPr="000E4C4E">
        <w:rPr>
          <w:rStyle w:val="FootnoteReference"/>
        </w:rPr>
        <w:footnoteRef/>
      </w:r>
      <w:r>
        <w:t xml:space="preserve"> The database is accessible at </w:t>
      </w:r>
      <w:hyperlink r:id="rId5" w:history="1">
        <w:r w:rsidRPr="00C64462">
          <w:rPr>
            <w:rStyle w:val="Hyperlink"/>
          </w:rPr>
          <w:t>http://ppi.worldbank.org/</w:t>
        </w:r>
      </w:hyperlink>
      <w:r>
        <w:rPr>
          <w:rStyle w:val="Hyperlink"/>
        </w:rPr>
        <w:t xml:space="preserve">. The methodology is described at </w:t>
      </w:r>
      <w:hyperlink r:id="rId6" w:history="1">
        <w:r>
          <w:rPr>
            <w:rStyle w:val="Hyperlink"/>
          </w:rPr>
          <w:t>http://ppi.worldbank.org/resources/ppi_methodology.aspx</w:t>
        </w:r>
      </w:hyperlink>
      <w:r>
        <w:t>.</w:t>
      </w:r>
    </w:p>
  </w:footnote>
  <w:footnote w:id="17">
    <w:p w:rsidR="002C11AA" w:rsidRPr="0097425B" w:rsidRDefault="002C11AA" w:rsidP="007D46DA">
      <w:pPr>
        <w:pStyle w:val="FootnoteText"/>
        <w:rPr>
          <w:lang w:val="en-US"/>
        </w:rPr>
      </w:pPr>
      <w:r w:rsidRPr="000E4C4E">
        <w:rPr>
          <w:rStyle w:val="FootnoteReference"/>
        </w:rPr>
        <w:footnoteRef/>
      </w:r>
      <w:r>
        <w:t xml:space="preserve"> </w:t>
      </w:r>
      <w:r>
        <w:rPr>
          <w:lang w:val="en-US"/>
        </w:rPr>
        <w:t xml:space="preserve">From World Bank website on the Rural Access Index (RAI) - </w:t>
      </w:r>
      <w:hyperlink r:id="rId7" w:history="1">
        <w:r>
          <w:rPr>
            <w:rStyle w:val="Hyperlink"/>
          </w:rPr>
          <w:t>http://www.worldbank.org/transport/transportresults/headline/rural-access.html</w:t>
        </w:r>
      </w:hyperlink>
      <w:r>
        <w:t>. Accessed on 10 August 2011.</w:t>
      </w:r>
    </w:p>
  </w:footnote>
  <w:footnote w:id="18">
    <w:p w:rsidR="002C11AA" w:rsidRPr="001C23DC" w:rsidRDefault="002C11AA" w:rsidP="007D46DA">
      <w:pPr>
        <w:pStyle w:val="FootnoteText"/>
        <w:rPr>
          <w:lang w:val="en-US"/>
        </w:rPr>
      </w:pPr>
      <w:r w:rsidRPr="000E4C4E">
        <w:rPr>
          <w:rStyle w:val="FootnoteReference"/>
        </w:rPr>
        <w:footnoteRef/>
      </w:r>
      <w:r>
        <w:t xml:space="preserve"> </w:t>
      </w:r>
      <w:r w:rsidRPr="003779E3">
        <w:rPr>
          <w:rFonts w:ascii="Calibri" w:hAnsi="Calibri" w:cs="Calibri"/>
          <w:bCs/>
          <w:color w:val="000000"/>
        </w:rPr>
        <w:t>World Bank World Development Indicators online</w:t>
      </w:r>
      <w:r w:rsidRPr="00726638">
        <w:rPr>
          <w:rFonts w:ascii="Calibri" w:hAnsi="Calibri" w:cs="Calibri"/>
          <w:bCs/>
          <w:i/>
          <w:color w:val="000000"/>
        </w:rPr>
        <w:t xml:space="preserve"> (http://data.worldbank.org/). Accessed 21 October 2011</w:t>
      </w:r>
    </w:p>
  </w:footnote>
  <w:footnote w:id="19">
    <w:p w:rsidR="002C11AA" w:rsidRPr="00AF06BE" w:rsidRDefault="002C11AA" w:rsidP="007D46DA">
      <w:pPr>
        <w:pStyle w:val="FootnoteText"/>
        <w:rPr>
          <w:lang w:val="en-US"/>
        </w:rPr>
      </w:pPr>
      <w:r w:rsidRPr="005C3681">
        <w:rPr>
          <w:rStyle w:val="FootnoteReference"/>
        </w:rPr>
        <w:footnoteRef/>
      </w:r>
      <w:r w:rsidRPr="00AF06BE">
        <w:rPr>
          <w:lang w:val="en-US"/>
        </w:rPr>
        <w:t xml:space="preserve"> The proper term for the useful component of energy is exergy. While the total amount of energy is conserved in every transformation or process, exergy declines as entropy, the non-useful component of energy, increases </w:t>
      </w:r>
      <w:r w:rsidR="00F7383F" w:rsidRPr="00AF06BE">
        <w:rPr>
          <w:lang w:val="en-US"/>
        </w:rPr>
        <w:fldChar w:fldCharType="begin"/>
      </w:r>
      <w:r>
        <w:rPr>
          <w:lang w:val="en-US"/>
        </w:rPr>
        <w:instrText xml:space="preserve"> ADDIN ZOTERO_ITEM {"citationID":"2pZVEpME","properties":{"formattedCitation":"(Ayres and Warr 2009, xx)","plainCitation":"(Ayres and Warr 2009, xx)"},"citationItems":[{"id":641,"uris":["http://zotero.org/groups/4482/items/W2N8JR9X"],"uri":["http://zotero.org/groups/4482/items/W2N8JR9X"],"locator":"xx"}]} </w:instrText>
      </w:r>
      <w:r w:rsidR="00F7383F" w:rsidRPr="00AF06BE">
        <w:rPr>
          <w:lang w:val="en-US"/>
        </w:rPr>
        <w:fldChar w:fldCharType="separate"/>
      </w:r>
      <w:r w:rsidRPr="00AA7B30">
        <w:rPr>
          <w:szCs w:val="21"/>
        </w:rPr>
        <w:t>(Ayres and Warr 2009, xx)</w:t>
      </w:r>
      <w:r w:rsidR="00F7383F" w:rsidRPr="00AF06BE">
        <w:rPr>
          <w:lang w:val="en-US"/>
        </w:rPr>
        <w:fldChar w:fldCharType="end"/>
      </w:r>
      <w:r w:rsidRPr="00AF06BE">
        <w:rPr>
          <w:lang w:val="en-US"/>
        </w:rPr>
        <w:t xml:space="preserve">. Throughout this volume, we primarily use the term </w:t>
      </w:r>
      <w:r>
        <w:rPr>
          <w:lang w:val="en-US"/>
        </w:rPr>
        <w:t>“</w:t>
      </w:r>
      <w:r w:rsidRPr="00AF06BE">
        <w:rPr>
          <w:lang w:val="en-US"/>
        </w:rPr>
        <w:t>energy</w:t>
      </w:r>
      <w:r>
        <w:rPr>
          <w:lang w:val="en-US"/>
        </w:rPr>
        <w:t>”</w:t>
      </w:r>
      <w:r w:rsidRPr="00AF06BE">
        <w:rPr>
          <w:lang w:val="en-US"/>
        </w:rPr>
        <w:t xml:space="preserve"> even though we are technically referring to exergy.</w:t>
      </w:r>
    </w:p>
  </w:footnote>
  <w:footnote w:id="20">
    <w:p w:rsidR="002C11AA" w:rsidRDefault="002C11AA" w:rsidP="007D46DA">
      <w:r w:rsidRPr="000E4C4E">
        <w:rPr>
          <w:rStyle w:val="FootnoteReference"/>
        </w:rPr>
        <w:footnoteRef/>
      </w:r>
      <w:r>
        <w:t xml:space="preserve"> </w:t>
      </w:r>
      <w:r w:rsidRPr="00CA4EF3">
        <w:t>This is not intended to minimize the importance of other aspects of energy infrastructure, particularly given the expected shifts in the world's energy system driven by concerns over both the remaining amount of key non-renewable resources and the potential environmental impacts of energy use. In particular, the issues of peak oil—the date when global oil production will reach a maximum and start to decline—and climate change, driven in large part by energy use, have come to dominate the global energy and environmental agendas.</w:t>
      </w:r>
      <w:r>
        <w:t xml:space="preserve"> A detailed examination of these issues is beyond the scope of this study.</w:t>
      </w:r>
    </w:p>
  </w:footnote>
  <w:footnote w:id="21">
    <w:p w:rsidR="002C11AA" w:rsidRPr="00E57E8E" w:rsidRDefault="002C11AA" w:rsidP="007D46DA">
      <w:pPr>
        <w:pStyle w:val="FootnoteText"/>
        <w:rPr>
          <w:lang w:val="en-US"/>
        </w:rPr>
      </w:pPr>
      <w:r w:rsidRPr="000E4C4E">
        <w:rPr>
          <w:rStyle w:val="FootnoteReference"/>
        </w:rPr>
        <w:footnoteRef/>
      </w:r>
      <w:r>
        <w:t xml:space="preserve"> </w:t>
      </w:r>
      <w:r>
        <w:rPr>
          <w:lang w:val="en-US"/>
        </w:rPr>
        <w:t>Aspects of convergence challenge these distinctions, with any number of services accessible over a variety of physical network infrastructures.</w:t>
      </w:r>
    </w:p>
  </w:footnote>
  <w:footnote w:id="22">
    <w:p w:rsidR="002C11AA" w:rsidRPr="00CB1536" w:rsidRDefault="002C11AA" w:rsidP="007D46DA">
      <w:pPr>
        <w:pStyle w:val="FootnoteText"/>
        <w:rPr>
          <w:lang w:val="en-US"/>
        </w:rPr>
      </w:pPr>
      <w:r w:rsidRPr="000E4C4E">
        <w:rPr>
          <w:rStyle w:val="FootnoteReference"/>
        </w:rPr>
        <w:footnoteRef/>
      </w:r>
      <w:r>
        <w:t xml:space="preserve"> </w:t>
      </w:r>
      <w:r>
        <w:rPr>
          <w:lang w:val="en-US"/>
        </w:rPr>
        <w:t>Calculated using data on GDP at market prices for developing economies from WDI 2011.</w:t>
      </w:r>
    </w:p>
  </w:footnote>
  <w:footnote w:id="23">
    <w:p w:rsidR="002C11AA" w:rsidRDefault="002C11AA" w:rsidP="007D46DA">
      <w:pPr>
        <w:pStyle w:val="FootnoteText"/>
      </w:pPr>
      <w:r w:rsidRPr="000E4C4E">
        <w:rPr>
          <w:rStyle w:val="FootnoteReference"/>
        </w:rPr>
        <w:footnoteRef/>
      </w:r>
      <w:r>
        <w:t xml:space="preserve"> Data is for 5-year average from 2000 to 2005</w:t>
      </w:r>
    </w:p>
  </w:footnote>
  <w:footnote w:id="24">
    <w:p w:rsidR="002C11AA" w:rsidRDefault="002C11AA" w:rsidP="007D46DA">
      <w:pPr>
        <w:pStyle w:val="FootnoteText"/>
      </w:pPr>
      <w:r w:rsidRPr="000E4C4E">
        <w:rPr>
          <w:rStyle w:val="FootnoteReference"/>
        </w:rPr>
        <w:footnoteRef/>
      </w:r>
      <w:r>
        <w:t xml:space="preserve"> Data from AICD</w:t>
      </w:r>
    </w:p>
  </w:footnote>
  <w:footnote w:id="25">
    <w:p w:rsidR="002C11AA" w:rsidRDefault="002C11AA" w:rsidP="007D46DA">
      <w:pPr>
        <w:pStyle w:val="FootnoteText"/>
      </w:pPr>
      <w:r w:rsidRPr="000E4C4E">
        <w:rPr>
          <w:rStyle w:val="FootnoteReference"/>
        </w:rPr>
        <w:footnoteRef/>
      </w:r>
      <w:r>
        <w:t xml:space="preserve"> Data from Connecting East Asia Report </w:t>
      </w:r>
    </w:p>
  </w:footnote>
  <w:footnote w:id="26">
    <w:p w:rsidR="002C11AA" w:rsidRDefault="002C11AA" w:rsidP="007D46DA">
      <w:pPr>
        <w:pStyle w:val="FootnoteText"/>
      </w:pPr>
      <w:r w:rsidRPr="000E4C4E">
        <w:rPr>
          <w:rStyle w:val="FootnoteReference"/>
        </w:rPr>
        <w:footnoteRef/>
      </w:r>
      <w:r>
        <w:t xml:space="preserve"> Data from OECD 2009</w:t>
      </w:r>
    </w:p>
  </w:footnote>
  <w:footnote w:id="27">
    <w:p w:rsidR="002C11AA" w:rsidRDefault="002C11AA" w:rsidP="007D46DA">
      <w:pPr>
        <w:pStyle w:val="FootnoteText"/>
      </w:pPr>
      <w:r w:rsidRPr="000E4C4E">
        <w:rPr>
          <w:rStyle w:val="FootnoteReference"/>
        </w:rPr>
        <w:footnoteRef/>
      </w:r>
      <w:r>
        <w:t xml:space="preserve"> 18 percent of OECD countries with data saw an increase in spending versus 82 percent which saw a decline. Data from OECD Stat</w:t>
      </w:r>
    </w:p>
  </w:footnote>
  <w:footnote w:id="28">
    <w:p w:rsidR="002C11AA" w:rsidRDefault="002C11AA" w:rsidP="007D46DA">
      <w:pPr>
        <w:pStyle w:val="FootnoteText"/>
      </w:pPr>
      <w:r>
        <w:rPr>
          <w:rStyle w:val="FootnoteReference"/>
        </w:rPr>
        <w:footnoteRef/>
      </w:r>
      <w:r>
        <w:t xml:space="preserve"> Statistics from World Bank World Development Indicators 2011</w:t>
      </w:r>
    </w:p>
  </w:footnote>
  <w:footnote w:id="29">
    <w:p w:rsidR="002C11AA" w:rsidRPr="00720B48" w:rsidRDefault="002C11AA" w:rsidP="007D46DA">
      <w:pPr>
        <w:pStyle w:val="FootnoteText"/>
        <w:rPr>
          <w:lang w:val="en-US"/>
        </w:rPr>
      </w:pPr>
      <w:r>
        <w:rPr>
          <w:rStyle w:val="FootnoteReference"/>
        </w:rPr>
        <w:footnoteRef/>
      </w:r>
      <w:r>
        <w:t xml:space="preserve"> </w:t>
      </w:r>
      <w:r>
        <w:rPr>
          <w:lang w:val="en-US"/>
        </w:rPr>
        <w:t xml:space="preserve">This attribution problem arises whenever there are multiple factors in a causal relationship. Thus, we could equally argue that the influence of infrastructure on economic growth is mediated by its effects on education and health. The choice to treat economic growth as the ‘primary’ driver of infrastructure or the ‘primary’ factor impacted by infrastructure is therefore arbitrary, but it is consistent with most of the literature. </w:t>
      </w:r>
    </w:p>
  </w:footnote>
  <w:footnote w:id="30">
    <w:p w:rsidR="002C11AA" w:rsidRPr="005A03D4" w:rsidRDefault="002C11AA" w:rsidP="007D46DA">
      <w:pPr>
        <w:pStyle w:val="FootnoteText"/>
      </w:pPr>
      <w:r>
        <w:rPr>
          <w:rStyle w:val="FootnoteReference"/>
        </w:rPr>
        <w:footnoteRef/>
      </w:r>
      <w:r>
        <w:t xml:space="preserve"> Pilling, David. “Just two cheers for a sputtering Indonesian dream.” </w:t>
      </w:r>
      <w:r>
        <w:rPr>
          <w:i/>
        </w:rPr>
        <w:t xml:space="preserve">The Financial Times. </w:t>
      </w:r>
      <w:r>
        <w:t>14 December, 2011.</w:t>
      </w:r>
    </w:p>
  </w:footnote>
  <w:footnote w:id="31">
    <w:p w:rsidR="002C11AA" w:rsidRDefault="002C11AA" w:rsidP="007D46DA">
      <w:pPr>
        <w:pStyle w:val="FootnoteText"/>
      </w:pPr>
      <w:r>
        <w:rPr>
          <w:rStyle w:val="FootnoteReference"/>
        </w:rPr>
        <w:footnoteRef/>
      </w:r>
      <w:r>
        <w:t xml:space="preserve"> ibid</w:t>
      </w:r>
    </w:p>
  </w:footnote>
  <w:footnote w:id="32">
    <w:p w:rsidR="002C11AA" w:rsidRPr="000A3F1A" w:rsidRDefault="002C11AA" w:rsidP="007D46DA">
      <w:pPr>
        <w:pStyle w:val="FootnoteText"/>
      </w:pPr>
      <w:r>
        <w:rPr>
          <w:rStyle w:val="FootnoteReference"/>
        </w:rPr>
        <w:footnoteRef/>
      </w:r>
      <w:r>
        <w:t xml:space="preserve"> “11 dead after ‘Indonesia’s Golden Gate Bridge’ collapses.” </w:t>
      </w:r>
      <w:r>
        <w:rPr>
          <w:i/>
        </w:rPr>
        <w:t xml:space="preserve">The Telegraph. </w:t>
      </w:r>
      <w:r>
        <w:t>28 November, 2011</w:t>
      </w:r>
    </w:p>
  </w:footnote>
  <w:footnote w:id="33">
    <w:p w:rsidR="002C11AA" w:rsidRDefault="002C11AA" w:rsidP="007D46DA">
      <w:pPr>
        <w:pStyle w:val="FootnoteText"/>
      </w:pPr>
      <w:r>
        <w:rPr>
          <w:rStyle w:val="FootnoteReference"/>
        </w:rPr>
        <w:footnoteRef/>
      </w:r>
      <w:r>
        <w:t xml:space="preserve"> </w:t>
      </w:r>
      <w:r w:rsidRPr="00961A18">
        <w:rPr>
          <w:color w:val="000000"/>
          <w:szCs w:val="27"/>
        </w:rPr>
        <w:t>"Bridging the gaps; Colombia's infrastructure."</w:t>
      </w:r>
      <w:r w:rsidRPr="00961A18">
        <w:rPr>
          <w:color w:val="000000"/>
        </w:rPr>
        <w:t> </w:t>
      </w:r>
      <w:r w:rsidRPr="00961A18">
        <w:rPr>
          <w:i/>
          <w:color w:val="000000"/>
          <w:szCs w:val="27"/>
        </w:rPr>
        <w:t>The Economist</w:t>
      </w:r>
      <w:r w:rsidRPr="00961A18">
        <w:rPr>
          <w:color w:val="000000"/>
        </w:rPr>
        <w:t> </w:t>
      </w:r>
      <w:r w:rsidRPr="00961A18">
        <w:rPr>
          <w:color w:val="000000"/>
          <w:szCs w:val="27"/>
        </w:rPr>
        <w:t xml:space="preserve">[US] 17 September. 2011 </w:t>
      </w:r>
    </w:p>
  </w:footnote>
  <w:footnote w:id="34">
    <w:p w:rsidR="002C11AA" w:rsidRPr="00C01113" w:rsidRDefault="002C11AA" w:rsidP="007D46DA">
      <w:pPr>
        <w:pStyle w:val="FootnoteText"/>
        <w:rPr>
          <w:lang w:val="en-US"/>
        </w:rPr>
      </w:pPr>
      <w:r w:rsidRPr="00D70E92">
        <w:rPr>
          <w:rStyle w:val="FootnoteReference"/>
        </w:rPr>
        <w:footnoteRef/>
      </w:r>
      <w:r>
        <w:t xml:space="preserve"> </w:t>
      </w:r>
      <w:r>
        <w:rPr>
          <w:lang w:val="en-US"/>
        </w:rPr>
        <w:t xml:space="preserve">Another recent review is by Romp and de Haan </w:t>
      </w:r>
      <w:r w:rsidR="00F7383F">
        <w:rPr>
          <w:lang w:val="en-US"/>
        </w:rPr>
        <w:fldChar w:fldCharType="begin"/>
      </w:r>
      <w:r>
        <w:rPr>
          <w:lang w:val="en-US"/>
        </w:rPr>
        <w:instrText xml:space="preserve"> ADDIN ZOTERO_ITEM {"citationID":"2b3e2hnpin","properties":{"formattedCitation":"(2007)","plainCitation":"(2007)"},"citationItems":[{"id":668,"uris":["http://zotero.org/groups/4482/items/XGKNBP7J"],"uri":["http://zotero.org/groups/4482/items/XGKNBP7J"],"suppress-author":true}]} </w:instrText>
      </w:r>
      <w:r w:rsidR="00F7383F">
        <w:rPr>
          <w:lang w:val="en-US"/>
        </w:rPr>
        <w:fldChar w:fldCharType="separate"/>
      </w:r>
      <w:r>
        <w:t>(2007)</w:t>
      </w:r>
      <w:r w:rsidR="00F7383F">
        <w:rPr>
          <w:lang w:val="en-US"/>
        </w:rPr>
        <w:fldChar w:fldCharType="end"/>
      </w:r>
      <w:r>
        <w:rPr>
          <w:lang w:val="en-US"/>
        </w:rPr>
        <w:t xml:space="preserve">. For a quick overview, see Servén </w:t>
      </w:r>
      <w:r w:rsidR="00F7383F">
        <w:rPr>
          <w:lang w:val="en-US"/>
        </w:rPr>
        <w:fldChar w:fldCharType="begin"/>
      </w:r>
      <w:r>
        <w:rPr>
          <w:lang w:val="en-US"/>
        </w:rPr>
        <w:instrText xml:space="preserve"> ADDIN ZOTERO_ITEM {"citationID":"2ns8ue3rdc","properties":{"formattedCitation":"(2010)","plainCitation":"(2010)"},"citationItems":[{"id":1167,"uris":["http://zotero.org/groups/4482/items/6MFVDZIE"],"uri":["http://zotero.org/groups/4482/items/6MFVDZIE"],"suppress-author":true}]} </w:instrText>
      </w:r>
      <w:r w:rsidR="00F7383F">
        <w:rPr>
          <w:lang w:val="en-US"/>
        </w:rPr>
        <w:fldChar w:fldCharType="separate"/>
      </w:r>
      <w:r>
        <w:t>(2010)</w:t>
      </w:r>
      <w:r w:rsidR="00F7383F">
        <w:rPr>
          <w:lang w:val="en-US"/>
        </w:rPr>
        <w:fldChar w:fldCharType="end"/>
      </w:r>
      <w:r>
        <w:rPr>
          <w:lang w:val="en-US"/>
        </w:rPr>
        <w:t>.</w:t>
      </w:r>
    </w:p>
  </w:footnote>
  <w:footnote w:id="35">
    <w:p w:rsidR="002C11AA" w:rsidRPr="00F44FC4" w:rsidRDefault="002C11AA" w:rsidP="007D46DA">
      <w:pPr>
        <w:pStyle w:val="FootnoteText"/>
        <w:rPr>
          <w:lang w:val="en-US"/>
        </w:rPr>
      </w:pPr>
      <w:r>
        <w:rPr>
          <w:rStyle w:val="FootnoteReference"/>
        </w:rPr>
        <w:footnoteRef/>
      </w:r>
      <w:r>
        <w:t xml:space="preserve"> </w:t>
      </w:r>
      <w:r>
        <w:rPr>
          <w:lang w:val="en-US"/>
        </w:rPr>
        <w:t xml:space="preserve">Note that the infrastructure pillar of the Global Competitiveness Index described in Chapter 1 </w:t>
      </w:r>
      <w:r w:rsidR="00F7383F">
        <w:rPr>
          <w:lang w:val="en-US"/>
        </w:rPr>
        <w:fldChar w:fldCharType="begin"/>
      </w:r>
      <w:r>
        <w:rPr>
          <w:lang w:val="en-US"/>
        </w:rPr>
        <w:instrText xml:space="preserve"> ADDIN ZOTERO_ITEM {"citationID":"sq9q4hgdh","properties":{"formattedCitation":"(Schwab 2010)","plainCitation":"(Schwab 2010)"},"citationItems":[{"id":1145,"uris":["http://zotero.org/groups/4482/items/8NVQJX87"],"uri":["http://zotero.org/groups/4482/items/8NVQJX87"]}]} </w:instrText>
      </w:r>
      <w:r w:rsidR="00F7383F">
        <w:rPr>
          <w:lang w:val="en-US"/>
        </w:rPr>
        <w:fldChar w:fldCharType="separate"/>
      </w:r>
      <w:r>
        <w:t>(Schwab 2010)</w:t>
      </w:r>
      <w:r w:rsidR="00F7383F">
        <w:rPr>
          <w:lang w:val="en-US"/>
        </w:rPr>
        <w:fldChar w:fldCharType="end"/>
      </w:r>
      <w:r>
        <w:rPr>
          <w:lang w:val="en-US"/>
        </w:rPr>
        <w:t xml:space="preserve"> and the national infrastructure index proposed by Oswald et al </w:t>
      </w:r>
      <w:r w:rsidR="00F7383F">
        <w:rPr>
          <w:lang w:val="en-US"/>
        </w:rPr>
        <w:fldChar w:fldCharType="begin"/>
      </w:r>
      <w:r>
        <w:rPr>
          <w:lang w:val="en-US"/>
        </w:rPr>
        <w:instrText xml:space="preserve"> ADDIN ZOTERO_ITEM {"citationID":"2mmmkh20ds","properties":{"formattedCitation":"(2011)","plainCitation":"(2011)"},"citationItems":[{"id":1073,"uris":["http://zotero.org/groups/4482/items/P8B9RXZM"],"uri":["http://zotero.org/groups/4482/items/P8B9RXZM"],"suppress-author":true}]} </w:instrText>
      </w:r>
      <w:r w:rsidR="00F7383F">
        <w:rPr>
          <w:lang w:val="en-US"/>
        </w:rPr>
        <w:fldChar w:fldCharType="separate"/>
      </w:r>
      <w:r>
        <w:t>(2011)</w:t>
      </w:r>
      <w:r w:rsidR="00F7383F">
        <w:rPr>
          <w:lang w:val="en-US"/>
        </w:rPr>
        <w:fldChar w:fldCharType="end"/>
      </w:r>
      <w:r>
        <w:rPr>
          <w:lang w:val="en-US"/>
        </w:rPr>
        <w:t xml:space="preserve"> use a combination of quantity and quality. measures.</w:t>
      </w:r>
    </w:p>
  </w:footnote>
  <w:footnote w:id="36">
    <w:p w:rsidR="002C11AA" w:rsidRPr="009C611F" w:rsidRDefault="002C11AA" w:rsidP="007D46DA">
      <w:pPr>
        <w:pStyle w:val="FootnoteText"/>
        <w:rPr>
          <w:lang w:val="en-US"/>
        </w:rPr>
      </w:pPr>
      <w:r>
        <w:rPr>
          <w:rStyle w:val="FootnoteReference"/>
        </w:rPr>
        <w:footnoteRef/>
      </w:r>
      <w:r>
        <w:t xml:space="preserve"> </w:t>
      </w:r>
      <w:r>
        <w:rPr>
          <w:lang w:val="en-US"/>
        </w:rPr>
        <w:t xml:space="preserve">This online appendix is available at </w:t>
      </w:r>
      <w:r w:rsidRPr="009C611F">
        <w:rPr>
          <w:lang w:val="en-US"/>
        </w:rPr>
        <w:t>http://dx.doi.org/10.1080/00220388.2010.509785</w:t>
      </w:r>
      <w:r>
        <w:rPr>
          <w:lang w:val="en-US"/>
        </w:rPr>
        <w:t>.</w:t>
      </w:r>
    </w:p>
  </w:footnote>
  <w:footnote w:id="37">
    <w:p w:rsidR="002C11AA" w:rsidRDefault="002C11AA" w:rsidP="007D46DA">
      <w:pPr>
        <w:pStyle w:val="FootnoteText"/>
      </w:pPr>
      <w:r w:rsidRPr="00B805A5">
        <w:rPr>
          <w:rStyle w:val="FootnoteReference"/>
        </w:rPr>
        <w:footnoteRef/>
      </w:r>
      <w:r>
        <w:t xml:space="preserve"> We have not considered studies, such as Ogun </w:t>
      </w:r>
      <w:fldSimple w:instr=" ADDIN ZOTERO_ITEM {&quot;citationID&quot;:&quot;VPTFl0A7&quot;,&quot;properties&quot;:{&quot;formattedCitation&quot;:&quot;(2010)&quot;,&quot;plainCitation&quot;:&quot;(2010)&quot;},&quot;citationItems&quot;:[{&quot;id&quot;:281,&quot;uris&quot;:[&quot;http://zotero.org/groups/4482/items/7NTFI3W4&quot;],&quot;uri&quot;:[&quot;http://zotero.org/groups/4482/items/7NTFI3W4&quot;],&quot;suppress-author&quot;:true}]} ">
        <w:r>
          <w:t>(2010)</w:t>
        </w:r>
      </w:fldSimple>
      <w:r>
        <w:t>, which do not explicitly distinguish between growth and distribution effects in estimating the impact of infrastructure on income poverty.</w:t>
      </w:r>
    </w:p>
  </w:footnote>
  <w:footnote w:id="38">
    <w:p w:rsidR="002C11AA" w:rsidRPr="00D1381A" w:rsidRDefault="002C11AA" w:rsidP="007D46DA">
      <w:pPr>
        <w:pStyle w:val="FootnoteText"/>
        <w:rPr>
          <w:lang w:val="en-US"/>
        </w:rPr>
      </w:pPr>
      <w:r>
        <w:rPr>
          <w:rStyle w:val="FootnoteReference"/>
        </w:rPr>
        <w:footnoteRef/>
      </w:r>
      <w:r>
        <w:t xml:space="preserve"> </w:t>
      </w:r>
      <w:r>
        <w:rPr>
          <w:lang w:val="en-US"/>
        </w:rPr>
        <w:t>The Gini coefficient is one measure of the level of inequality between income groups based on the distribution of total income. Here, a value of 0 implies complete equity—that is, that income is equally shared by all persons— while a value of 100 implies all of the income is earned by a single person. The Gini coefficient can also be expressed in terms of 0 to 1.</w:t>
      </w:r>
    </w:p>
  </w:footnote>
  <w:footnote w:id="39">
    <w:p w:rsidR="002C11AA" w:rsidRPr="009929CE" w:rsidRDefault="002C11AA" w:rsidP="007D46DA">
      <w:pPr>
        <w:pStyle w:val="FootnoteText"/>
        <w:rPr>
          <w:lang w:val="en-US"/>
        </w:rPr>
      </w:pPr>
      <w:r>
        <w:rPr>
          <w:rStyle w:val="FootnoteReference"/>
        </w:rPr>
        <w:footnoteRef/>
      </w:r>
      <w:r>
        <w:t xml:space="preserve"> </w:t>
      </w:r>
      <w:r>
        <w:rPr>
          <w:lang w:val="en-US"/>
        </w:rPr>
        <w:t xml:space="preserve">Data provided on the WHO website - </w:t>
      </w:r>
      <w:hyperlink r:id="rId8" w:history="1">
        <w:r>
          <w:rPr>
            <w:rStyle w:val="Hyperlink"/>
          </w:rPr>
          <w:t>http://apps.who.int/ghodata/?vid=34000</w:t>
        </w:r>
      </w:hyperlink>
      <w:r>
        <w:t>.</w:t>
      </w:r>
    </w:p>
  </w:footnote>
  <w:footnote w:id="40">
    <w:p w:rsidR="002C11AA" w:rsidRDefault="002C11AA" w:rsidP="007D46DA">
      <w:pPr>
        <w:pStyle w:val="FootnoteText"/>
      </w:pPr>
      <w:r>
        <w:rPr>
          <w:rStyle w:val="FootnoteReference"/>
        </w:rPr>
        <w:footnoteRef/>
      </w:r>
      <w:r>
        <w:t xml:space="preserve"> Only includes deaths that occurred within Louisiana.</w:t>
      </w:r>
    </w:p>
  </w:footnote>
  <w:footnote w:id="41">
    <w:p w:rsidR="002C11AA" w:rsidRPr="00EE2094" w:rsidRDefault="002C11AA" w:rsidP="007D46DA">
      <w:pPr>
        <w:pStyle w:val="FootnoteText"/>
        <w:rPr>
          <w:lang w:val="en-US"/>
        </w:rPr>
      </w:pPr>
      <w:r>
        <w:rPr>
          <w:rStyle w:val="FootnoteReference"/>
        </w:rPr>
        <w:footnoteRef/>
      </w:r>
      <w:r>
        <w:t xml:space="preserve"> </w:t>
      </w:r>
      <w:r>
        <w:rPr>
          <w:lang w:val="en-US"/>
        </w:rPr>
        <w:t xml:space="preserve">Some studies, notably Hughes, Chinowsky, and Strzepek </w:t>
      </w:r>
      <w:r w:rsidR="00F7383F">
        <w:rPr>
          <w:lang w:val="en-US"/>
        </w:rPr>
        <w:fldChar w:fldCharType="begin"/>
      </w:r>
      <w:r>
        <w:rPr>
          <w:lang w:val="en-US"/>
        </w:rPr>
        <w:instrText xml:space="preserve"> ADDIN ZOTERO_ITEM {"citationID":"behjhg3e6","properties":{"formattedCitation":"(2009)","plainCitation":"(2009)"},"citationItems":[{"id":975,"uris":["http://zotero.org/groups/4482/items/ZNDAXGEG"],"uri":["http://zotero.org/groups/4482/items/ZNDAXGEG"],"suppress-author":true}]} </w:instrText>
      </w:r>
      <w:r w:rsidR="00F7383F">
        <w:rPr>
          <w:lang w:val="en-US"/>
        </w:rPr>
        <w:fldChar w:fldCharType="separate"/>
      </w:r>
      <w:r w:rsidRPr="00EE2094">
        <w:t>(2009)</w:t>
      </w:r>
      <w:r w:rsidR="00F7383F">
        <w:rPr>
          <w:lang w:val="en-US"/>
        </w:rPr>
        <w:fldChar w:fldCharType="end"/>
      </w:r>
      <w:r>
        <w:rPr>
          <w:lang w:val="en-US"/>
        </w:rPr>
        <w:t>, actually include school facilities as a component of infrastructure.</w:t>
      </w:r>
    </w:p>
  </w:footnote>
  <w:footnote w:id="42">
    <w:p w:rsidR="002C11AA" w:rsidRPr="005C39F7" w:rsidRDefault="002C11AA" w:rsidP="007D46DA">
      <w:pPr>
        <w:pStyle w:val="FootnoteText"/>
        <w:rPr>
          <w:lang w:val="en-US"/>
        </w:rPr>
      </w:pPr>
      <w:r>
        <w:rPr>
          <w:rStyle w:val="FootnoteReference"/>
        </w:rPr>
        <w:footnoteRef/>
      </w:r>
      <w:r>
        <w:t xml:space="preserve"> </w:t>
      </w:r>
      <w:r w:rsidRPr="004C56E8">
        <w:t>http://www.nou.edu.ng/noun/About%20NOUN/contents/facts_figure%20.html#</w:t>
      </w:r>
    </w:p>
  </w:footnote>
  <w:footnote w:id="43">
    <w:p w:rsidR="002C11AA" w:rsidRPr="00E12022" w:rsidRDefault="002C11AA" w:rsidP="007D46DA">
      <w:pPr>
        <w:pStyle w:val="FootnoteText"/>
        <w:rPr>
          <w:lang w:val="en-US"/>
        </w:rPr>
      </w:pPr>
      <w:r w:rsidRPr="00E12022">
        <w:rPr>
          <w:rStyle w:val="FootnoteReference"/>
        </w:rPr>
        <w:footnoteRef/>
      </w:r>
      <w:r w:rsidRPr="00E12022">
        <w:t xml:space="preserve"> </w:t>
      </w:r>
      <w:r w:rsidRPr="00E12022">
        <w:rPr>
          <w:lang w:val="en-US"/>
        </w:rPr>
        <w:t xml:space="preserve">See </w:t>
      </w:r>
      <w:hyperlink r:id="rId9" w:history="1">
        <w:r w:rsidRPr="00E12022">
          <w:rPr>
            <w:rStyle w:val="Hyperlink"/>
          </w:rPr>
          <w:t>http://www.oecd.org/document/0,3746,en_2649_39263294_37295617_1_1_1_1,00.html</w:t>
        </w:r>
      </w:hyperlink>
      <w:r w:rsidRPr="00E12022">
        <w:t>. There does not appear to have been formal report associated with this analysis.</w:t>
      </w:r>
    </w:p>
  </w:footnote>
  <w:footnote w:id="44">
    <w:p w:rsidR="002C11AA" w:rsidRPr="00A841CF" w:rsidRDefault="002C11AA" w:rsidP="007D46DA">
      <w:pPr>
        <w:pStyle w:val="FootnoteText"/>
      </w:pPr>
      <w:r w:rsidRPr="00A841CF">
        <w:rPr>
          <w:rStyle w:val="FootnoteReference"/>
        </w:rPr>
        <w:footnoteRef/>
      </w:r>
      <w:r w:rsidRPr="00A841CF">
        <w:t xml:space="preserve"> Italics from original text</w:t>
      </w:r>
    </w:p>
  </w:footnote>
  <w:footnote w:id="45">
    <w:p w:rsidR="002C11AA" w:rsidRPr="00A841CF" w:rsidRDefault="002C11AA" w:rsidP="007D46DA">
      <w:pPr>
        <w:rPr>
          <w:sz w:val="20"/>
        </w:rPr>
      </w:pPr>
      <w:r w:rsidRPr="00A841CF">
        <w:rPr>
          <w:rStyle w:val="FootnoteReference"/>
        </w:rPr>
        <w:footnoteRef/>
      </w:r>
      <w:r w:rsidRPr="00A841CF">
        <w:t xml:space="preserve"> </w:t>
      </w:r>
      <w:hyperlink r:id="rId10" w:history="1">
        <w:r w:rsidRPr="00A841CF">
          <w:rPr>
            <w:rStyle w:val="Hyperlink"/>
            <w:sz w:val="20"/>
          </w:rPr>
          <w:t>http://go.worldbank.org/6WT3UPVG80</w:t>
        </w:r>
      </w:hyperlink>
    </w:p>
  </w:footnote>
  <w:footnote w:id="46">
    <w:p w:rsidR="002C11AA" w:rsidRPr="00A841CF" w:rsidRDefault="002C11AA" w:rsidP="007D46DA">
      <w:pPr>
        <w:pStyle w:val="FootnoteText"/>
      </w:pPr>
      <w:r w:rsidRPr="00A841CF">
        <w:rPr>
          <w:rStyle w:val="FootnoteReference"/>
        </w:rPr>
        <w:footnoteRef/>
      </w:r>
      <w:r w:rsidRPr="00A841CF">
        <w:t xml:space="preserve"> </w:t>
      </w:r>
      <w:hyperlink r:id="rId11" w:history="1">
        <w:r w:rsidRPr="004B342F">
          <w:rPr>
            <w:rStyle w:val="Hyperlink"/>
          </w:rPr>
          <w:t>http://www.oecd.org/department/0,3355,en_2649_34129_1_1_1_1_1,00.html</w:t>
        </w:r>
      </w:hyperlink>
    </w:p>
  </w:footnote>
  <w:footnote w:id="47">
    <w:p w:rsidR="002C11AA" w:rsidRPr="009959FE" w:rsidRDefault="002C11AA" w:rsidP="007D46DA">
      <w:pPr>
        <w:rPr>
          <w:rFonts w:ascii="Times" w:hAnsi="Times"/>
          <w:sz w:val="20"/>
        </w:rPr>
      </w:pPr>
      <w:r w:rsidRPr="009959FE">
        <w:rPr>
          <w:rStyle w:val="FootnoteReference"/>
          <w:sz w:val="20"/>
        </w:rPr>
        <w:footnoteRef/>
      </w:r>
      <w:r w:rsidRPr="009959FE">
        <w:rPr>
          <w:sz w:val="20"/>
        </w:rPr>
        <w:t xml:space="preserve"> </w:t>
      </w:r>
      <w:r w:rsidRPr="001C09E8">
        <w:rPr>
          <w:sz w:val="20"/>
        </w:rPr>
        <w:t>http://pep-net.eu/blog/2009/04/20/technology-use-in-the-2009-south-african-elections/</w:t>
      </w:r>
    </w:p>
  </w:footnote>
  <w:footnote w:id="48">
    <w:p w:rsidR="002C11AA" w:rsidRDefault="002C11AA" w:rsidP="007D46DA">
      <w:pPr>
        <w:pStyle w:val="FootnoteText"/>
      </w:pPr>
      <w:r>
        <w:rPr>
          <w:rStyle w:val="FootnoteReference"/>
        </w:rPr>
        <w:footnoteRef/>
      </w:r>
      <w:r>
        <w:t xml:space="preserve"> </w:t>
      </w:r>
      <w:r w:rsidRPr="00B94149">
        <w:t xml:space="preserve">“Use of ICT in elections will deepen democracy.” The Standard. 11/25/2011. </w:t>
      </w:r>
    </w:p>
  </w:footnote>
  <w:footnote w:id="49">
    <w:p w:rsidR="002C11AA" w:rsidRDefault="002C11AA" w:rsidP="007D46DA">
      <w:pPr>
        <w:pStyle w:val="FootnoteText"/>
      </w:pPr>
      <w:r w:rsidRPr="007E36BA">
        <w:rPr>
          <w:rStyle w:val="FootnoteReference"/>
        </w:rPr>
        <w:footnoteRef/>
      </w:r>
      <w:r w:rsidRPr="007E36BA">
        <w:t xml:space="preserve"> Preston, Jennifer. </w:t>
      </w:r>
      <w:r w:rsidRPr="00293376">
        <w:t xml:space="preserve">“Protestors look for ways to feed the web”. New York Times. </w:t>
      </w:r>
      <w:r w:rsidRPr="007E36BA">
        <w:t>11/24/2011</w:t>
      </w:r>
      <w:r w:rsidRPr="00293376">
        <w:t>.</w:t>
      </w:r>
      <w:r>
        <w:t xml:space="preserve"> </w:t>
      </w:r>
    </w:p>
  </w:footnote>
  <w:footnote w:id="50">
    <w:p w:rsidR="002C11AA" w:rsidRDefault="002C11AA" w:rsidP="007D46DA">
      <w:pPr>
        <w:pStyle w:val="FootnoteText"/>
      </w:pPr>
      <w:r w:rsidRPr="00B805A5">
        <w:rPr>
          <w:rStyle w:val="FootnoteReference"/>
        </w:rPr>
        <w:footnoteRef/>
      </w:r>
      <w:r>
        <w:t xml:space="preserve"> The circumference of the earth at the equator is </w:t>
      </w:r>
      <w:r w:rsidRPr="008D58FE">
        <w:t>40,075.16 kilomet</w:t>
      </w:r>
      <w:r>
        <w:t>er</w:t>
      </w:r>
      <w:r w:rsidRPr="008D58FE">
        <w:t>s</w:t>
      </w:r>
      <w:r>
        <w:t xml:space="preserve"> (</w:t>
      </w:r>
      <w:hyperlink r:id="rId12" w:history="1">
        <w:r>
          <w:rPr>
            <w:rStyle w:val="Hyperlink"/>
          </w:rPr>
          <w:t>http://geography.about.com/library/faq/blqzcircumference.htm</w:t>
        </w:r>
      </w:hyperlink>
      <w:r>
        <w:t xml:space="preserve">) </w:t>
      </w:r>
    </w:p>
  </w:footnote>
  <w:footnote w:id="51">
    <w:p w:rsidR="002C11AA" w:rsidRPr="00992922" w:rsidRDefault="002C11AA" w:rsidP="007D46DA">
      <w:pPr>
        <w:pStyle w:val="FootnoteText"/>
        <w:rPr>
          <w:lang w:val="en-US"/>
        </w:rPr>
      </w:pPr>
      <w:r>
        <w:rPr>
          <w:rStyle w:val="FootnoteReference"/>
        </w:rPr>
        <w:footnoteRef/>
      </w:r>
      <w:r>
        <w:t xml:space="preserve"> Döll, Fiedler, and Zhang </w:t>
      </w:r>
      <w:fldSimple w:instr=" ADDIN ZOTERO_ITEM {&quot;citationID&quot;:&quot;1on0u0gmn5&quot;,&quot;properties&quot;:{&quot;formattedCitation&quot;:&quot;(2009)&quot;,&quot;plainCitation&quot;:&quot;(2009)&quot;},&quot;citationItems&quot;:[{&quot;id&quot;:1265,&quot;uris&quot;:[&quot;http://zotero.org/groups/4482/items/Q8Z5FHBK&quot;],&quot;uri&quot;:[&quot;http://zotero.org/groups/4482/items/Q8Z5FHBK&quot;],&quot;suppress-author&quot;:true}]} ">
        <w:r w:rsidRPr="00C75C52">
          <w:t>(2009)</w:t>
        </w:r>
      </w:fldSimple>
      <w:r>
        <w:t xml:space="preserve"> provide an estimate of total discharge of 39,549 cubic kilometres per year under natural conditions. Internal sinks include lakes such as the Great Salt Lake in the United States, which have rivers flowing into them, but no outflow leading eventually to the ocean. The FAOSTAT database (</w:t>
      </w:r>
      <w:r w:rsidRPr="00792B0D">
        <w:t>http://faostat.fao.org/</w:t>
      </w:r>
      <w:r>
        <w:t>) lists Italy’s area as 301,340 square kilometers, which includes area under inland water bodies but excludes offshore territorial waters.</w:t>
      </w:r>
    </w:p>
  </w:footnote>
  <w:footnote w:id="52">
    <w:p w:rsidR="002C11AA" w:rsidRPr="00956D52" w:rsidRDefault="002C11AA" w:rsidP="007D46DA">
      <w:pPr>
        <w:pStyle w:val="FootnoteText"/>
      </w:pPr>
      <w:r>
        <w:rPr>
          <w:rStyle w:val="FootnoteReference"/>
        </w:rPr>
        <w:footnoteRef/>
      </w:r>
      <w:r>
        <w:t xml:space="preserve"> Hvistendahl, Mara. “China’s Three Gorges Dam: An Environmental Catastrophe?” </w:t>
      </w:r>
      <w:r>
        <w:rPr>
          <w:i/>
        </w:rPr>
        <w:t xml:space="preserve">Scientific American. </w:t>
      </w:r>
      <w:r>
        <w:t>25 March  2008.</w:t>
      </w:r>
    </w:p>
  </w:footnote>
  <w:footnote w:id="53">
    <w:p w:rsidR="002C11AA" w:rsidRPr="00EC735B" w:rsidRDefault="002C11AA" w:rsidP="007D46DA">
      <w:pPr>
        <w:pStyle w:val="FootnoteText"/>
        <w:rPr>
          <w:lang w:val="en-US"/>
        </w:rPr>
      </w:pPr>
      <w:r>
        <w:rPr>
          <w:rStyle w:val="FootnoteReference"/>
        </w:rPr>
        <w:footnoteRef/>
      </w:r>
      <w:r>
        <w:t xml:space="preserve"> </w:t>
      </w:r>
      <w:r>
        <w:rPr>
          <w:lang w:val="en-US"/>
        </w:rPr>
        <w:t>Alkemade et al.(2009: 378) focused on ‘linear infrastructure’ in their calculations— roads, railroads, power lines, and pipelines, which are included in the Digital Chart of the World database housed at Penn State University (</w:t>
      </w:r>
      <w:hyperlink r:id="rId13" w:history="1">
        <w:r>
          <w:rPr>
            <w:rStyle w:val="Hyperlink"/>
          </w:rPr>
          <w:t>http://www.maproom.psu.edu/dcw/</w:t>
        </w:r>
      </w:hyperlink>
      <w:r>
        <w:t>).</w:t>
      </w:r>
    </w:p>
  </w:footnote>
  <w:footnote w:id="54">
    <w:p w:rsidR="002C11AA" w:rsidRPr="00157BCF" w:rsidRDefault="002C11AA" w:rsidP="006B1499">
      <w:pPr>
        <w:pStyle w:val="BodyText"/>
        <w:jc w:val="left"/>
        <w:rPr>
          <w:sz w:val="20"/>
        </w:rPr>
      </w:pPr>
      <w:r w:rsidRPr="00157BCF">
        <w:rPr>
          <w:rStyle w:val="FootnoteReference"/>
          <w:rFonts w:eastAsiaTheme="majorEastAsia"/>
          <w:sz w:val="20"/>
        </w:rPr>
        <w:footnoteRef/>
      </w:r>
      <w:r w:rsidRPr="00157BCF">
        <w:rPr>
          <w:sz w:val="20"/>
        </w:rPr>
        <w:t xml:space="preserve"> For introduction to the character and use of the model, see Hughes and Hillebrand 2006.</w:t>
      </w:r>
    </w:p>
    <w:p w:rsidR="002C11AA" w:rsidRPr="00157BCF" w:rsidRDefault="002C11AA" w:rsidP="006B1499">
      <w:pPr>
        <w:pStyle w:val="FootnoteText"/>
        <w:rPr>
          <w:lang w:val="en-US"/>
        </w:rPr>
      </w:pPr>
    </w:p>
  </w:footnote>
  <w:footnote w:id="55">
    <w:p w:rsidR="002C11AA" w:rsidRPr="00157BCF" w:rsidRDefault="002C11AA" w:rsidP="006B1499">
      <w:pPr>
        <w:pStyle w:val="FootnoteText"/>
        <w:rPr>
          <w:lang w:val="en-US"/>
        </w:rPr>
      </w:pPr>
      <w:r w:rsidRPr="00157BCF">
        <w:rPr>
          <w:rStyle w:val="FootnoteReference"/>
          <w:rFonts w:eastAsiaTheme="majorEastAsia"/>
        </w:rPr>
        <w:footnoteRef/>
      </w:r>
      <w:r w:rsidRPr="00157BCF">
        <w:t xml:space="preserve"> </w:t>
      </w:r>
      <w:r w:rsidRPr="00157BCF">
        <w:rPr>
          <w:lang w:val="en-US"/>
        </w:rPr>
        <w:t>More technically, the model structure is recursive—that is, it computes equations sequentially in each time-step without simultaneous solution. It combines features of systems dynamics, notably the accounting structures with careful attention to both flows and stocks, and econometrics, estimating parameters specifying the dynamic behavior of the agent classes.</w:t>
      </w:r>
    </w:p>
    <w:p w:rsidR="002C11AA" w:rsidRPr="00157BCF" w:rsidRDefault="002C11AA" w:rsidP="006B1499">
      <w:pPr>
        <w:pStyle w:val="FootnoteText"/>
        <w:rPr>
          <w:lang w:val="en-US"/>
        </w:rPr>
      </w:pPr>
    </w:p>
  </w:footnote>
  <w:footnote w:id="56">
    <w:p w:rsidR="002C11AA" w:rsidRPr="00157BCF" w:rsidRDefault="002C11AA" w:rsidP="006B1499">
      <w:pPr>
        <w:pStyle w:val="FootnoteText"/>
        <w:rPr>
          <w:lang w:val="en-US"/>
        </w:rPr>
      </w:pPr>
      <w:r w:rsidRPr="00157BCF">
        <w:rPr>
          <w:rStyle w:val="FootnoteReference"/>
        </w:rPr>
        <w:footnoteRef/>
      </w:r>
      <w:r w:rsidRPr="00157BCF">
        <w:t xml:space="preserve"> </w:t>
      </w:r>
      <w:r w:rsidRPr="00157BCF">
        <w:rPr>
          <w:lang w:val="en-US"/>
        </w:rPr>
        <w:t>In the “top-down” portion of his analysis.</w:t>
      </w:r>
    </w:p>
  </w:footnote>
  <w:footnote w:id="57">
    <w:p w:rsidR="002C11AA" w:rsidRPr="00157BCF" w:rsidRDefault="002C11AA" w:rsidP="006B1499">
      <w:pPr>
        <w:pStyle w:val="FootnoteText"/>
        <w:rPr>
          <w:lang w:val="en-US"/>
        </w:rPr>
      </w:pPr>
      <w:r w:rsidRPr="00157BCF">
        <w:rPr>
          <w:rStyle w:val="FootnoteReference"/>
        </w:rPr>
        <w:footnoteRef/>
      </w:r>
      <w:r w:rsidRPr="00157BCF">
        <w:t xml:space="preserve"> </w:t>
      </w:r>
      <w:r w:rsidRPr="00157BCF">
        <w:rPr>
          <w:lang w:val="en-US"/>
        </w:rPr>
        <w:t xml:space="preserve">The World Energy Model also estimates refinery capacity, access to electricity, and the traditional use of biomass. For the latter two, it does so using the same econometric method described in our first category of demand models </w:t>
      </w:r>
      <w:r w:rsidR="00F7383F" w:rsidRPr="00157BCF">
        <w:rPr>
          <w:lang w:val="en-US"/>
        </w:rPr>
        <w:fldChar w:fldCharType="begin"/>
      </w:r>
      <w:r>
        <w:rPr>
          <w:lang w:val="en-US"/>
        </w:rPr>
        <w:instrText xml:space="preserve"> ADDIN ZOTERO_ITEM CSL_CITATION {"citationID":"28njt0fn6r","properties":{"formattedCitation":"{\\rtf (International Energy Agency (IEA) 2010, 29\\uc0\\u8211{}31)}","plainCitation":"(International Energy Agency (IEA) 2010, 29–31)"},"citationItems":[{"id":253,"uris":["http://zotero.org/groups/4482/items/6CNSWTEK"],"uri":["http://zotero.org/groups/4482/items/6CNSWTEK"],"itemData":{"id":253,"type":"report","title":"World Energy Model - Methodology and Assumptions","publisher":"Organisation for Economic Cooperation and Development (OECD) and International Energy Agency (IEA)","publisher-place":"Paris","event-place":"Paris","URL":"http://www.iea.org/weo/docs/weo2010/World_Energy_Model.pdf","author":[{"family":"International Energy Agency (IEA)","given":""}],"issued":{"year":2010}},"locator":"29-31","label":"page"}],"schema":"https://github.com/citation-style-language/schema/raw/master/csl-citation.json"} </w:instrText>
      </w:r>
      <w:r w:rsidR="00F7383F" w:rsidRPr="00157BCF">
        <w:rPr>
          <w:lang w:val="en-US"/>
        </w:rPr>
        <w:fldChar w:fldCharType="separate"/>
      </w:r>
      <w:r w:rsidRPr="00157BCF">
        <w:t>(International Energy Agency (IEA) 2010, 29–31)</w:t>
      </w:r>
      <w:r w:rsidR="00F7383F" w:rsidRPr="00157BCF">
        <w:rPr>
          <w:lang w:val="en-US"/>
        </w:rPr>
        <w:fldChar w:fldCharType="end"/>
      </w:r>
      <w:r w:rsidRPr="00157BCF">
        <w:rPr>
          <w:lang w:val="en-US"/>
        </w:rPr>
        <w:t xml:space="preserve">. The estimates for the former are based on oil demand projections across regions </w:t>
      </w:r>
      <w:r w:rsidR="00F7383F" w:rsidRPr="00157BCF">
        <w:rPr>
          <w:lang w:val="en-US"/>
        </w:rPr>
        <w:fldChar w:fldCharType="begin"/>
      </w:r>
      <w:r>
        <w:rPr>
          <w:lang w:val="en-US"/>
        </w:rPr>
        <w:instrText xml:space="preserve"> ADDIN ZOTERO_ITEM CSL_CITATION {"citationID":"ldq7w2IW","properties":{"formattedCitation":"{\\rtf (International Energy Agency (IEA) 2010, 12\\uc0\\u8211{}13)}","plainCitation":"(International Energy Agency (IEA) 2010, 12–13)"},"citationItems":[{"id":253,"uris":["http://zotero.org/groups/4482/items/6CNSWTEK"],"uri":["http://zotero.org/groups/4482/items/6CNSWTEK"],"itemData":{"id":253,"type":"report","title":"World Energy Model - Methodology and Assumptions","publisher":"Organisation for Economic Cooperation and Development (OECD) and International Energy Agency (IEA)","publisher-place":"Paris","event-place":"Paris","URL":"http://www.iea.org/weo/docs/weo2010/World_Energy_Model.pdf","author":[{"family":"International Energy Agency (IEA)","given":""}],"issued":{"year":2010}},"locator":"12-13","label":"page"}],"schema":"https://github.com/citation-style-language/schema/raw/master/csl-citation.json"} </w:instrText>
      </w:r>
      <w:r w:rsidR="00F7383F" w:rsidRPr="00157BCF">
        <w:rPr>
          <w:lang w:val="en-US"/>
        </w:rPr>
        <w:fldChar w:fldCharType="separate"/>
      </w:r>
      <w:r w:rsidRPr="00157BCF">
        <w:t>(International Energy Agency (IEA) 2010, 12–13)</w:t>
      </w:r>
      <w:r w:rsidR="00F7383F" w:rsidRPr="00157BCF">
        <w:rPr>
          <w:lang w:val="en-US"/>
        </w:rPr>
        <w:fldChar w:fldCharType="end"/>
      </w:r>
      <w:r w:rsidRPr="00157BCF">
        <w:rPr>
          <w:lang w:val="en-US"/>
        </w:rPr>
        <w:t>.</w:t>
      </w:r>
    </w:p>
  </w:footnote>
  <w:footnote w:id="58">
    <w:p w:rsidR="002C11AA" w:rsidRPr="00157BCF" w:rsidRDefault="002C11AA" w:rsidP="006B1499">
      <w:pPr>
        <w:pStyle w:val="FootnoteText"/>
        <w:rPr>
          <w:lang w:val="en-US"/>
        </w:rPr>
      </w:pPr>
      <w:r w:rsidRPr="00157BCF">
        <w:rPr>
          <w:rStyle w:val="FootnoteReference"/>
        </w:rPr>
        <w:footnoteRef/>
      </w:r>
      <w:r w:rsidRPr="00157BCF">
        <w:t xml:space="preserve"> </w:t>
      </w:r>
      <w:r w:rsidRPr="00157BCF">
        <w:rPr>
          <w:lang w:val="en-US"/>
        </w:rPr>
        <w:t>The load curve describes how electricity demand is distributed over time. The amount of generating capacity needs to be able to meet the maximum, or peak, load, not just the average load. The plant capacity factor reflects what percentage of the time individual generators are actually operating and at what level. All generators are subject to a certain amount of downtime for maintenance and other factors.</w:t>
      </w:r>
    </w:p>
  </w:footnote>
  <w:footnote w:id="59">
    <w:p w:rsidR="002C11AA" w:rsidRPr="00157BCF" w:rsidRDefault="002C11AA" w:rsidP="006B1499">
      <w:pPr>
        <w:pStyle w:val="FootnoteText"/>
        <w:rPr>
          <w:lang w:val="en-US"/>
        </w:rPr>
      </w:pPr>
      <w:r w:rsidRPr="00157BCF">
        <w:rPr>
          <w:rStyle w:val="FootnoteReference"/>
        </w:rPr>
        <w:footnoteRef/>
      </w:r>
      <w:r w:rsidRPr="00157BCF">
        <w:t xml:space="preserve"> </w:t>
      </w:r>
      <w:r w:rsidRPr="00157BCF">
        <w:rPr>
          <w:lang w:val="en-US"/>
        </w:rPr>
        <w:t>We do not consider changes due to a shift in the base year in which the costs are represented (e.g., year 2000 $US versus year 2005 $US) in the study. These are important in comparing the unit costs across studies, though.</w:t>
      </w:r>
    </w:p>
  </w:footnote>
  <w:footnote w:id="60">
    <w:p w:rsidR="002C11AA" w:rsidRPr="00157BCF" w:rsidRDefault="002C11AA" w:rsidP="006B1499">
      <w:pPr>
        <w:pStyle w:val="FootnoteText"/>
        <w:rPr>
          <w:lang w:val="en-US"/>
        </w:rPr>
      </w:pPr>
      <w:r w:rsidRPr="00157BCF">
        <w:rPr>
          <w:rStyle w:val="FootnoteReference"/>
          <w:rFonts w:eastAsiaTheme="majorEastAsia"/>
        </w:rPr>
        <w:footnoteRef/>
      </w:r>
      <w:r w:rsidRPr="00157BCF">
        <w:t xml:space="preserve"> </w:t>
      </w:r>
      <w:r w:rsidRPr="00157BCF">
        <w:rPr>
          <w:lang w:val="en-US"/>
        </w:rPr>
        <w:t xml:space="preserve">Alkemade et al. </w:t>
      </w:r>
      <w:r w:rsidR="00F7383F" w:rsidRPr="00157BCF">
        <w:rPr>
          <w:lang w:val="en-US"/>
        </w:rPr>
        <w:fldChar w:fldCharType="begin"/>
      </w:r>
      <w:r>
        <w:rPr>
          <w:lang w:val="en-US"/>
        </w:rPr>
        <w:instrText xml:space="preserve"> ADDIN ZOTERO_ITEM CSL_CITATION {"citationID":"Ivrwl1Aa","properties":{"formattedCitation":"(Alkemade et al. 2009, 378)","plainCitation":"(Alkemade et al. 2009, 378)"},"citationItems":[{"id":1643,"uris":["http://zotero.org/users/45648/items/S8TXNGZK","http://zotero.org/groups/4482/items/WNM77WI7"],"uri":["http://zotero.org/users/45648/items/S8TXNGZK","http://zotero.org/groups/4482/items/WNM77WI7"],"itemData":{"id":1643,"type":"article-journal","title":"GLOBIO3: A Framework to Investigate Options for Reducing Global Terrestrial Biodiversity Loss","container-title":"Ecosystems","page":"374-390","volume":"12","issue":"3","DOI":"10.1007/s10021-009-9229-5","shortTitle":"GLOBIO3","journalAbbreviation":"Ecosystems","author":[{"family":"Alkemade","given":"Rob"},{"family":"Oorschot","given":"Mark"},{"family":"Miles","given":"Lera"},{"family":"Nellemann","given":"Christian"},{"family":"Bakkenes","given":"Michel"},{"family":"ten Brink","given":"Ben"}],"issued":{"year":2009},"accessed":{"year":2010,"month":6,"day":20},"page-first":"374"},"locator":"378","label":"page"}],"schema":"https://github.com/citation-style-language/schema/raw/master/csl-citation.json"} </w:instrText>
      </w:r>
      <w:r w:rsidR="00F7383F" w:rsidRPr="00157BCF">
        <w:rPr>
          <w:lang w:val="en-US"/>
        </w:rPr>
        <w:fldChar w:fldCharType="separate"/>
      </w:r>
      <w:r>
        <w:rPr>
          <w:noProof/>
          <w:lang w:val="en-US"/>
        </w:rPr>
        <w:t>(Alkemade et al. 2009, 378)</w:t>
      </w:r>
      <w:r w:rsidR="00F7383F" w:rsidRPr="00157BCF">
        <w:rPr>
          <w:lang w:val="en-US"/>
        </w:rPr>
        <w:fldChar w:fldCharType="end"/>
      </w:r>
      <w:r w:rsidRPr="00157BCF">
        <w:rPr>
          <w:lang w:val="en-US"/>
        </w:rPr>
        <w:t xml:space="preserve"> focused on ‘linear infrastructure’ in their calculations— roads, railroads, power lines, and pipelines, which are included in the Digital Chart of the World database housed at Penn State University (</w:t>
      </w:r>
      <w:hyperlink r:id="rId14" w:history="1">
        <w:r w:rsidRPr="00157BCF">
          <w:rPr>
            <w:rStyle w:val="Hyperlink"/>
            <w:rFonts w:eastAsiaTheme="majorEastAsia"/>
          </w:rPr>
          <w:t>http://www.maproom.psu.edu/dcw/</w:t>
        </w:r>
      </w:hyperlink>
      <w:r w:rsidRPr="00157BCF">
        <w:t>)</w:t>
      </w:r>
      <w:r w:rsidRPr="00157BCF">
        <w:rPr>
          <w:lang w:val="en-US"/>
        </w:rPr>
        <w:t>.</w:t>
      </w:r>
    </w:p>
  </w:footnote>
  <w:footnote w:id="61">
    <w:p w:rsidR="002C11AA" w:rsidRPr="00157BCF" w:rsidRDefault="002C11AA" w:rsidP="006B1499">
      <w:pPr>
        <w:pStyle w:val="FootnoteText"/>
        <w:rPr>
          <w:lang w:val="en-US"/>
        </w:rPr>
      </w:pPr>
      <w:r w:rsidRPr="00157BCF">
        <w:rPr>
          <w:rStyle w:val="FootnoteReference"/>
        </w:rPr>
        <w:footnoteRef/>
      </w:r>
      <w:r w:rsidRPr="00157BCF">
        <w:t xml:space="preserve"> </w:t>
      </w:r>
      <w:r w:rsidRPr="00157BCF">
        <w:rPr>
          <w:lang w:val="en-US"/>
        </w:rPr>
        <w:t>Further details on the model can be found in the IFs help system and additional technical documentation on the infrastructure model.</w:t>
      </w:r>
    </w:p>
  </w:footnote>
  <w:footnote w:id="62">
    <w:p w:rsidR="002C11AA" w:rsidRPr="00157BCF" w:rsidRDefault="002C11AA" w:rsidP="006B1499">
      <w:pPr>
        <w:rPr>
          <w:sz w:val="20"/>
        </w:rPr>
      </w:pPr>
      <w:r w:rsidRPr="00157BCF">
        <w:rPr>
          <w:rStyle w:val="FootnoteReference"/>
          <w:sz w:val="20"/>
        </w:rPr>
        <w:footnoteRef/>
      </w:r>
      <w:r w:rsidRPr="00157BCF">
        <w:rPr>
          <w:sz w:val="20"/>
        </w:rPr>
        <w:t>Including 254 energy and electricity related series, 185 ICT related series, 63 water and sanitation series, 5 irrigation series, and 32 transportation series.</w:t>
      </w:r>
    </w:p>
  </w:footnote>
  <w:footnote w:id="63">
    <w:p w:rsidR="002C11AA" w:rsidRPr="00157BCF" w:rsidRDefault="002C11AA" w:rsidP="006B1499">
      <w:pPr>
        <w:pStyle w:val="FootnoteText"/>
      </w:pPr>
      <w:r w:rsidRPr="00157BCF">
        <w:rPr>
          <w:rStyle w:val="FootnoteReference"/>
        </w:rPr>
        <w:footnoteRef/>
      </w:r>
      <w:r w:rsidRPr="00157BCF">
        <w:t xml:space="preserve"> In other words, 55 percent of all country/year pairs have data</w:t>
      </w:r>
    </w:p>
  </w:footnote>
  <w:footnote w:id="64">
    <w:p w:rsidR="002C11AA" w:rsidRDefault="002C11AA" w:rsidP="006B1499">
      <w:pPr>
        <w:pStyle w:val="FootnoteText"/>
      </w:pPr>
      <w:r>
        <w:rPr>
          <w:rStyle w:val="FootnoteReference"/>
        </w:rPr>
        <w:footnoteRef/>
      </w:r>
      <w:r>
        <w:t xml:space="preserve"> The initial data sets come from several sources: the International Road Federation and World Development Report, Calderon (2008), Canning (1998) </w:t>
      </w:r>
    </w:p>
  </w:footnote>
  <w:footnote w:id="65">
    <w:p w:rsidR="002C11AA" w:rsidRPr="00B42D05" w:rsidRDefault="002C11AA" w:rsidP="006B1499">
      <w:pPr>
        <w:pStyle w:val="FootnoteText"/>
        <w:rPr>
          <w:lang w:val="en-US"/>
        </w:rPr>
      </w:pPr>
      <w:r>
        <w:rPr>
          <w:rStyle w:val="FootnoteReference"/>
        </w:rPr>
        <w:footnoteRef/>
      </w:r>
      <w:r>
        <w:t xml:space="preserve"> </w:t>
      </w:r>
      <w:r>
        <w:rPr>
          <w:lang w:val="en-US"/>
        </w:rPr>
        <w:t>We use the full panel for some variables.</w:t>
      </w:r>
    </w:p>
  </w:footnote>
  <w:footnote w:id="66">
    <w:p w:rsidR="002C11AA" w:rsidRPr="00157BCF" w:rsidRDefault="002C11AA" w:rsidP="006B1499">
      <w:pPr>
        <w:pStyle w:val="FootnoteText"/>
        <w:rPr>
          <w:lang w:val="en-US"/>
        </w:rPr>
      </w:pPr>
      <w:r w:rsidRPr="00157BCF">
        <w:rPr>
          <w:rStyle w:val="FootnoteReference"/>
        </w:rPr>
        <w:footnoteRef/>
      </w:r>
      <w:r w:rsidRPr="00157BCF">
        <w:t xml:space="preserve"> </w:t>
      </w:r>
      <w:r w:rsidRPr="00157BCF">
        <w:rPr>
          <w:lang w:val="en-US"/>
        </w:rPr>
        <w:t>The World Bank governance effectiveness measure ranges from -2.5 to +2.5, with a higher value being better. For our estimation and forecasts, we shift this scale to range from 0-5.</w:t>
      </w:r>
    </w:p>
  </w:footnote>
  <w:footnote w:id="67">
    <w:p w:rsidR="002C11AA" w:rsidRPr="00157BCF" w:rsidRDefault="002C11AA" w:rsidP="006B1499">
      <w:pPr>
        <w:pStyle w:val="FootnoteText"/>
        <w:rPr>
          <w:lang w:val="en-US"/>
        </w:rPr>
      </w:pPr>
      <w:r w:rsidRPr="00157BCF">
        <w:rPr>
          <w:rStyle w:val="FootnoteReference"/>
        </w:rPr>
        <w:footnoteRef/>
      </w:r>
      <w:r w:rsidRPr="00157BCF">
        <w:t xml:space="preserve"> </w:t>
      </w:r>
      <w:r w:rsidRPr="00157BCF">
        <w:rPr>
          <w:lang w:val="en-US"/>
        </w:rPr>
        <w:t xml:space="preserve">It is possible to argue that we should use a logistic function here as the ratio of electricity use to total energy use must necessarily fall between 0 and 1. Because we know that there must be some energy loss in the transformation from primary energy to electricity, however, the maximum value for the ratio is some unknown value less than one. This unknown value makes the logistic formulation difficult to use. Fortunately, the logarithmic form behaves well, staying below 1 for even extreme values of the explanatory variables. </w:t>
      </w:r>
    </w:p>
  </w:footnote>
  <w:footnote w:id="68">
    <w:p w:rsidR="002C11AA" w:rsidRPr="00157BCF" w:rsidRDefault="002C11AA" w:rsidP="006B1499">
      <w:pPr>
        <w:pStyle w:val="FootnoteText"/>
        <w:rPr>
          <w:lang w:val="en-US"/>
        </w:rPr>
      </w:pPr>
      <w:r w:rsidRPr="00157BCF">
        <w:rPr>
          <w:rStyle w:val="FootnoteReference"/>
        </w:rPr>
        <w:footnoteRef/>
      </w:r>
      <w:r w:rsidRPr="00157BCF">
        <w:t xml:space="preserve"> </w:t>
      </w:r>
      <w:r w:rsidRPr="00157BCF">
        <w:rPr>
          <w:lang w:val="en-US"/>
        </w:rPr>
        <w:t>The World Bank governance regulatory quality measure ranges from -2.5 to +2.5, with a higher value being better. For our estimation and forecasts, we shift this scale to range from 0-5.</w:t>
      </w:r>
    </w:p>
  </w:footnote>
  <w:footnote w:id="69">
    <w:p w:rsidR="002C11AA" w:rsidRPr="00157BCF" w:rsidRDefault="002C11AA" w:rsidP="006B1499">
      <w:pPr>
        <w:pStyle w:val="FootnoteText"/>
        <w:rPr>
          <w:lang w:val="en-US"/>
        </w:rPr>
      </w:pPr>
      <w:r w:rsidRPr="00157BCF">
        <w:rPr>
          <w:rStyle w:val="FootnoteReference"/>
        </w:rPr>
        <w:footnoteRef/>
      </w:r>
      <w:r w:rsidRPr="00157BCF">
        <w:t xml:space="preserve"> </w:t>
      </w:r>
      <w:r w:rsidRPr="00157BCF">
        <w:rPr>
          <w:lang w:val="en-US"/>
        </w:rPr>
        <w:t>We plan to eventually provide separate forecasts for rural and urban populations, in which case we expect this last factor to fall out of the estimated equations.</w:t>
      </w:r>
    </w:p>
  </w:footnote>
  <w:footnote w:id="70">
    <w:p w:rsidR="002C11AA" w:rsidRPr="00157BCF" w:rsidRDefault="002C11AA" w:rsidP="006B1499">
      <w:pPr>
        <w:pStyle w:val="FootnoteText"/>
        <w:rPr>
          <w:lang w:val="en-US"/>
        </w:rPr>
      </w:pPr>
      <w:r w:rsidRPr="00157BCF">
        <w:rPr>
          <w:rStyle w:val="FootnoteReference"/>
        </w:rPr>
        <w:footnoteRef/>
      </w:r>
      <w:r w:rsidRPr="00157BCF">
        <w:t xml:space="preserve"> </w:t>
      </w:r>
      <w:r w:rsidRPr="00157BCF">
        <w:rPr>
          <w:lang w:val="en-US"/>
        </w:rPr>
        <w:t xml:space="preserve">These are available at </w:t>
      </w:r>
      <w:hyperlink r:id="rId15" w:history="1">
        <w:r w:rsidRPr="00157BCF">
          <w:rPr>
            <w:rStyle w:val="Hyperlink"/>
            <w:lang w:val="en-US"/>
          </w:rPr>
          <w:t>http://faostat.fao.org/site/291/default.aspx</w:t>
        </w:r>
      </w:hyperlink>
      <w:r w:rsidRPr="00157BCF">
        <w:rPr>
          <w:lang w:val="en-US"/>
        </w:rPr>
        <w:t xml:space="preserve"> and </w:t>
      </w:r>
      <w:hyperlink r:id="rId16" w:history="1">
        <w:r w:rsidRPr="00157BCF">
          <w:rPr>
            <w:rStyle w:val="Hyperlink"/>
            <w:lang w:val="en-US"/>
          </w:rPr>
          <w:t>http://www.fao.org/nr/water/aquastat/main/index.stm</w:t>
        </w:r>
      </w:hyperlink>
      <w:r w:rsidRPr="00157BCF">
        <w:rPr>
          <w:lang w:val="en-US"/>
        </w:rPr>
        <w:t xml:space="preserve"> respectively. The area potentially equipped comes from country and regional studies that use inconsistent methods and consider different factors.</w:t>
      </w:r>
    </w:p>
  </w:footnote>
  <w:footnote w:id="71">
    <w:p w:rsidR="002C11AA" w:rsidRPr="00157BCF" w:rsidRDefault="002C11AA" w:rsidP="006B1499">
      <w:pPr>
        <w:pStyle w:val="FootnoteText"/>
        <w:rPr>
          <w:lang w:val="en-US"/>
        </w:rPr>
      </w:pPr>
      <w:r w:rsidRPr="00157BCF">
        <w:rPr>
          <w:rStyle w:val="FootnoteReference"/>
        </w:rPr>
        <w:footnoteRef/>
      </w:r>
      <w:r w:rsidRPr="00157BCF">
        <w:t xml:space="preserve"> </w:t>
      </w:r>
      <w:r w:rsidRPr="00157BCF">
        <w:rPr>
          <w:lang w:val="en-US"/>
        </w:rPr>
        <w:t xml:space="preserve">Kohli and Basil </w:t>
      </w:r>
      <w:r w:rsidR="00F7383F" w:rsidRPr="00157BCF">
        <w:rPr>
          <w:lang w:val="en-US"/>
        </w:rPr>
        <w:fldChar w:fldCharType="begin"/>
      </w:r>
      <w:r>
        <w:rPr>
          <w:lang w:val="en-US"/>
        </w:rPr>
        <w:instrText xml:space="preserve"> ADDIN ZOTERO_ITEM CSL_CITATION {"citationID":"mJQidkkX","properties":{"formattedCitation":"(2011, 78)","plainCitation":"(2011, 78)"},"citationItems":[{"id":1157,"uris":["http://zotero.org/groups/4482/items/PNQFGAHH"],"uri":["http://zotero.org/groups/4482/items/PNQFGAHH"],"itemData":{"id":1157,"type":"article-journal","title":"Requirements for Infrastructure Investment in Latin America Under Alternate Growth Scenarios","container-title":"Global Journal of Emerging Market Economies","page":"59 -110","volume":"3","issue":"1","abstract":"This study estimates requirements for infrastructure investment in 21 Latin American countries for the period 2011–2040 using a structural equation model. Needs total about 4 percent of GDP. Projections are provided for both a high-growth convergence scenario and a low-growth business-as-usual scenario. These costs represent minimum investments necessary to support expected economic growth. Costs are presented separately and in total for new-capacity investment and maintenance for 10 sectors: airports, electricity, fixed broadband, landlines, mobile telephony, ports, rail, paved roads, sanitation, and water. Country coverage comprises Argentina, Belize, Bolivia, Brazil, Chile, Colombia, Costa Rica, Dominican Republic, Ecuador, El Salvador, Guatemala, Guyana, Honduras, Mexico, Nicaragua, Panama, Paraguay, Peru, Suriname, Uruguay, and Venezuela. The model differs from past studies of regionwide long-term infrastructure investment needs in five features: (1) It considers alternate GDP growth scenarios; (2) It employs a structural equation model using instrumental variables to provide unbiased, consistent projections for both GDP growth scenarios (Instrumented variables are urbanization and the shares in GDP of agriculture, manufacturing, and services); (3) Mobile phone investment costs are not constant but instead vary with population density; (4) Two additional, wealthier countries are included in modeling to prevent forecasting outside the range of the independent variables’ values used to construct the model, and; (5) Timing of new-capacity investments is distributed over multiple years and varies by sector.","DOI":"10.1177/097491011000300103","call-number":"0002","author":[{"family":"Kohli","given":"Harpaul Alberto"},{"family":"Basil","given":"Phillip"}],"issued":{"year":2011},"accessed":{"year":2011,"month":7,"day":29},"page-first":"59"},"locator":"78","label":"page","suppress-author":true}],"schema":"https://github.com/citation-style-language/schema/raw/master/csl-citation.json"} </w:instrText>
      </w:r>
      <w:r w:rsidR="00F7383F" w:rsidRPr="00157BCF">
        <w:rPr>
          <w:lang w:val="en-US"/>
        </w:rPr>
        <w:fldChar w:fldCharType="separate"/>
      </w:r>
      <w:r w:rsidRPr="00157BCF">
        <w:rPr>
          <w:rFonts w:cs="Calibri"/>
        </w:rPr>
        <w:t>(2011, 78)</w:t>
      </w:r>
      <w:r w:rsidR="00F7383F" w:rsidRPr="00157BCF">
        <w:rPr>
          <w:lang w:val="en-US"/>
        </w:rPr>
        <w:fldChar w:fldCharType="end"/>
      </w:r>
      <w:r w:rsidRPr="00157BCF">
        <w:rPr>
          <w:lang w:val="en-US"/>
        </w:rPr>
        <w:t xml:space="preserve"> assume a saturation level of 250 mobile phone subscriptions per 100 persons in their forecasts.</w:t>
      </w:r>
    </w:p>
  </w:footnote>
  <w:footnote w:id="72">
    <w:p w:rsidR="002C11AA" w:rsidRPr="00DF242D" w:rsidRDefault="002C11AA" w:rsidP="006B1499">
      <w:pPr>
        <w:pStyle w:val="FootnoteText"/>
        <w:rPr>
          <w:lang w:val="en-US"/>
        </w:rPr>
      </w:pPr>
      <w:r>
        <w:rPr>
          <w:rStyle w:val="FootnoteReference"/>
        </w:rPr>
        <w:footnoteRef/>
      </w:r>
      <w:r>
        <w:t xml:space="preserve"> </w:t>
      </w:r>
      <w:r>
        <w:rPr>
          <w:lang w:val="en-US"/>
        </w:rPr>
        <w:t xml:space="preserve">Kalba </w:t>
      </w:r>
      <w:r w:rsidR="00F7383F">
        <w:rPr>
          <w:lang w:val="en-US"/>
        </w:rPr>
        <w:fldChar w:fldCharType="begin"/>
      </w:r>
      <w:r>
        <w:rPr>
          <w:lang w:val="en-US"/>
        </w:rPr>
        <w:instrText xml:space="preserve"> ADDIN ZOTERO_ITEM CSL_CITATION {"citationID":"DwHVe2AG","properties":{"formattedCitation":"(Kalba 2008)","plainCitation":"(Kalba 2008)"},"citationItems":[{"id":1692,"uris":["http://zotero.org/groups/4482/items/UD7D83C5"],"uri":["http://zotero.org/groups/4482/items/UD7D83C5"],"itemData":{"id":1692,"type":"article-journal","title":"The Adoption of Mobile Phones in Emerging Markets: Global Diffusion and the Rural Challenge","container-title":"International journal of Communication","page":"631-661","issue":"2","author":[{"family":"Kalba","given":"Kas"}],"issued":{"year":2008},"page-first":"631"}}],"schema":"https://github.com/citation-style-language/schema/raw/master/csl-citation.json"} </w:instrText>
      </w:r>
      <w:r w:rsidR="00F7383F">
        <w:rPr>
          <w:lang w:val="en-US"/>
        </w:rPr>
        <w:fldChar w:fldCharType="separate"/>
      </w:r>
      <w:r>
        <w:rPr>
          <w:noProof/>
          <w:lang w:val="en-US"/>
        </w:rPr>
        <w:t>(2008)</w:t>
      </w:r>
      <w:r w:rsidR="00F7383F">
        <w:rPr>
          <w:lang w:val="en-US"/>
        </w:rPr>
        <w:fldChar w:fldCharType="end"/>
      </w:r>
      <w:r>
        <w:rPr>
          <w:lang w:val="en-US"/>
        </w:rPr>
        <w:t xml:space="preserve"> discusses this in great detail.</w:t>
      </w:r>
    </w:p>
  </w:footnote>
  <w:footnote w:id="73">
    <w:p w:rsidR="002C11AA" w:rsidRPr="00157BCF" w:rsidRDefault="002C11AA" w:rsidP="006B1499">
      <w:pPr>
        <w:pStyle w:val="FootnoteText"/>
        <w:rPr>
          <w:lang w:val="en-US"/>
        </w:rPr>
      </w:pPr>
      <w:r w:rsidRPr="00157BCF">
        <w:rPr>
          <w:rStyle w:val="FootnoteReference"/>
        </w:rPr>
        <w:footnoteRef/>
      </w:r>
      <w:r w:rsidRPr="00157BCF">
        <w:t xml:space="preserve"> </w:t>
      </w:r>
      <w:r w:rsidRPr="00157BCF">
        <w:rPr>
          <w:lang w:val="en-US"/>
        </w:rPr>
        <w:t>This can also be done for education. In fact, in the Base Case of IFs, 60 percent of the education funding desired is set aside. Also, when priority is given to infrastructure, ‘other’ infrastructure (see Box 4.3) receives the same priority</w:t>
      </w:r>
    </w:p>
  </w:footnote>
  <w:footnote w:id="74">
    <w:p w:rsidR="002C11AA" w:rsidRPr="00157BCF" w:rsidRDefault="002C11AA" w:rsidP="006B1499">
      <w:pPr>
        <w:pStyle w:val="FootnoteText"/>
      </w:pPr>
      <w:r w:rsidRPr="00157BCF">
        <w:rPr>
          <w:rStyle w:val="FootnoteReference"/>
        </w:rPr>
        <w:footnoteRef/>
      </w:r>
      <w:r w:rsidRPr="00157BCF">
        <w:t xml:space="preserve"> In the development of IFs we often include relationships that are pretty obviously existent and important, even when we do not have strong basis for specific formulations and parameters, because we believe that an explicit and rough estimate of such relationships is better than an implicit and clearly wrong omission of them. We expect over time to extend the infrastructure modeling to include some of the relationships we have omitted here, including, for instance, the affects of rural roads on increasing educational enrollments and on reducing spoilage of agricultural production that otherwise cannot reach markets.</w:t>
      </w:r>
    </w:p>
  </w:footnote>
  <w:footnote w:id="75">
    <w:p w:rsidR="002C11AA" w:rsidRPr="00157BCF" w:rsidRDefault="002C11AA" w:rsidP="006B1499">
      <w:pPr>
        <w:rPr>
          <w:rStyle w:val="FootnoteTextChar"/>
        </w:rPr>
      </w:pPr>
      <w:r w:rsidRPr="00157BCF">
        <w:rPr>
          <w:rStyle w:val="FootnoteReference"/>
          <w:sz w:val="20"/>
        </w:rPr>
        <w:footnoteRef/>
      </w:r>
      <w:r w:rsidRPr="00157BCF">
        <w:rPr>
          <w:rStyle w:val="FootnoteTextChar"/>
          <w:rFonts w:eastAsiaTheme="minorEastAsia"/>
        </w:rPr>
        <w:t xml:space="preserve">The estimate by Solow </w:t>
      </w:r>
      <w:r w:rsidR="00F7383F" w:rsidRPr="00157BCF">
        <w:rPr>
          <w:rStyle w:val="FootnoteTextChar"/>
          <w:rFonts w:eastAsiaTheme="minorEastAsia"/>
        </w:rPr>
        <w:fldChar w:fldCharType="begin"/>
      </w:r>
      <w:r>
        <w:rPr>
          <w:rStyle w:val="FootnoteTextChar"/>
          <w:rFonts w:eastAsiaTheme="minorEastAsia"/>
        </w:rPr>
        <w:instrText xml:space="preserve"> ADDIN ZOTERO_ITEM CSL_CITATION {"citationID":"hQnlgIbT","properties":{"formattedCitation":"(R. M Solow 1957, 320)","plainCitation":"(R. M Solow 1957, 320)"},"citationItems":[{"id":1635,"uris":["http://zotero.org/groups/4482/items/M83UTIDR"],"uri":["http://zotero.org/groups/4482/items/M83UTIDR"],"itemData":{"id":1635,"type":"article-journal","title":"Technical Change and the Aggregate Production Function","container-title":"The Review of Economics and Statistics","page":"312–320","volume":"39","issue":"3","author":[{"family":"Solow","given":"R. M"}],"issued":{"year":1957},"page-first":"312–320"},"locator":"320"}],"schema":"https://github.com/citation-style-language/schema/raw/master/csl-citation.json"} </w:instrText>
      </w:r>
      <w:r w:rsidR="00F7383F" w:rsidRPr="00157BCF">
        <w:rPr>
          <w:rStyle w:val="FootnoteTextChar"/>
          <w:rFonts w:eastAsiaTheme="minorEastAsia"/>
        </w:rPr>
        <w:fldChar w:fldCharType="separate"/>
      </w:r>
      <w:r w:rsidRPr="00157BCF">
        <w:rPr>
          <w:rStyle w:val="FootnoteTextChar"/>
          <w:rFonts w:eastAsiaTheme="minorEastAsia"/>
        </w:rPr>
        <w:t>(1957, 320)</w:t>
      </w:r>
      <w:r w:rsidR="00F7383F" w:rsidRPr="00157BCF">
        <w:rPr>
          <w:rStyle w:val="FootnoteTextChar"/>
          <w:rFonts w:eastAsiaTheme="minorEastAsia"/>
        </w:rPr>
        <w:fldChar w:fldCharType="end"/>
      </w:r>
      <w:r w:rsidRPr="00157BCF">
        <w:rPr>
          <w:rStyle w:val="FootnoteTextChar"/>
          <w:rFonts w:eastAsiaTheme="minorEastAsia"/>
        </w:rPr>
        <w:t xml:space="preserve"> that technical change accounted for 87.5 percent of growth in economic output per worker-hour in the US from 1909-49 focused the minds of everyone interested in growth on the Solow residual. From growth accounting estimates in four panels of countries Barro and Sala-i-Martin </w:t>
      </w:r>
      <w:r w:rsidR="00F7383F" w:rsidRPr="00157BCF">
        <w:rPr>
          <w:sz w:val="20"/>
        </w:rPr>
        <w:fldChar w:fldCharType="begin"/>
      </w:r>
      <w:r>
        <w:rPr>
          <w:sz w:val="20"/>
        </w:rPr>
        <w:instrText xml:space="preserve"> ADDIN ZOTERO_ITEM CSL_CITATION {"citationID":"KrO1NVUc","properties":{"formattedCitation":"{\\rtf (Barro and Sala-i-Martin 1999, 380\\uc0\\u8211{}381)}","plainCitation":"(Barro and Sala-i-Martin 1999, 380–381)"},"citationItems":[{"id":1642,"uris":["http://zotero.org/groups/4482/items/ZRXTJ8CS"],"uri":["http://zotero.org/groups/4482/items/ZRXTJ8CS"],"itemData":{"id":1642,"type":"book","title":"Economic Growth","publisher":"MIT Press","publisher-place":"Cambridge, MA","event-place":"Cambridge, MA","author":[{"family":"Barro","given":"R."},{"family":"Sala-i-Martin","given":"X."}],"issued":{"year":1999}},"locator":"380-381","label":"page"}],"schema":"https://github.com/citation-style-language/schema/raw/master/csl-citation.json"} </w:instrText>
      </w:r>
      <w:r w:rsidR="00F7383F" w:rsidRPr="00157BCF">
        <w:rPr>
          <w:sz w:val="20"/>
        </w:rPr>
        <w:fldChar w:fldCharType="separate"/>
      </w:r>
      <w:r w:rsidRPr="00157BCF">
        <w:rPr>
          <w:sz w:val="20"/>
        </w:rPr>
        <w:t>(1999, 380–381)</w:t>
      </w:r>
      <w:r w:rsidR="00F7383F" w:rsidRPr="00157BCF">
        <w:rPr>
          <w:sz w:val="20"/>
        </w:rPr>
        <w:fldChar w:fldCharType="end"/>
      </w:r>
      <w:r w:rsidRPr="00157BCF">
        <w:rPr>
          <w:rStyle w:val="FootnoteTextChar"/>
          <w:rFonts w:eastAsiaTheme="minorEastAsia"/>
        </w:rPr>
        <w:t xml:space="preserve"> reported unweighted average estimates of TFP that are considerably lower, but still impressive: 40.7 percent for seven OECD countries, 1947-1973 (33.6 percent for the US); 34.8 percent for the G-7 countries, 1960-1990 (13.2 percent for the US); 24.3 percent for seven Latin American countries from 1940-1980; and 14.2 percent for four East Asian countries from 1966-1990.</w:t>
      </w:r>
      <w:r>
        <w:rPr>
          <w:rStyle w:val="FootnoteTextChar"/>
          <w:rFonts w:eastAsiaTheme="minorEastAsia"/>
        </w:rPr>
        <w:t xml:space="preserve"> </w:t>
      </w:r>
      <w:r w:rsidRPr="00157BCF">
        <w:rPr>
          <w:rStyle w:val="FootnoteTextChar"/>
          <w:rFonts w:eastAsiaTheme="minorEastAsia"/>
        </w:rPr>
        <w:t>Even though it is generally understood that the productivity share of growth is lower in less developed countries than in the OECD, it is clearly sufficiently high and variable to be an important factor in growth forecasting and development analysis.</w:t>
      </w:r>
    </w:p>
  </w:footnote>
  <w:footnote w:id="76">
    <w:p w:rsidR="002C11AA" w:rsidRPr="00157BCF" w:rsidRDefault="002C11AA" w:rsidP="006B1499">
      <w:pPr>
        <w:pStyle w:val="FootnoteText"/>
        <w:rPr>
          <w:lang w:val="en-US"/>
        </w:rPr>
      </w:pPr>
      <w:r w:rsidRPr="00157BCF">
        <w:rPr>
          <w:rStyle w:val="FootnoteReference"/>
        </w:rPr>
        <w:footnoteRef/>
      </w:r>
      <w:r w:rsidRPr="00157BCF">
        <w:t xml:space="preserve"> T Standardizing the data by dividing the difference from the mean by the standard deviation insures that changing the units of measures, e.g. from kilometers to miles, does not affect the results and creates comparability across measures.</w:t>
      </w:r>
    </w:p>
  </w:footnote>
  <w:footnote w:id="77">
    <w:p w:rsidR="002C11AA" w:rsidRPr="00157BCF" w:rsidRDefault="002C11AA" w:rsidP="006B1499">
      <w:pPr>
        <w:pStyle w:val="FootnoteText"/>
        <w:rPr>
          <w:lang w:val="en-US"/>
        </w:rPr>
      </w:pPr>
      <w:r w:rsidRPr="00157BCF">
        <w:rPr>
          <w:rStyle w:val="FootnoteReference"/>
        </w:rPr>
        <w:footnoteRef/>
      </w:r>
      <w:r w:rsidRPr="00157BCF">
        <w:t xml:space="preserve"> </w:t>
      </w:r>
      <w:r w:rsidRPr="00157BCF">
        <w:rPr>
          <w:lang w:val="en-US"/>
        </w:rPr>
        <w:t xml:space="preserve">One could imagine the use of a geometric mean for combination of individual indicators so as to represent some of the interaction effects across measures </w:t>
      </w:r>
      <w:r w:rsidR="00F7383F" w:rsidRPr="00F7383F">
        <w:fldChar w:fldCharType="begin"/>
      </w:r>
      <w:r>
        <w:instrText xml:space="preserve"> ADDIN ZOTERO_ITEM CSL_CITATION {"citationID":"sXh9omLu","properties":{"formattedCitation":"(Fleming and Wallace 1986)","plainCitation":"(Fleming and Wallace 1986)"},"citationItems":[{"id":1553,"uris":["http://zotero.org/groups/4482/items/IJP79CVM"],"uri":["http://zotero.org/groups/4482/items/IJP79CVM"],"itemData":{"id":1553,"type":"article-journal","title":"How Not to Lie with Statistics: The Correct Way to Summarize Benchmark Results","container-title":"Communications of the ACM (Association for Computing Machinery)","page":"218–221","volume":"29","issue":"3","DOI":"10.1145/5666.5673","shortTitle":"How not to lie with statistics","author":[{"family":"Fleming","given":"Philip J."},{"family":"Wallace","given":"John J."}],"issued":{"year":1986},"accessed":{"year":2012,"month":1,"day":23,"season":"19:03:43"},"page-first":"218–221"}}],"schema":"https://github.com/citation-style-language/schema/raw/master/csl-citation.json"} </w:instrText>
      </w:r>
      <w:r w:rsidR="00F7383F" w:rsidRPr="00F7383F">
        <w:fldChar w:fldCharType="separate"/>
      </w:r>
      <w:r w:rsidRPr="00157BCF">
        <w:rPr>
          <w:rFonts w:cs="Calibri"/>
        </w:rPr>
        <w:t>(Fleming and Wallace 1986)</w:t>
      </w:r>
      <w:r w:rsidR="00F7383F">
        <w:rPr>
          <w:rFonts w:cs="Calibri"/>
        </w:rPr>
        <w:fldChar w:fldCharType="end"/>
      </w:r>
      <w:r w:rsidRPr="00157BCF">
        <w:t xml:space="preserve">; the use of logarithms in the transformation process for each indicator helps avoid the possibility that increases to </w:t>
      </w:r>
      <w:r w:rsidRPr="00157BCF">
        <w:rPr>
          <w:lang w:val="en-US"/>
        </w:rPr>
        <w:t>extreme values on one infrastructure measure might be interpreted as comparably important as increases at more modest levels on a second measure.</w:t>
      </w:r>
    </w:p>
  </w:footnote>
  <w:footnote w:id="78">
    <w:p w:rsidR="002C11AA" w:rsidRPr="00157BCF" w:rsidRDefault="002C11AA" w:rsidP="006B1499">
      <w:pPr>
        <w:pStyle w:val="FootnoteText"/>
        <w:rPr>
          <w:lang w:val="en-US"/>
        </w:rPr>
      </w:pPr>
      <w:r w:rsidRPr="00157BCF">
        <w:rPr>
          <w:rStyle w:val="FootnoteReference"/>
        </w:rPr>
        <w:footnoteRef/>
      </w:r>
      <w:r w:rsidRPr="00157BCF">
        <w:t xml:space="preserve"> </w:t>
      </w:r>
      <w:r w:rsidRPr="00157BCF">
        <w:rPr>
          <w:lang w:val="en-US"/>
        </w:rPr>
        <w:t>Other aspects of the full MFP formulation in IFs will slightly modify this result.</w:t>
      </w:r>
    </w:p>
  </w:footnote>
  <w:footnote w:id="79">
    <w:p w:rsidR="002C11AA" w:rsidRPr="0021194B" w:rsidRDefault="002C11AA" w:rsidP="006B1499">
      <w:pPr>
        <w:pStyle w:val="FootnoteText"/>
        <w:rPr>
          <w:lang w:val="en-US"/>
        </w:rPr>
      </w:pPr>
      <w:r>
        <w:rPr>
          <w:rStyle w:val="FootnoteReference"/>
        </w:rPr>
        <w:footnoteRef/>
      </w:r>
      <w:r>
        <w:t xml:space="preserve"> </w:t>
      </w:r>
      <w:r w:rsidRPr="00A54D00">
        <w:rPr>
          <w:rFonts w:eastAsiaTheme="minorEastAsia" w:cstheme="minorBidi"/>
          <w:lang w:val="en-US"/>
        </w:rPr>
        <w:t>Qiang, Rossotto and Kimura (2009: 45) talk</w:t>
      </w:r>
      <w:r>
        <w:rPr>
          <w:rFonts w:eastAsiaTheme="minorEastAsia" w:cstheme="minorBidi"/>
          <w:lang w:val="en-US"/>
        </w:rPr>
        <w:t>ed</w:t>
      </w:r>
      <w:r w:rsidRPr="00A54D00">
        <w:rPr>
          <w:rFonts w:eastAsiaTheme="minorEastAsia" w:cstheme="minorBidi"/>
          <w:lang w:val="en-US"/>
        </w:rPr>
        <w:t xml:space="preserve"> about a 1.38 percentage point increase in per capita GDP growth for each 10 percent increase in broadband penetration. We used a value </w:t>
      </w:r>
      <w:r>
        <w:rPr>
          <w:rFonts w:eastAsiaTheme="minorEastAsia" w:cstheme="minorBidi"/>
          <w:lang w:val="en-US"/>
        </w:rPr>
        <w:t xml:space="preserve">a </w:t>
      </w:r>
      <w:r w:rsidRPr="00A54D00">
        <w:rPr>
          <w:rFonts w:eastAsiaTheme="minorEastAsia" w:cstheme="minorBidi"/>
          <w:lang w:val="en-US"/>
        </w:rPr>
        <w:t>little less than theirs to accommodate for the fact that our index is a mix of several types of ICT infrastructures</w:t>
      </w:r>
      <w:r>
        <w:rPr>
          <w:rFonts w:eastAsiaTheme="minorEastAsia" w:cstheme="minorBidi"/>
          <w:lang w:val="en-US"/>
        </w:rPr>
        <w:t>,</w:t>
      </w:r>
      <w:r w:rsidRPr="00A54D00">
        <w:rPr>
          <w:rFonts w:eastAsiaTheme="minorEastAsia" w:cstheme="minorBidi"/>
          <w:lang w:val="en-US"/>
        </w:rPr>
        <w:t xml:space="preserve"> not all of which might have as strong an impact</w:t>
      </w:r>
      <w:r>
        <w:rPr>
          <w:rFonts w:eastAsiaTheme="minorEastAsia" w:cstheme="minorBidi"/>
          <w:lang w:val="en-US"/>
        </w:rPr>
        <w:t xml:space="preserve"> on economic productivity</w:t>
      </w:r>
      <w:r w:rsidRPr="00A54D00">
        <w:rPr>
          <w:rFonts w:eastAsiaTheme="minorEastAsia" w:cstheme="minorBidi"/>
          <w:lang w:val="en-US"/>
        </w:rPr>
        <w:t xml:space="preserve"> as </w:t>
      </w:r>
      <w:r>
        <w:rPr>
          <w:rFonts w:eastAsiaTheme="minorEastAsia" w:cstheme="minorBidi"/>
          <w:lang w:val="en-US"/>
        </w:rPr>
        <w:t xml:space="preserve">does </w:t>
      </w:r>
      <w:r w:rsidRPr="00A54D00">
        <w:rPr>
          <w:rFonts w:eastAsiaTheme="minorEastAsia" w:cstheme="minorBidi"/>
          <w:lang w:val="en-US"/>
        </w:rPr>
        <w:t>broadband.</w:t>
      </w:r>
    </w:p>
  </w:footnote>
  <w:footnote w:id="80">
    <w:p w:rsidR="002C11AA" w:rsidRDefault="002C11AA" w:rsidP="009C0B88">
      <w:pPr>
        <w:pStyle w:val="FootnoteText"/>
      </w:pPr>
      <w:r w:rsidRPr="00422D46">
        <w:rPr>
          <w:rStyle w:val="FootnoteReference"/>
        </w:rPr>
        <w:footnoteRef/>
      </w:r>
      <w:r>
        <w:t xml:space="preserve"> Comparative numbers come from IFs and from selected (not always completely reliable) public sources. Express roads from </w:t>
      </w:r>
      <w:r w:rsidRPr="00055941">
        <w:t>http://en.wikipedia.org/wiki/Expressways_of_China#cite_note-0</w:t>
      </w:r>
      <w:r>
        <w:t xml:space="preserve">; "India's Highway", </w:t>
      </w:r>
      <w:r w:rsidRPr="00055941">
        <w:rPr>
          <w:i/>
        </w:rPr>
        <w:t xml:space="preserve">National Geographic </w:t>
      </w:r>
      <w:r>
        <w:t xml:space="preserve">May 2012 at </w:t>
      </w:r>
      <w:r w:rsidRPr="00055941">
        <w:t>http://ngm.nationalgeographic.com/2008/10/india-highway/belt-text/2</w:t>
      </w:r>
      <w:r>
        <w:t xml:space="preserve">. Electricity from “China overtakes U.S. to become world’s biggest energy consumer,” </w:t>
      </w:r>
      <w:r w:rsidRPr="00830004">
        <w:rPr>
          <w:i/>
        </w:rPr>
        <w:t>Financial Times</w:t>
      </w:r>
      <w:r>
        <w:t xml:space="preserve"> July 20, 2010: 1 and </w:t>
      </w:r>
      <w:r w:rsidRPr="00142926">
        <w:rPr>
          <w:i/>
        </w:rPr>
        <w:t>The Economist</w:t>
      </w:r>
      <w:r>
        <w:t xml:space="preserve"> May 1, 2010: 72 (reporting on analysis by Edward Chen of Credit Suisse). High-speed rail from </w:t>
      </w:r>
      <w:r w:rsidRPr="00C25349">
        <w:rPr>
          <w:i/>
        </w:rPr>
        <w:t>The Denver Post</w:t>
      </w:r>
      <w:r>
        <w:t xml:space="preserve"> May 16, 2010: 2K, (reporting on data from UIC-International Union of Railways appearing in </w:t>
      </w:r>
      <w:r w:rsidRPr="00832A45">
        <w:rPr>
          <w:i/>
        </w:rPr>
        <w:t>The Washington Post</w:t>
      </w:r>
      <w:r>
        <w:t xml:space="preserve">); and “Japan Inc. shoots itself in the foot on bullet train,” </w:t>
      </w:r>
      <w:r w:rsidRPr="00A47708">
        <w:rPr>
          <w:i/>
        </w:rPr>
        <w:t xml:space="preserve">Financial Times </w:t>
      </w:r>
      <w:r>
        <w:t xml:space="preserve">July 9, 2010: 14. </w:t>
      </w:r>
    </w:p>
  </w:footnote>
  <w:footnote w:id="81">
    <w:p w:rsidR="002C11AA" w:rsidRDefault="002C11AA" w:rsidP="009C0B88">
      <w:pPr>
        <w:pStyle w:val="FootnoteText"/>
      </w:pPr>
      <w:r w:rsidRPr="00422D46">
        <w:rPr>
          <w:rStyle w:val="FootnoteReference"/>
        </w:rPr>
        <w:footnoteRef/>
      </w:r>
      <w:r>
        <w:t xml:space="preserve"> These are estimates from IFs, and there are many challenges with the data in each category. With respect to infrastructure, we estimate the total public and private spending to be about 4.2 percent of global GDP, of which approximately 80 percent is public (hence the 3.4 percent figure).</w:t>
      </w:r>
    </w:p>
    <w:p w:rsidR="002C11AA" w:rsidRDefault="002C11AA" w:rsidP="009C0B88">
      <w:pPr>
        <w:pStyle w:val="FootnoteText"/>
      </w:pPr>
    </w:p>
  </w:footnote>
  <w:footnote w:id="82">
    <w:p w:rsidR="002C11AA" w:rsidRDefault="002C11AA" w:rsidP="009C0B88">
      <w:pPr>
        <w:pStyle w:val="FootnoteText"/>
      </w:pPr>
      <w:r w:rsidRPr="00422D46">
        <w:rPr>
          <w:rStyle w:val="FootnoteReference"/>
        </w:rPr>
        <w:footnoteRef/>
      </w:r>
      <w:r>
        <w:t>We estimate that public and private infrastructure expenditures total about 9.3 percent of GDP in low- and lower middle-income countries, with about 60 percent of that being public (for a public spending level of 5.6 percent of GDP). Public and private infrastructure spending in high-income countries is about 2.9 percent, of which approximately 90 percent is public.</w:t>
      </w:r>
    </w:p>
  </w:footnote>
  <w:footnote w:id="83">
    <w:p w:rsidR="002C11AA" w:rsidRDefault="002C11AA" w:rsidP="009C0B88">
      <w:pPr>
        <w:pStyle w:val="FootnoteText"/>
      </w:pPr>
      <w:r w:rsidRPr="00422D46">
        <w:rPr>
          <w:rStyle w:val="FootnoteReference"/>
        </w:rPr>
        <w:footnoteRef/>
      </w:r>
      <w:r>
        <w:t xml:space="preserve"> Unlike many other models, population and GDP are forecasted endogenously in IFs; they are not introduced as exogenous assumptions.</w:t>
      </w:r>
    </w:p>
  </w:footnote>
  <w:footnote w:id="84">
    <w:p w:rsidR="002C11AA" w:rsidRDefault="002C11AA" w:rsidP="009C0B88">
      <w:pPr>
        <w:pStyle w:val="FootnoteText"/>
      </w:pPr>
      <w:r w:rsidRPr="00422D46">
        <w:rPr>
          <w:rStyle w:val="FootnoteReference"/>
        </w:rPr>
        <w:footnoteRef/>
      </w:r>
      <w:r>
        <w:t xml:space="preserve"> The annual global population growth rate declines from 1.15% in 2010 to 0.24% in 2060 in the base case.</w:t>
      </w:r>
    </w:p>
  </w:footnote>
  <w:footnote w:id="85">
    <w:p w:rsidR="002C11AA" w:rsidRDefault="002C11AA" w:rsidP="009C0B88">
      <w:pPr>
        <w:pStyle w:val="FootnoteText"/>
      </w:pPr>
      <w:r w:rsidRPr="00422D46">
        <w:rPr>
          <w:rStyle w:val="FootnoteReference"/>
        </w:rPr>
        <w:footnoteRef/>
      </w:r>
      <w:r>
        <w:t xml:space="preserve"> In reality, of course, there will always be some humans without access to modern infrastructure, if only by choice. We define universal access for all infrastructure types except mobile telecommunications as 100 percent access, but consider 97.5 percent to be an effective threshold of universal access.</w:t>
      </w:r>
    </w:p>
  </w:footnote>
  <w:footnote w:id="86">
    <w:p w:rsidR="002C11AA" w:rsidRDefault="002C11AA" w:rsidP="009C0B88">
      <w:pPr>
        <w:pStyle w:val="FootnoteText"/>
      </w:pPr>
      <w:r w:rsidRPr="00422D46">
        <w:rPr>
          <w:rStyle w:val="FootnoteReference"/>
        </w:rPr>
        <w:footnoteRef/>
      </w:r>
      <w:r>
        <w:t xml:space="preserve"> Multiple subscriptions push the saturation or universal access level for mobile telephony up to about 150 subscriptions per 100 persons. In our base case scenario, Somalia is the only country not to reach 150 mobile phone subscriptions per 100 people in 2060. A few other countries like Myanmar, Eritrea, North Korea, and the Solomon Islands lag behind the rest for most of the 2010-2060 period, but manage to reach 150 by 2060.</w:t>
      </w:r>
    </w:p>
  </w:footnote>
  <w:footnote w:id="87">
    <w:p w:rsidR="002C11AA" w:rsidRDefault="002C11AA" w:rsidP="009C0B88">
      <w:pPr>
        <w:pStyle w:val="FootnoteText"/>
      </w:pPr>
      <w:r w:rsidRPr="00422D46">
        <w:rPr>
          <w:rStyle w:val="FootnoteReference"/>
        </w:rPr>
        <w:footnoteRef/>
      </w:r>
      <w:r>
        <w:t xml:space="preserve"> In our base case, Somalia is the only country not to reach 150 mobile phone subscriptions per 100 people in 2060. It ends the period with 136. A few other countries like Myanmar, Eritrea, North Korea, and the Solomon Islands lag behind the rest for most of the 2010-2060 period, but manage to reach 150 by 2060</w:t>
      </w:r>
    </w:p>
  </w:footnote>
  <w:footnote w:id="88">
    <w:p w:rsidR="002C11AA" w:rsidRDefault="002C11AA" w:rsidP="009C0B88">
      <w:pPr>
        <w:pStyle w:val="FootnoteText"/>
      </w:pPr>
      <w:r w:rsidRPr="00422D46">
        <w:rPr>
          <w:rStyle w:val="FootnoteReference"/>
        </w:rPr>
        <w:footnoteRef/>
      </w:r>
      <w:r>
        <w:t xml:space="preserve"> The Spearman’s rank correlation between average income and spending on infrastructure as a share of GDP starts at around 75% and gradually increases to 90% over a few decades, where it stays for the remainder of the horizon.</w:t>
      </w:r>
    </w:p>
  </w:footnote>
  <w:footnote w:id="89">
    <w:p w:rsidR="002C11AA" w:rsidRDefault="002C11AA" w:rsidP="009C0B88">
      <w:pPr>
        <w:pStyle w:val="FootnoteText"/>
      </w:pPr>
      <w:r w:rsidRPr="00422D46">
        <w:rPr>
          <w:rStyle w:val="FootnoteReference"/>
        </w:rPr>
        <w:footnoteRef/>
      </w:r>
      <w:r>
        <w:t xml:space="preserve"> In the perspective of economists, demand and supply are equal in markets that take into account behavior of consumers and producers and that establish an equilibrating price. One could conceptualize the provision of infrastructure as similarly identifying true demand and supply for it. Yet public provision is not a result of an economic market and reflects politically motivated choices concerning policy priorities and trade-offs with other public spending. Collective or public goods are almost always underprovided relative to assessments of optimality and even relative to preferences of members in the collectivity </w:t>
      </w:r>
      <w:fldSimple w:instr=" ADDIN ZOTERO_ITEM {&quot;citationID&quot;:&quot;6S2dpnIt&quot;,&quot;properties&quot;:{&quot;formattedCitation&quot;:&quot;(Olson 1965)&quot;,&quot;plainCitation&quot;:&quot;(Olson 1965)&quot;},&quot;citationItems&quot;:[{&quot;id&quot;:1683,&quot;uris&quot;:[&quot;http://zotero.org/groups/4482/items/J2XUWW53&quot;],&quot;uri&quot;:[&quot;http://zotero.org/groups/4482/items/J2XUWW53&quot;]}]} ">
        <w:r>
          <w:rPr>
            <w:noProof/>
          </w:rPr>
          <w:t>(Olson 1965)</w:t>
        </w:r>
      </w:fldSimple>
      <w:r>
        <w:t>. Hence, infrastructure provision almost certainly falls short of a more fundamental "actual" public demand for it, even if we have trouble estimating such demand.</w:t>
      </w:r>
    </w:p>
  </w:footnote>
  <w:footnote w:id="90">
    <w:p w:rsidR="002C11AA" w:rsidRDefault="002C11AA" w:rsidP="009C0B88">
      <w:pPr>
        <w:pStyle w:val="FootnoteText"/>
      </w:pPr>
      <w:r w:rsidRPr="00422D46">
        <w:rPr>
          <w:rStyle w:val="FootnoteReference"/>
        </w:rPr>
        <w:footnoteRef/>
      </w:r>
      <w:r>
        <w:t xml:space="preserve"> In fact, the WHO and UNICEF </w:t>
      </w:r>
      <w:fldSimple w:instr=" ADDIN ZOTERO_ITEM {&quot;citationID&quot;:&quot;QRltX9E2&quot;,&quot;properties&quot;:{&quot;formattedCitation&quot;:&quot;(2012)&quot;,&quot;plainCitation&quot;:&quot;(2012)&quot;},&quot;citationItems&quot;:[{&quot;id&quot;:156,&quot;uris&quot;:[&quot;http://zotero.org/groups/4482/items/U5WNBWBP&quot;],&quot;uri&quot;:[&quot;http://zotero.org/groups/4482/items/U5WNBWBP&quot;],&quot;suppress-author&quot;:true}]} ">
        <w:r>
          <w:rPr>
            <w:szCs w:val="21"/>
          </w:rPr>
          <w:t>(2012)</w:t>
        </w:r>
      </w:fldSimple>
      <w:r>
        <w:rPr>
          <w:szCs w:val="21"/>
        </w:rPr>
        <w:t xml:space="preserve"> have </w:t>
      </w:r>
      <w:r>
        <w:t>announced that the global drinking water target had been met by 2010.</w:t>
      </w:r>
    </w:p>
  </w:footnote>
  <w:footnote w:id="91">
    <w:p w:rsidR="002C11AA" w:rsidRDefault="002C11AA" w:rsidP="009C0B88">
      <w:pPr>
        <w:pStyle w:val="FootnoteText"/>
      </w:pPr>
      <w:r w:rsidRPr="00422D46">
        <w:rPr>
          <w:rStyle w:val="FootnoteReference"/>
        </w:rPr>
        <w:footnoteRef/>
      </w:r>
      <w:r>
        <w:t xml:space="preserve"> In </w:t>
      </w:r>
      <w:r>
        <w:rPr>
          <w:i/>
        </w:rPr>
        <w:t>Infrastructure to 2030</w:t>
      </w:r>
      <w:r>
        <w:t xml:space="preserve">  the OECD directly used the projections from an earlier IEA reference scenario for their analysis of investment needs for electricity </w:t>
      </w:r>
      <w:r w:rsidR="00F7383F" w:rsidRPr="00F7383F">
        <w:rPr>
          <w:rFonts w:cstheme="minorBidi"/>
        </w:rPr>
        <w:fldChar w:fldCharType="begin"/>
      </w:r>
      <w:r>
        <w:instrText xml:space="preserve"> ADDIN ZOTERO_ITEM {"citationID":"PZN5WDAR","properties":{"formattedCitation":"(Morgan 2006)","plainCitation":"(Morgan 2006)"},"citationItems":[{"id":724,"uris":["http://zotero.org/groups/4482/items/43ZXUMHJ"],"uri":["http://zotero.org/groups/4482/items/43ZXUMHJ"]}]} </w:instrText>
      </w:r>
      <w:r w:rsidR="00F7383F" w:rsidRPr="00F7383F">
        <w:rPr>
          <w:rFonts w:cstheme="minorBidi"/>
        </w:rPr>
        <w:fldChar w:fldCharType="separate"/>
      </w:r>
      <w:r>
        <w:t>(Morgan 2006)</w:t>
      </w:r>
      <w:r w:rsidR="00F7383F">
        <w:fldChar w:fldCharType="end"/>
      </w:r>
      <w:r>
        <w:t>.</w:t>
      </w:r>
    </w:p>
  </w:footnote>
  <w:footnote w:id="92">
    <w:p w:rsidR="002C11AA" w:rsidRDefault="002C11AA" w:rsidP="009C0B88">
      <w:pPr>
        <w:autoSpaceDE w:val="0"/>
        <w:autoSpaceDN w:val="0"/>
        <w:adjustRightInd w:val="0"/>
      </w:pPr>
      <w:r w:rsidRPr="00422D46">
        <w:rPr>
          <w:rStyle w:val="FootnoteReference"/>
        </w:rPr>
        <w:footnoteRef/>
      </w:r>
      <w:r>
        <w:t xml:space="preserve"> </w:t>
      </w:r>
      <w:r>
        <w:rPr>
          <w:sz w:val="20"/>
        </w:rPr>
        <w:t>Sponsors of and participants in the extensive AICD project include the World Bank (implementer), the African Development Bank, the African Union, Agence Française de Développement, the European Union, the New Economic Partnership for Africa's Development, the Public-Private Infrastructure Advisory Facility, and the U.K. Department for International Development.</w:t>
      </w:r>
    </w:p>
  </w:footnote>
  <w:footnote w:id="93">
    <w:p w:rsidR="002C11AA" w:rsidRDefault="002C11AA" w:rsidP="009C0B88">
      <w:pPr>
        <w:pStyle w:val="FootnoteText"/>
      </w:pPr>
      <w:r w:rsidRPr="00422D46">
        <w:rPr>
          <w:rStyle w:val="FootnoteReference"/>
        </w:rPr>
        <w:footnoteRef/>
      </w:r>
      <w:r>
        <w:t xml:space="preserve"> </w:t>
      </w:r>
      <w:r>
        <w:rPr>
          <w:color w:val="000000"/>
        </w:rPr>
        <w:t>Both sets of population forecasts have ties to the median variant of the UN Population Division. The HCS analysis used median variant forecasts from the 2006 Revision of the UN; we used data from the 2010 Revision, but IFs generates its own forecasts based on those data (generally quite close to the median variant). The 2010 Revision had generally higher forecasts than did the 2006 and 2008 Revisions, especially for Africa.</w:t>
      </w:r>
    </w:p>
  </w:footnote>
  <w:footnote w:id="94">
    <w:p w:rsidR="002C11AA" w:rsidRDefault="002C11AA" w:rsidP="009C0B88">
      <w:pPr>
        <w:pStyle w:val="FootnoteText"/>
      </w:pPr>
      <w:r w:rsidRPr="00422D46">
        <w:rPr>
          <w:rStyle w:val="FootnoteReference"/>
        </w:rPr>
        <w:footnoteRef/>
      </w:r>
      <w:r>
        <w:t xml:space="preserve"> The HCS analysis uses GDP per capita forecasts that average those of five integrated assessment models (Hughes, Chinowsky andStrzepek 2009: 8); IFs produces its own forecasts.</w:t>
      </w:r>
    </w:p>
  </w:footnote>
  <w:footnote w:id="95">
    <w:p w:rsidR="002C11AA" w:rsidRDefault="002C11AA" w:rsidP="00972987">
      <w:pPr>
        <w:pStyle w:val="FootnoteText"/>
      </w:pPr>
      <w:r w:rsidRPr="00921149">
        <w:rPr>
          <w:rStyle w:val="FootnoteReference"/>
        </w:rPr>
        <w:footnoteRef/>
      </w:r>
      <w:r>
        <w:t xml:space="preserve"> </w:t>
      </w:r>
      <w:r w:rsidRPr="002F42D7">
        <w:t>The</w:t>
      </w:r>
      <w:r>
        <w:t xml:space="preserve"> value for Chad is an estimate based on 2004 data from </w:t>
      </w:r>
      <w:r w:rsidRPr="002F42D7">
        <w:t xml:space="preserve">Legros et al </w:t>
      </w:r>
      <w:r w:rsidR="00F7383F">
        <w:fldChar w:fldCharType="begin"/>
      </w:r>
      <w:r>
        <w:instrText xml:space="preserve"> ADDIN ZOTERO_ITEM {"citationID":"Wz0e06NM","properties":{"formattedCitation":"(Legros et al. 2009, 67)","plainCitation":"(Legros et al. 2009, 67)"},"citationItems":[{"id":476,"uris":["http://zotero.org/groups/4482/items/KM4EHMDP"],"uri":["http://zotero.org/groups/4482/items/KM4EHMDP"],"locator":"67","label":"page"}]} </w:instrText>
      </w:r>
      <w:r w:rsidR="00F7383F">
        <w:fldChar w:fldCharType="separate"/>
      </w:r>
      <w:r>
        <w:rPr>
          <w:noProof/>
        </w:rPr>
        <w:t>(2009, 67)</w:t>
      </w:r>
      <w:r w:rsidR="00F7383F">
        <w:fldChar w:fldCharType="end"/>
      </w:r>
      <w:r w:rsidRPr="002F42D7">
        <w:t xml:space="preserve">. The latest electricity access database from the IEA no longer includes </w:t>
      </w:r>
      <w:r>
        <w:t>Chad</w:t>
      </w:r>
      <w:r w:rsidRPr="002F42D7">
        <w:rPr>
          <w:i/>
          <w:color w:val="000000" w:themeColor="text1"/>
        </w:rPr>
        <w:t>.</w:t>
      </w:r>
    </w:p>
  </w:footnote>
  <w:footnote w:id="96">
    <w:p w:rsidR="002C11AA" w:rsidRDefault="002C11AA" w:rsidP="00972987">
      <w:pPr>
        <w:pStyle w:val="FootnoteText"/>
      </w:pPr>
      <w:r w:rsidRPr="00921149">
        <w:rPr>
          <w:rStyle w:val="FootnoteReference"/>
        </w:rPr>
        <w:footnoteRef/>
      </w:r>
      <w:r>
        <w:t xml:space="preserve"> Across this volume series on Patterns of Potential Human Progress we have attempted to identify "aggressive but reasonable" development paths, as a supplement to universal, one-size-fits-all goal setting (see Hughes 2012 for a summary review of the efforts in all series volumes). Universal goals can be very inspirational and can therefore help motivate a range of national and international actors to undertake important developmental initiatives. They can also, however, be unrealistic for many countries (especially in sub-Saharan Africa and South Asia) and doom them to failure.</w:t>
      </w:r>
    </w:p>
  </w:footnote>
  <w:footnote w:id="97">
    <w:p w:rsidR="002C11AA" w:rsidRDefault="002C11AA" w:rsidP="00972987">
      <w:pPr>
        <w:pStyle w:val="FootnoteText"/>
      </w:pPr>
      <w:r w:rsidRPr="00921149">
        <w:rPr>
          <w:rStyle w:val="FootnoteReference"/>
        </w:rPr>
        <w:footnoteRef/>
      </w:r>
      <w:r>
        <w:t xml:space="preserve"> Please recall that we are assuming 150 subscriptions per 100 persons represents universal access for mobile broadband and mobile phones.</w:t>
      </w:r>
    </w:p>
  </w:footnote>
  <w:footnote w:id="98">
    <w:p w:rsidR="002C11AA" w:rsidRDefault="002C11AA" w:rsidP="00972987">
      <w:pPr>
        <w:pStyle w:val="FootnoteText"/>
      </w:pPr>
      <w:r w:rsidRPr="00921149">
        <w:rPr>
          <w:rStyle w:val="FootnoteReference"/>
        </w:rPr>
        <w:footnoteRef/>
      </w:r>
      <w:r>
        <w:t xml:space="preserve"> Footnote x in Chapter 5 discussed the terminological issues around demand and supply; economists conceptualize these as always equal in market clearing situations; political economists often distinguish between some more fundamental "actual" or optimal demand and supply in social systems involving political decisions.</w:t>
      </w:r>
    </w:p>
  </w:footnote>
  <w:footnote w:id="99">
    <w:p w:rsidR="002C11AA" w:rsidRDefault="002C11AA" w:rsidP="00972987">
      <w:pPr>
        <w:pStyle w:val="FootnoteText"/>
      </w:pPr>
      <w:r w:rsidRPr="00921149">
        <w:rPr>
          <w:rStyle w:val="FootnoteReference"/>
        </w:rPr>
        <w:footnoteRef/>
      </w:r>
      <w:r>
        <w:t xml:space="preserve"> We also calculate the demands using the standard demand functions. If these are ahead of the target path, we use those on the assumption that countries will only adjust demand if they are behind the target path.</w:t>
      </w:r>
    </w:p>
  </w:footnote>
  <w:footnote w:id="100">
    <w:p w:rsidR="002C11AA" w:rsidRDefault="002C11AA" w:rsidP="00972987">
      <w:pPr>
        <w:pStyle w:val="FootnoteText"/>
      </w:pPr>
      <w:r w:rsidRPr="00921149">
        <w:rPr>
          <w:rStyle w:val="FootnoteReference"/>
        </w:rPr>
        <w:footnoteRef/>
      </w:r>
      <w:r>
        <w:t xml:space="preserve"> Because of the integrated nature of IFs, however, pursuing targets for some forms of infrastructure does lead to some generally small changes in demand for and provision of other forms as well.</w:t>
      </w:r>
    </w:p>
  </w:footnote>
  <w:footnote w:id="101">
    <w:p w:rsidR="002C11AA" w:rsidRDefault="002C11AA" w:rsidP="00972987">
      <w:pPr>
        <w:pStyle w:val="FootnoteText"/>
      </w:pPr>
      <w:r w:rsidRPr="00921149">
        <w:rPr>
          <w:rStyle w:val="FootnoteReference"/>
        </w:rPr>
        <w:footnoteRef/>
      </w:r>
      <w:r>
        <w:t xml:space="preserve"> Ul Haq </w:t>
      </w:r>
      <w:fldSimple w:instr=" ADDIN ZOTERO_ITEM {&quot;citationID&quot;:&quot;xpcRIGRJ&quot;,&quot;properties&quot;:{&quot;formattedCitation&quot;:&quot;(Haq 1995)&quot;,&quot;plainCitation&quot;:&quot;(Haq 1995)&quot;},&quot;citationItems&quot;:[{&quot;id&quot;:1686,&quot;uris&quot;:[&quot;http://zotero.org/groups/4482/items/ISVBTTDC&quot;],&quot;uri&quot;:[&quot;http://zotero.org/groups/4482/items/ISVBTTDC&quot;]}]} ">
        <w:r>
          <w:rPr>
            <w:noProof/>
          </w:rPr>
          <w:t>(1995)</w:t>
        </w:r>
      </w:fldSimple>
      <w:r>
        <w:t xml:space="preserve">, with input from Amartya Sen, developed the HDI. Fukuda-Parr </w:t>
      </w:r>
      <w:fldSimple w:instr=" ADDIN ZOTERO_ITEM {&quot;citationID&quot;:&quot;u4q1q3ET&quot;,&quot;properties&quot;:{&quot;formattedCitation&quot;:&quot;(Fukuda-Parr 2003)&quot;,&quot;plainCitation&quot;:&quot;(Fukuda-Parr 2003)&quot;},&quot;citationItems&quot;:[{&quot;id&quot;:1688,&quot;uris&quot;:[&quot;http://zotero.org/groups/4482/items/T289XXPT&quot;],&quot;uri&quot;:[&quot;http://zotero.org/groups/4482/items/T289XXPT&quot;]}]} ">
        <w:r>
          <w:rPr>
            <w:noProof/>
          </w:rPr>
          <w:t>(2003)</w:t>
        </w:r>
      </w:fldSimple>
      <w:r>
        <w:t xml:space="preserve"> helped explain and extend its use. The United Nations Development Program's Human Development Report Office </w:t>
      </w:r>
      <w:r w:rsidR="00F7383F">
        <w:fldChar w:fldCharType="begin"/>
      </w:r>
      <w:r>
        <w:instrText xml:space="preserve"> ADDIN ZOTERO_ITEM {"citationID":"4PCMWcNi","properties":{"formattedCitation":"(United Nations Development Programme (UNDP) 2010)","plainCitation":"(United Nations Development Programme (UNDP) 2010)"},"citationItems":[{"id":1689,"uris":["http://zotero.org/groups/4482/items/QDWK9B4U"],"uri":["http://zotero.org/groups/4482/items/QDWK9B4U"]}]} </w:instrText>
      </w:r>
      <w:r w:rsidR="00F7383F">
        <w:fldChar w:fldCharType="separate"/>
      </w:r>
      <w:r>
        <w:rPr>
          <w:noProof/>
        </w:rPr>
        <w:t>(UNDP 2010)</w:t>
      </w:r>
      <w:r w:rsidR="00F7383F">
        <w:fldChar w:fldCharType="end"/>
      </w:r>
      <w:r>
        <w:t xml:space="preserve"> significantly revised the inputs to it and moved to the geometric mean formulation in 2010.</w:t>
      </w:r>
    </w:p>
  </w:footnote>
  <w:footnote w:id="102">
    <w:p w:rsidR="002C11AA" w:rsidRDefault="002C11AA" w:rsidP="00972987">
      <w:pPr>
        <w:pStyle w:val="FootnoteText"/>
      </w:pPr>
      <w:r w:rsidRPr="00921149">
        <w:rPr>
          <w:rStyle w:val="FootnoteReference"/>
        </w:rPr>
        <w:footnoteRef/>
      </w:r>
      <w:r>
        <w:t xml:space="preserve"> The time horizon over which this occurs varies across different parts of the model. See Chapter 4 for more details.</w:t>
      </w:r>
    </w:p>
  </w:footnote>
  <w:footnote w:id="103">
    <w:p w:rsidR="002C11AA" w:rsidRDefault="002C11AA" w:rsidP="00972987">
      <w:pPr>
        <w:pStyle w:val="FootnoteText"/>
      </w:pPr>
      <w:r w:rsidRPr="00921149">
        <w:rPr>
          <w:rStyle w:val="FootnoteReference"/>
        </w:rPr>
        <w:footnoteRef/>
      </w:r>
      <w:r>
        <w:t xml:space="preserve"> In cases where the predicted value of access to a particular infrastructure in a given country is within one standard error of universal access, then the targets in the High Performers scenario are functionally equivalent to those in the Universal Targets scenario.</w:t>
      </w:r>
    </w:p>
  </w:footnote>
  <w:footnote w:id="104">
    <w:p w:rsidR="002C11AA" w:rsidRPr="00AE54B3" w:rsidRDefault="002C11AA" w:rsidP="00972987">
      <w:pPr>
        <w:pStyle w:val="BodyText"/>
        <w:jc w:val="left"/>
        <w:rPr>
          <w:sz w:val="20"/>
        </w:rPr>
      </w:pPr>
      <w:r w:rsidRPr="000F3670">
        <w:rPr>
          <w:rStyle w:val="FootnoteReference"/>
        </w:rPr>
        <w:footnoteRef/>
      </w:r>
      <w:r>
        <w:t xml:space="preserve"> </w:t>
      </w:r>
      <w:r w:rsidRPr="00AE54B3">
        <w:rPr>
          <w:sz w:val="20"/>
        </w:rPr>
        <w:t xml:space="preserve">There are, however, a number of storm clouds on the </w:t>
      </w:r>
      <w:r>
        <w:rPr>
          <w:sz w:val="20"/>
        </w:rPr>
        <w:t xml:space="preserve">global </w:t>
      </w:r>
      <w:r w:rsidRPr="00AE54B3">
        <w:rPr>
          <w:sz w:val="20"/>
        </w:rPr>
        <w:t>forecast horizon, including aging populations and the fiscal pressures associated with them; forthcoming peaking of global oil and gas production and the need to develop alternative, sustainable sources of energy; growing pressure on fresh water supplies; and climate change that is likely to accelerate.</w:t>
      </w:r>
      <w:r>
        <w:rPr>
          <w:sz w:val="20"/>
        </w:rPr>
        <w:t xml:space="preserve"> </w:t>
      </w:r>
      <w:r w:rsidRPr="00AE54B3">
        <w:rPr>
          <w:sz w:val="20"/>
        </w:rPr>
        <w:t xml:space="preserve">We </w:t>
      </w:r>
      <w:r>
        <w:rPr>
          <w:sz w:val="20"/>
        </w:rPr>
        <w:t xml:space="preserve">have </w:t>
      </w:r>
      <w:r w:rsidRPr="00AE54B3">
        <w:rPr>
          <w:sz w:val="20"/>
        </w:rPr>
        <w:t>therefore also developed and explored</w:t>
      </w:r>
      <w:r>
        <w:rPr>
          <w:sz w:val="20"/>
        </w:rPr>
        <w:t xml:space="preserve"> elsewhere</w:t>
      </w:r>
      <w:r w:rsidRPr="00AE54B3">
        <w:rPr>
          <w:sz w:val="20"/>
        </w:rPr>
        <w:t xml:space="preserve"> a Global Challenges scenario that heightened all of these pressures relative to the </w:t>
      </w:r>
      <w:r>
        <w:rPr>
          <w:sz w:val="20"/>
        </w:rPr>
        <w:t>base case (se</w:t>
      </w:r>
      <w:r w:rsidRPr="00AE54B3">
        <w:rPr>
          <w:sz w:val="20"/>
        </w:rPr>
        <w:t xml:space="preserve">e </w:t>
      </w:r>
      <w:r w:rsidR="00F7383F">
        <w:rPr>
          <w:sz w:val="20"/>
        </w:rPr>
        <w:fldChar w:fldCharType="begin"/>
      </w:r>
      <w:r>
        <w:rPr>
          <w:sz w:val="20"/>
        </w:rPr>
        <w:instrText xml:space="preserve"> ADDIN ZOTERO_ITEM CSL_CITATION {"citationID":"8fOnTXxk","properties":{"formattedCitation":"(Hughes et al. 2011)","plainCitation":"(Hughes et al. 2011)"},"citationItems":[{"id":1660,"uris":["http://zotero.org/groups/4482/items/KTHA3GMF"],"uri":["http://zotero.org/groups/4482/items/KTHA3GMF"],"itemData":{"id":1660,"type":"report","title":"Forecasting the Impacts of Environmental Constraints on Human Development","collection-title":"United Nations Human Development Research Paper","publisher":"United Nations Development Programme","genre":"Research Paper","URL":"http://hdr.undp.org/en/reports/global/hdr2011/papers/HDRP_2011_08.pdf","number":"2011","author":[{"family":"Hughes","given":"Barry B."},{"family":"Irfan","given":"Mohammod T."},{"family":"Moyer","given":"Jonathan D."},{"family":"Rothman","given":"Dale S."},{"family":"Solorzano","given":"Jose R."}],"issued":{"year":2011}}}],"schema":"https://github.com/citation-style-language/schema/raw/master/csl-citation.json"} </w:instrText>
      </w:r>
      <w:r w:rsidR="00F7383F">
        <w:rPr>
          <w:sz w:val="20"/>
        </w:rPr>
        <w:fldChar w:fldCharType="separate"/>
      </w:r>
      <w:r>
        <w:rPr>
          <w:noProof/>
          <w:sz w:val="20"/>
        </w:rPr>
        <w:t>Hughes et al. 2011)</w:t>
      </w:r>
      <w:r w:rsidR="00F7383F">
        <w:rPr>
          <w:sz w:val="20"/>
        </w:rPr>
        <w:fldChar w:fldCharType="end"/>
      </w:r>
      <w:r w:rsidRPr="00AE54B3">
        <w:rPr>
          <w:sz w:val="20"/>
        </w:rPr>
        <w:t>.</w:t>
      </w:r>
      <w:r>
        <w:rPr>
          <w:sz w:val="20"/>
        </w:rPr>
        <w:t xml:space="preserve"> We have not explored the implications of such scenarios in this volume.</w:t>
      </w:r>
    </w:p>
    <w:p w:rsidR="002C11AA" w:rsidRPr="00AE54B3" w:rsidRDefault="002C11AA" w:rsidP="00972987">
      <w:pPr>
        <w:pStyle w:val="FootnoteText"/>
        <w:rPr>
          <w:lang w:val="en-US"/>
        </w:rPr>
      </w:pPr>
    </w:p>
  </w:footnote>
  <w:footnote w:id="105">
    <w:p w:rsidR="002C11AA" w:rsidRPr="00FA7326" w:rsidRDefault="002C11AA" w:rsidP="00972987">
      <w:pPr>
        <w:pStyle w:val="FootnoteText"/>
        <w:rPr>
          <w:lang w:val="en-US"/>
        </w:rPr>
      </w:pPr>
      <w:r w:rsidRPr="000F3670">
        <w:rPr>
          <w:rStyle w:val="FootnoteReference"/>
        </w:rPr>
        <w:footnoteRef/>
      </w:r>
      <w:r>
        <w:t xml:space="preserve"> </w:t>
      </w:r>
      <w:r>
        <w:rPr>
          <w:lang w:val="en-US"/>
        </w:rPr>
        <w:t xml:space="preserve">These figures only include the public spending on the forms of infrastructure explicitly included in our modeling. They do not include private spending or public spending on other forms of infrastructure. </w:t>
      </w:r>
    </w:p>
  </w:footnote>
  <w:footnote w:id="106">
    <w:p w:rsidR="002C11AA" w:rsidRPr="00FA7326" w:rsidRDefault="002C11AA" w:rsidP="00972987">
      <w:pPr>
        <w:pStyle w:val="FootnoteText"/>
        <w:rPr>
          <w:lang w:val="en-US"/>
        </w:rPr>
      </w:pPr>
      <w:r w:rsidRPr="000F3670">
        <w:rPr>
          <w:rStyle w:val="FootnoteReference"/>
        </w:rPr>
        <w:footnoteRef/>
      </w:r>
      <w:r>
        <w:t xml:space="preserve"> </w:t>
      </w:r>
      <w:r>
        <w:rPr>
          <w:lang w:val="en-US"/>
        </w:rPr>
        <w:t>Since the target for roads is to reduce by half the proportion of the rural population living more than 2 kilometers from an all-season road, it is harder to interpret the results in Table 7.1. As with the other targets and with a very few exceptions, the countries that appear not able to achieve the targeted rates for all-season rural road access by 2060 are in sub-Saharan Africa.</w:t>
      </w:r>
    </w:p>
  </w:footnote>
  <w:footnote w:id="107">
    <w:p w:rsidR="002C11AA" w:rsidRPr="00B824C8" w:rsidRDefault="002C11AA" w:rsidP="00972987">
      <w:pPr>
        <w:pStyle w:val="FootnoteText"/>
        <w:rPr>
          <w:lang w:val="en-US"/>
        </w:rPr>
      </w:pPr>
      <w:r w:rsidRPr="000F3670">
        <w:rPr>
          <w:rStyle w:val="FootnoteReference"/>
        </w:rPr>
        <w:footnoteRef/>
      </w:r>
      <w:r>
        <w:t xml:space="preserve"> </w:t>
      </w:r>
      <w:r>
        <w:rPr>
          <w:lang w:val="en-US"/>
        </w:rPr>
        <w:t>That quadrupling is actually associated with an estimate of the funds needed to achieve the universal target beyond the almost certainly politically impossible diversion of funds to infrastructure internally.</w:t>
      </w:r>
      <w:r>
        <w:t xml:space="preserve"> </w:t>
      </w:r>
      <w:r>
        <w:rPr>
          <w:lang w:val="en-US"/>
        </w:rPr>
        <w:t>Should assistance also help limit the diversion, the external requirements rise substantially higher.</w:t>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36A48A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935700E"/>
    <w:multiLevelType w:val="hybridMultilevel"/>
    <w:tmpl w:val="49CC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9864EC"/>
    <w:multiLevelType w:val="hybridMultilevel"/>
    <w:tmpl w:val="DAFE069A"/>
    <w:lvl w:ilvl="0" w:tplc="921491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A73ABC"/>
    <w:multiLevelType w:val="multilevel"/>
    <w:tmpl w:val="1F5C6476"/>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4970F56"/>
    <w:multiLevelType w:val="singleLevel"/>
    <w:tmpl w:val="C87E3A72"/>
    <w:lvl w:ilvl="0">
      <w:start w:val="1"/>
      <w:numFmt w:val="bullet"/>
      <w:pStyle w:val="BodyTextIndentChar"/>
      <w:lvlText w:val=""/>
      <w:lvlJc w:val="left"/>
      <w:pPr>
        <w:tabs>
          <w:tab w:val="num" w:pos="360"/>
        </w:tabs>
        <w:ind w:left="360" w:hanging="360"/>
      </w:pPr>
      <w:rPr>
        <w:rFonts w:ascii="Symbol" w:hAnsi="Symbol" w:hint="default"/>
      </w:rPr>
    </w:lvl>
  </w:abstractNum>
  <w:abstractNum w:abstractNumId="5">
    <w:nsid w:val="14DC7FCE"/>
    <w:multiLevelType w:val="hybridMultilevel"/>
    <w:tmpl w:val="A0F67D4E"/>
    <w:lvl w:ilvl="0" w:tplc="04090001">
      <w:start w:val="1"/>
      <w:numFmt w:val="bullet"/>
      <w:lvlText w:val=""/>
      <w:lvlJc w:val="left"/>
      <w:pPr>
        <w:tabs>
          <w:tab w:val="num" w:pos="835"/>
        </w:tabs>
        <w:ind w:left="835" w:hanging="360"/>
      </w:pPr>
      <w:rPr>
        <w:rFonts w:ascii="Symbol" w:hAnsi="Symbol" w:hint="default"/>
      </w:rPr>
    </w:lvl>
    <w:lvl w:ilvl="1" w:tplc="04090003">
      <w:start w:val="1"/>
      <w:numFmt w:val="bullet"/>
      <w:lvlText w:val="o"/>
      <w:lvlJc w:val="left"/>
      <w:pPr>
        <w:tabs>
          <w:tab w:val="num" w:pos="1555"/>
        </w:tabs>
        <w:ind w:left="1555" w:hanging="360"/>
      </w:pPr>
      <w:rPr>
        <w:rFonts w:ascii="Courier New" w:hAnsi="Courier New" w:hint="default"/>
      </w:rPr>
    </w:lvl>
    <w:lvl w:ilvl="2" w:tplc="04090005" w:tentative="1">
      <w:start w:val="1"/>
      <w:numFmt w:val="bullet"/>
      <w:lvlText w:val=""/>
      <w:lvlJc w:val="left"/>
      <w:pPr>
        <w:tabs>
          <w:tab w:val="num" w:pos="2275"/>
        </w:tabs>
        <w:ind w:left="2275" w:hanging="360"/>
      </w:pPr>
      <w:rPr>
        <w:rFonts w:ascii="Wingdings" w:hAnsi="Wingdings" w:hint="default"/>
      </w:rPr>
    </w:lvl>
    <w:lvl w:ilvl="3" w:tplc="04090001" w:tentative="1">
      <w:start w:val="1"/>
      <w:numFmt w:val="bullet"/>
      <w:lvlText w:val=""/>
      <w:lvlJc w:val="left"/>
      <w:pPr>
        <w:tabs>
          <w:tab w:val="num" w:pos="2995"/>
        </w:tabs>
        <w:ind w:left="2995" w:hanging="360"/>
      </w:pPr>
      <w:rPr>
        <w:rFonts w:ascii="Symbol" w:hAnsi="Symbol" w:hint="default"/>
      </w:rPr>
    </w:lvl>
    <w:lvl w:ilvl="4" w:tplc="04090003" w:tentative="1">
      <w:start w:val="1"/>
      <w:numFmt w:val="bullet"/>
      <w:lvlText w:val="o"/>
      <w:lvlJc w:val="left"/>
      <w:pPr>
        <w:tabs>
          <w:tab w:val="num" w:pos="3715"/>
        </w:tabs>
        <w:ind w:left="3715" w:hanging="360"/>
      </w:pPr>
      <w:rPr>
        <w:rFonts w:ascii="Courier New" w:hAnsi="Courier New" w:hint="default"/>
      </w:rPr>
    </w:lvl>
    <w:lvl w:ilvl="5" w:tplc="04090005" w:tentative="1">
      <w:start w:val="1"/>
      <w:numFmt w:val="bullet"/>
      <w:lvlText w:val=""/>
      <w:lvlJc w:val="left"/>
      <w:pPr>
        <w:tabs>
          <w:tab w:val="num" w:pos="4435"/>
        </w:tabs>
        <w:ind w:left="4435" w:hanging="360"/>
      </w:pPr>
      <w:rPr>
        <w:rFonts w:ascii="Wingdings" w:hAnsi="Wingdings" w:hint="default"/>
      </w:rPr>
    </w:lvl>
    <w:lvl w:ilvl="6" w:tplc="04090001" w:tentative="1">
      <w:start w:val="1"/>
      <w:numFmt w:val="bullet"/>
      <w:lvlText w:val=""/>
      <w:lvlJc w:val="left"/>
      <w:pPr>
        <w:tabs>
          <w:tab w:val="num" w:pos="5155"/>
        </w:tabs>
        <w:ind w:left="5155" w:hanging="360"/>
      </w:pPr>
      <w:rPr>
        <w:rFonts w:ascii="Symbol" w:hAnsi="Symbol" w:hint="default"/>
      </w:rPr>
    </w:lvl>
    <w:lvl w:ilvl="7" w:tplc="04090003" w:tentative="1">
      <w:start w:val="1"/>
      <w:numFmt w:val="bullet"/>
      <w:lvlText w:val="o"/>
      <w:lvlJc w:val="left"/>
      <w:pPr>
        <w:tabs>
          <w:tab w:val="num" w:pos="5875"/>
        </w:tabs>
        <w:ind w:left="5875" w:hanging="360"/>
      </w:pPr>
      <w:rPr>
        <w:rFonts w:ascii="Courier New" w:hAnsi="Courier New" w:hint="default"/>
      </w:rPr>
    </w:lvl>
    <w:lvl w:ilvl="8" w:tplc="04090005" w:tentative="1">
      <w:start w:val="1"/>
      <w:numFmt w:val="bullet"/>
      <w:lvlText w:val=""/>
      <w:lvlJc w:val="left"/>
      <w:pPr>
        <w:tabs>
          <w:tab w:val="num" w:pos="6595"/>
        </w:tabs>
        <w:ind w:left="6595" w:hanging="360"/>
      </w:pPr>
      <w:rPr>
        <w:rFonts w:ascii="Wingdings" w:hAnsi="Wingdings" w:hint="default"/>
      </w:rPr>
    </w:lvl>
  </w:abstractNum>
  <w:abstractNum w:abstractNumId="6">
    <w:nsid w:val="17C50B63"/>
    <w:multiLevelType w:val="multilevel"/>
    <w:tmpl w:val="BD18E98E"/>
    <w:lvl w:ilvl="0">
      <w:start w:val="1"/>
      <w:numFmt w:val="decimal"/>
      <w:pStyle w:val="Heading1"/>
      <w:isLgl/>
      <w:suff w:val="space"/>
      <w:lvlText w:val="%1. "/>
      <w:lvlJc w:val="left"/>
      <w:pPr>
        <w:ind w:left="432" w:hanging="432"/>
      </w:pPr>
      <w:rPr>
        <w:rFonts w:hint="default"/>
      </w:rPr>
    </w:lvl>
    <w:lvl w:ilvl="1">
      <w:start w:val="1"/>
      <w:numFmt w:val="none"/>
      <w:lvlRestart w:val="0"/>
      <w:lvlText w:val="2.5"/>
      <w:lvlJc w:val="left"/>
      <w:pPr>
        <w:tabs>
          <w:tab w:val="num" w:pos="360"/>
        </w:tabs>
        <w:ind w:left="340" w:hanging="340"/>
      </w:pPr>
      <w:rPr>
        <w:rFonts w:hint="default"/>
      </w:rPr>
    </w:lvl>
    <w:lvl w:ilvl="2">
      <w:start w:val="1"/>
      <w:numFmt w:val="none"/>
      <w:lvlRestart w:val="0"/>
      <w:suff w:val="space"/>
      <w:lvlText w:val="1.2.1 "/>
      <w:lvlJc w:val="left"/>
      <w:pPr>
        <w:ind w:left="720" w:hanging="720"/>
      </w:pPr>
      <w:rPr>
        <w:rFonts w:hint="default"/>
      </w:rPr>
    </w:lvl>
    <w:lvl w:ilvl="3">
      <w:start w:val="1"/>
      <w:numFmt w:val="none"/>
      <w:suff w:val="space"/>
      <w:lvlText w:val=""/>
      <w:lvlJc w:val="left"/>
      <w:pPr>
        <w:ind w:left="864" w:hanging="864"/>
      </w:pPr>
      <w:rPr>
        <w:rFonts w:hint="default"/>
      </w:rPr>
    </w:lvl>
    <w:lvl w:ilvl="4">
      <w:start w:val="1"/>
      <w:numFmt w:val="none"/>
      <w:pStyle w:val="Heading5"/>
      <w:suff w:val="space"/>
      <w:lvlText w:val=""/>
      <w:lvlJc w:val="left"/>
      <w:pPr>
        <w:ind w:left="1008" w:hanging="1008"/>
      </w:pPr>
      <w:rPr>
        <w:rFonts w:hint="default"/>
      </w:rPr>
    </w:lvl>
    <w:lvl w:ilvl="5">
      <w:start w:val="1"/>
      <w:numFmt w:val="none"/>
      <w:pStyle w:val="Heading6"/>
      <w:suff w:val="space"/>
      <w:lvlText w:val=""/>
      <w:lvlJc w:val="left"/>
      <w:pPr>
        <w:ind w:left="1152" w:hanging="1152"/>
      </w:pPr>
      <w:rPr>
        <w:rFonts w:hint="default"/>
      </w:rPr>
    </w:lvl>
    <w:lvl w:ilvl="6">
      <w:start w:val="1"/>
      <w:numFmt w:val="none"/>
      <w:pStyle w:val="Heading7"/>
      <w:suff w:val="nothing"/>
      <w:lvlText w:val=""/>
      <w:lvlJc w:val="left"/>
      <w:pPr>
        <w:ind w:left="1296" w:hanging="1296"/>
      </w:pPr>
      <w:rPr>
        <w:rFonts w:hint="default"/>
      </w:rPr>
    </w:lvl>
    <w:lvl w:ilvl="7">
      <w:start w:val="1"/>
      <w:numFmt w:val="none"/>
      <w:pStyle w:val="Heading8"/>
      <w:suff w:val="space"/>
      <w:lvlText w:val=""/>
      <w:lvlJc w:val="left"/>
      <w:pPr>
        <w:ind w:left="1440" w:hanging="1440"/>
      </w:pPr>
      <w:rPr>
        <w:rFonts w:hint="default"/>
      </w:rPr>
    </w:lvl>
    <w:lvl w:ilvl="8">
      <w:start w:val="1"/>
      <w:numFmt w:val="none"/>
      <w:pStyle w:val="Heading9"/>
      <w:suff w:val="space"/>
      <w:lvlText w:val=""/>
      <w:lvlJc w:val="left"/>
      <w:pPr>
        <w:ind w:left="1584" w:hanging="1584"/>
      </w:pPr>
      <w:rPr>
        <w:rFonts w:hint="default"/>
      </w:rPr>
    </w:lvl>
  </w:abstractNum>
  <w:abstractNum w:abstractNumId="7">
    <w:nsid w:val="1A2702DB"/>
    <w:multiLevelType w:val="multilevel"/>
    <w:tmpl w:val="97A08318"/>
    <w:lvl w:ilvl="0">
      <w:start w:val="4"/>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8">
    <w:nsid w:val="1BC74AB3"/>
    <w:multiLevelType w:val="hybridMultilevel"/>
    <w:tmpl w:val="1078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46494B"/>
    <w:multiLevelType w:val="hybridMultilevel"/>
    <w:tmpl w:val="715E978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22222E13"/>
    <w:multiLevelType w:val="multilevel"/>
    <w:tmpl w:val="BB46073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239B3D36"/>
    <w:multiLevelType w:val="multilevel"/>
    <w:tmpl w:val="1E5C022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6CC0AB0"/>
    <w:multiLevelType w:val="multilevel"/>
    <w:tmpl w:val="589CE6E6"/>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9263FF7"/>
    <w:multiLevelType w:val="singleLevel"/>
    <w:tmpl w:val="23F00B10"/>
    <w:lvl w:ilvl="0">
      <w:start w:val="1"/>
      <w:numFmt w:val="bullet"/>
      <w:pStyle w:val="BodyText3"/>
      <w:lvlText w:val=""/>
      <w:lvlJc w:val="left"/>
      <w:pPr>
        <w:tabs>
          <w:tab w:val="num" w:pos="417"/>
        </w:tabs>
        <w:ind w:left="360" w:hanging="303"/>
      </w:pPr>
      <w:rPr>
        <w:rFonts w:ascii="Symbol" w:hAnsi="Symbol" w:hint="default"/>
      </w:rPr>
    </w:lvl>
  </w:abstractNum>
  <w:abstractNum w:abstractNumId="14">
    <w:nsid w:val="305723BB"/>
    <w:multiLevelType w:val="multilevel"/>
    <w:tmpl w:val="02FCED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3CC463AD"/>
    <w:multiLevelType w:val="hybridMultilevel"/>
    <w:tmpl w:val="4CD61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5369F6"/>
    <w:multiLevelType w:val="multilevel"/>
    <w:tmpl w:val="3B14B9D6"/>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4E4040A5"/>
    <w:multiLevelType w:val="hybridMultilevel"/>
    <w:tmpl w:val="702A5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2931F87"/>
    <w:multiLevelType w:val="multilevel"/>
    <w:tmpl w:val="1130C394"/>
    <w:lvl w:ilvl="0">
      <w:start w:val="1"/>
      <w:numFmt w:val="decimal"/>
      <w:lvlText w:val="%1"/>
      <w:lvlJc w:val="left"/>
      <w:pPr>
        <w:ind w:left="360" w:hanging="360"/>
      </w:pPr>
      <w:rPr>
        <w:rFonts w:hint="default"/>
      </w:rPr>
    </w:lvl>
    <w:lvl w:ilvl="1">
      <w:start w:val="1"/>
      <w:numFmt w:val="decimal"/>
      <w:pStyle w:val="Heading2"/>
      <w:lvlText w:val="%1.%2"/>
      <w:lvlJc w:val="left"/>
      <w:pPr>
        <w:ind w:left="360" w:hanging="36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56746D4A"/>
    <w:multiLevelType w:val="multilevel"/>
    <w:tmpl w:val="F2DEF43A"/>
    <w:lvl w:ilvl="0">
      <w:start w:val="6"/>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9514687"/>
    <w:multiLevelType w:val="hybridMultilevel"/>
    <w:tmpl w:val="E9305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imSu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imSu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imSun"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0A6844"/>
    <w:multiLevelType w:val="hybridMultilevel"/>
    <w:tmpl w:val="2EA8453C"/>
    <w:lvl w:ilvl="0" w:tplc="CE32044C">
      <w:start w:val="4"/>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2">
    <w:nsid w:val="5CCF35A4"/>
    <w:multiLevelType w:val="multilevel"/>
    <w:tmpl w:val="27044380"/>
    <w:lvl w:ilvl="0">
      <w:start w:val="1"/>
      <w:numFmt w:val="decimal"/>
      <w:lvlText w:val="%1."/>
      <w:lvlJc w:val="left"/>
      <w:pPr>
        <w:ind w:left="720" w:hanging="360"/>
      </w:pPr>
      <w:rPr>
        <w:rFonts w:cs="Times New Roman"/>
      </w:r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5DBC49B0"/>
    <w:multiLevelType w:val="hybridMultilevel"/>
    <w:tmpl w:val="6D62C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imSu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imSu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imSun"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DB7226"/>
    <w:multiLevelType w:val="hybridMultilevel"/>
    <w:tmpl w:val="BC0A5AC8"/>
    <w:lvl w:ilvl="0" w:tplc="1D34AAF4">
      <w:start w:val="1"/>
      <w:numFmt w:val="bullet"/>
      <w:pStyle w:val="BodyText3Char"/>
      <w:lvlText w:val=""/>
      <w:lvlJc w:val="left"/>
      <w:pPr>
        <w:tabs>
          <w:tab w:val="num" w:pos="417"/>
        </w:tabs>
        <w:ind w:left="417" w:hanging="360"/>
      </w:pPr>
      <w:rPr>
        <w:rFonts w:ascii="Symbol" w:hAnsi="Symbol" w:hint="default"/>
      </w:rPr>
    </w:lvl>
    <w:lvl w:ilvl="1" w:tplc="C72C5FCA">
      <w:start w:val="1"/>
      <w:numFmt w:val="bullet"/>
      <w:lvlText w:val="o"/>
      <w:lvlJc w:val="left"/>
      <w:pPr>
        <w:tabs>
          <w:tab w:val="num" w:pos="1497"/>
        </w:tabs>
        <w:ind w:left="1497" w:hanging="360"/>
      </w:pPr>
      <w:rPr>
        <w:rFonts w:ascii="Courier New" w:hAnsi="Courier New" w:hint="default"/>
      </w:rPr>
    </w:lvl>
    <w:lvl w:ilvl="2" w:tplc="5732879E" w:tentative="1">
      <w:start w:val="1"/>
      <w:numFmt w:val="bullet"/>
      <w:lvlText w:val=""/>
      <w:lvlJc w:val="left"/>
      <w:pPr>
        <w:tabs>
          <w:tab w:val="num" w:pos="2217"/>
        </w:tabs>
        <w:ind w:left="2217" w:hanging="360"/>
      </w:pPr>
      <w:rPr>
        <w:rFonts w:ascii="Wingdings" w:hAnsi="Wingdings" w:hint="default"/>
      </w:rPr>
    </w:lvl>
    <w:lvl w:ilvl="3" w:tplc="48207F72" w:tentative="1">
      <w:start w:val="1"/>
      <w:numFmt w:val="bullet"/>
      <w:lvlText w:val=""/>
      <w:lvlJc w:val="left"/>
      <w:pPr>
        <w:tabs>
          <w:tab w:val="num" w:pos="2937"/>
        </w:tabs>
        <w:ind w:left="2937" w:hanging="360"/>
      </w:pPr>
      <w:rPr>
        <w:rFonts w:ascii="Symbol" w:hAnsi="Symbol" w:hint="default"/>
      </w:rPr>
    </w:lvl>
    <w:lvl w:ilvl="4" w:tplc="D37CEC92" w:tentative="1">
      <w:start w:val="1"/>
      <w:numFmt w:val="bullet"/>
      <w:lvlText w:val="o"/>
      <w:lvlJc w:val="left"/>
      <w:pPr>
        <w:tabs>
          <w:tab w:val="num" w:pos="3657"/>
        </w:tabs>
        <w:ind w:left="3657" w:hanging="360"/>
      </w:pPr>
      <w:rPr>
        <w:rFonts w:ascii="Courier New" w:hAnsi="Courier New" w:hint="default"/>
      </w:rPr>
    </w:lvl>
    <w:lvl w:ilvl="5" w:tplc="272C45DE" w:tentative="1">
      <w:start w:val="1"/>
      <w:numFmt w:val="bullet"/>
      <w:lvlText w:val=""/>
      <w:lvlJc w:val="left"/>
      <w:pPr>
        <w:tabs>
          <w:tab w:val="num" w:pos="4377"/>
        </w:tabs>
        <w:ind w:left="4377" w:hanging="360"/>
      </w:pPr>
      <w:rPr>
        <w:rFonts w:ascii="Wingdings" w:hAnsi="Wingdings" w:hint="default"/>
      </w:rPr>
    </w:lvl>
    <w:lvl w:ilvl="6" w:tplc="CB702536" w:tentative="1">
      <w:start w:val="1"/>
      <w:numFmt w:val="bullet"/>
      <w:lvlText w:val=""/>
      <w:lvlJc w:val="left"/>
      <w:pPr>
        <w:tabs>
          <w:tab w:val="num" w:pos="5097"/>
        </w:tabs>
        <w:ind w:left="5097" w:hanging="360"/>
      </w:pPr>
      <w:rPr>
        <w:rFonts w:ascii="Symbol" w:hAnsi="Symbol" w:hint="default"/>
      </w:rPr>
    </w:lvl>
    <w:lvl w:ilvl="7" w:tplc="FFBA25F2" w:tentative="1">
      <w:start w:val="1"/>
      <w:numFmt w:val="bullet"/>
      <w:lvlText w:val="o"/>
      <w:lvlJc w:val="left"/>
      <w:pPr>
        <w:tabs>
          <w:tab w:val="num" w:pos="5817"/>
        </w:tabs>
        <w:ind w:left="5817" w:hanging="360"/>
      </w:pPr>
      <w:rPr>
        <w:rFonts w:ascii="Courier New" w:hAnsi="Courier New" w:hint="default"/>
      </w:rPr>
    </w:lvl>
    <w:lvl w:ilvl="8" w:tplc="264A43E4" w:tentative="1">
      <w:start w:val="1"/>
      <w:numFmt w:val="bullet"/>
      <w:lvlText w:val=""/>
      <w:lvlJc w:val="left"/>
      <w:pPr>
        <w:tabs>
          <w:tab w:val="num" w:pos="6537"/>
        </w:tabs>
        <w:ind w:left="6537" w:hanging="360"/>
      </w:pPr>
      <w:rPr>
        <w:rFonts w:ascii="Wingdings" w:hAnsi="Wingdings" w:hint="default"/>
      </w:rPr>
    </w:lvl>
  </w:abstractNum>
  <w:abstractNum w:abstractNumId="25">
    <w:nsid w:val="615F50DB"/>
    <w:multiLevelType w:val="hybridMultilevel"/>
    <w:tmpl w:val="5A841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imSu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imSun"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imSun"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2480229"/>
    <w:multiLevelType w:val="hybridMultilevel"/>
    <w:tmpl w:val="F726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2AE3EC4"/>
    <w:multiLevelType w:val="hybridMultilevel"/>
    <w:tmpl w:val="9D206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A21DC9"/>
    <w:multiLevelType w:val="multilevel"/>
    <w:tmpl w:val="B8DC7E5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7630506D"/>
    <w:multiLevelType w:val="hybridMultilevel"/>
    <w:tmpl w:val="B298F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6823D02"/>
    <w:multiLevelType w:val="hybridMultilevel"/>
    <w:tmpl w:val="5C906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8BC043F"/>
    <w:multiLevelType w:val="multilevel"/>
    <w:tmpl w:val="13F60B76"/>
    <w:lvl w:ilvl="0">
      <w:start w:val="2"/>
      <w:numFmt w:val="decimal"/>
      <w:lvlText w:val="%1"/>
      <w:lvlJc w:val="left"/>
      <w:pPr>
        <w:ind w:left="360" w:hanging="360"/>
      </w:pPr>
      <w:rPr>
        <w:rFonts w:hint="default"/>
      </w:rPr>
    </w:lvl>
    <w:lvl w:ilvl="1">
      <w:start w:val="1"/>
      <w:numFmt w:val="decimal"/>
      <w:lvlText w:val="%1.%2"/>
      <w:lvlJc w:val="left"/>
      <w:pPr>
        <w:ind w:left="45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794A6B94"/>
    <w:multiLevelType w:val="multilevel"/>
    <w:tmpl w:val="E08270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3"/>
  </w:num>
  <w:num w:numId="2">
    <w:abstractNumId w:val="24"/>
  </w:num>
  <w:num w:numId="3">
    <w:abstractNumId w:val="4"/>
  </w:num>
  <w:num w:numId="4">
    <w:abstractNumId w:val="31"/>
  </w:num>
  <w:num w:numId="5">
    <w:abstractNumId w:val="6"/>
  </w:num>
  <w:num w:numId="6">
    <w:abstractNumId w:val="0"/>
  </w:num>
  <w:num w:numId="7">
    <w:abstractNumId w:val="23"/>
  </w:num>
  <w:num w:numId="8">
    <w:abstractNumId w:val="18"/>
  </w:num>
  <w:num w:numId="9">
    <w:abstractNumId w:val="20"/>
  </w:num>
  <w:num w:numId="10">
    <w:abstractNumId w:val="8"/>
  </w:num>
  <w:num w:numId="11">
    <w:abstractNumId w:val="26"/>
  </w:num>
  <w:num w:numId="12">
    <w:abstractNumId w:val="2"/>
  </w:num>
  <w:num w:numId="13">
    <w:abstractNumId w:val="30"/>
  </w:num>
  <w:num w:numId="14">
    <w:abstractNumId w:val="22"/>
  </w:num>
  <w:num w:numId="15">
    <w:abstractNumId w:val="25"/>
  </w:num>
  <w:num w:numId="16">
    <w:abstractNumId w:val="14"/>
  </w:num>
  <w:num w:numId="17">
    <w:abstractNumId w:val="16"/>
  </w:num>
  <w:num w:numId="18">
    <w:abstractNumId w:val="29"/>
  </w:num>
  <w:num w:numId="19">
    <w:abstractNumId w:val="15"/>
  </w:num>
  <w:num w:numId="20">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17"/>
  </w:num>
  <w:num w:numId="23">
    <w:abstractNumId w:val="32"/>
  </w:num>
  <w:num w:numId="24">
    <w:abstractNumId w:val="7"/>
  </w:num>
  <w:num w:numId="25">
    <w:abstractNumId w:val="21"/>
  </w:num>
  <w:num w:numId="26">
    <w:abstractNumId w:val="27"/>
  </w:num>
  <w:num w:numId="27">
    <w:abstractNumId w:val="1"/>
  </w:num>
  <w:num w:numId="28">
    <w:abstractNumId w:val="12"/>
  </w:num>
  <w:num w:numId="29">
    <w:abstractNumId w:val="19"/>
  </w:num>
  <w:num w:numId="30">
    <w:abstractNumId w:val="11"/>
  </w:num>
  <w:num w:numId="31">
    <w:abstractNumId w:val="10"/>
  </w:num>
  <w:num w:numId="32">
    <w:abstractNumId w:val="28"/>
  </w:num>
  <w:num w:numId="3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5"/>
  </w:hdrShapeDefaults>
  <w:compat>
    <w:doNotAutofitConstrainedTables/>
    <w:splitPgBreakAndParaMark/>
    <w:doNotVertAlignCellWithSp/>
    <w:doNotBreakConstrainedForcedTable/>
    <w:useAnsiKerningPairs/>
    <w:cachedColBalance/>
  </w:compat>
  <w:rsids>
    <w:rsidRoot w:val="007D46DA"/>
    <w:rsid w:val="000016D4"/>
    <w:rsid w:val="00053A06"/>
    <w:rsid w:val="000F392D"/>
    <w:rsid w:val="0012772B"/>
    <w:rsid w:val="001D2C01"/>
    <w:rsid w:val="001E2660"/>
    <w:rsid w:val="0029638B"/>
    <w:rsid w:val="002C11AA"/>
    <w:rsid w:val="003054EC"/>
    <w:rsid w:val="003D74C2"/>
    <w:rsid w:val="0043092C"/>
    <w:rsid w:val="004326B0"/>
    <w:rsid w:val="004C4744"/>
    <w:rsid w:val="005269D7"/>
    <w:rsid w:val="00597AF3"/>
    <w:rsid w:val="005F0270"/>
    <w:rsid w:val="0061027C"/>
    <w:rsid w:val="00652C92"/>
    <w:rsid w:val="006B1499"/>
    <w:rsid w:val="00763BA1"/>
    <w:rsid w:val="007D46DA"/>
    <w:rsid w:val="0087434F"/>
    <w:rsid w:val="00877E30"/>
    <w:rsid w:val="00897A1A"/>
    <w:rsid w:val="00972987"/>
    <w:rsid w:val="009C0B88"/>
    <w:rsid w:val="00A84F12"/>
    <w:rsid w:val="00B15811"/>
    <w:rsid w:val="00B53D73"/>
    <w:rsid w:val="00B67EF5"/>
    <w:rsid w:val="00C66024"/>
    <w:rsid w:val="00C94636"/>
    <w:rsid w:val="00CA5529"/>
    <w:rsid w:val="00D221DE"/>
    <w:rsid w:val="00D67A79"/>
    <w:rsid w:val="00DE7F01"/>
    <w:rsid w:val="00E90163"/>
    <w:rsid w:val="00EC0FE3"/>
    <w:rsid w:val="00EC2D95"/>
    <w:rsid w:val="00F7383F"/>
  </w:rsids>
  <m:mathPr>
    <m:mathFont m:val="Wingdings 2"/>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footnote reference" w:uiPriority="99"/>
    <w:lsdException w:name="annotation reference" w:uiPriority="99"/>
    <w:lsdException w:name="Title" w:qFormat="1"/>
    <w:lsdException w:name="Hyperlink" w:uiPriority="99"/>
    <w:lsdException w:name="Strong" w:qFormat="1"/>
    <w:lsdException w:name="Emphasis" w:uiPriority="20" w:qFormat="1"/>
    <w:lsdException w:name="Plain Text" w:uiPriority="99"/>
    <w:lsdException w:name="Normal (Web)" w:uiPriority="99"/>
    <w:lsdException w:name="Balloon Text" w:uiPriority="99"/>
    <w:lsdException w:name="Revision" w:uiPriority="99"/>
    <w:lsdException w:name="List Paragraph" w:uiPriority="34" w:qFormat="1"/>
    <w:lsdException w:name="Quote" w:uiPriority="29" w:qFormat="1"/>
    <w:lsdException w:name="Bibliography" w:uiPriority="37"/>
    <w:lsdException w:name="TOC Heading" w:uiPriority="39" w:qFormat="1"/>
  </w:latentStyles>
  <w:style w:type="paragraph" w:default="1" w:styleId="Normal">
    <w:name w:val="Normal"/>
    <w:qFormat/>
    <w:rsid w:val="007D46DA"/>
    <w:rPr>
      <w:rFonts w:ascii="Times New Roman" w:hAnsi="Times New Roman" w:cs="Times New Roman"/>
      <w:szCs w:val="20"/>
    </w:rPr>
  </w:style>
  <w:style w:type="paragraph" w:styleId="Heading1">
    <w:name w:val="heading 1"/>
    <w:aliases w:val="section head,h1,section head1,h11,section head2,h12,section head3,h13,section head4,h14"/>
    <w:basedOn w:val="Normal"/>
    <w:next w:val="Normal"/>
    <w:link w:val="Heading1Char"/>
    <w:qFormat/>
    <w:rsid w:val="000F2EB4"/>
    <w:pPr>
      <w:keepNext/>
      <w:pageBreakBefore/>
      <w:numPr>
        <w:numId w:val="5"/>
      </w:numPr>
      <w:spacing w:before="120" w:after="120"/>
      <w:jc w:val="center"/>
      <w:outlineLvl w:val="0"/>
    </w:pPr>
    <w:rPr>
      <w:b/>
      <w:sz w:val="28"/>
      <w:lang w:val="en-GB"/>
    </w:rPr>
  </w:style>
  <w:style w:type="paragraph" w:styleId="Heading2">
    <w:name w:val="heading 2"/>
    <w:aliases w:val="subhead 1,h2,subhead 11,h21,subhead 12,h22,subhead 13,h23,subhead 14,h24,H2,2H,2h,2"/>
    <w:basedOn w:val="Normal"/>
    <w:next w:val="BodyText"/>
    <w:link w:val="Heading2Char"/>
    <w:qFormat/>
    <w:rsid w:val="00877E30"/>
    <w:pPr>
      <w:keepNext/>
      <w:numPr>
        <w:ilvl w:val="1"/>
        <w:numId w:val="8"/>
      </w:numPr>
      <w:spacing w:before="120" w:after="120"/>
      <w:outlineLvl w:val="1"/>
    </w:pPr>
    <w:rPr>
      <w:b/>
      <w:color w:val="000000"/>
      <w:sz w:val="28"/>
      <w:szCs w:val="28"/>
    </w:rPr>
  </w:style>
  <w:style w:type="paragraph" w:styleId="Heading3">
    <w:name w:val="heading 3"/>
    <w:aliases w:val="subhead 2,h3,subhead 21,h31,subhead 22,h32,subhead 23,h33,Subhead 2"/>
    <w:basedOn w:val="Normal"/>
    <w:next w:val="BodyText"/>
    <w:link w:val="Heading3Char"/>
    <w:qFormat/>
    <w:rsid w:val="0012772B"/>
    <w:pPr>
      <w:keepNext/>
      <w:numPr>
        <w:ilvl w:val="2"/>
        <w:numId w:val="8"/>
      </w:numPr>
      <w:spacing w:before="240" w:after="60"/>
      <w:ind w:left="0" w:firstLine="0"/>
      <w:jc w:val="both"/>
      <w:outlineLvl w:val="2"/>
    </w:pPr>
    <w:rPr>
      <w:b/>
      <w:i/>
    </w:rPr>
  </w:style>
  <w:style w:type="paragraph" w:styleId="Heading4">
    <w:name w:val="heading 4"/>
    <w:aliases w:val="subhead 3,h4,subhead 31,h41,subhead 32,h42,subhead 33,h43"/>
    <w:basedOn w:val="Normal"/>
    <w:next w:val="Normal"/>
    <w:link w:val="Heading4Char"/>
    <w:qFormat/>
    <w:rsid w:val="00A84F12"/>
    <w:pPr>
      <w:keepNext/>
      <w:tabs>
        <w:tab w:val="num" w:pos="360"/>
      </w:tabs>
      <w:overflowPunct w:val="0"/>
      <w:autoSpaceDE w:val="0"/>
      <w:autoSpaceDN w:val="0"/>
      <w:adjustRightInd w:val="0"/>
      <w:spacing w:before="120" w:after="120"/>
      <w:ind w:left="360" w:hanging="360"/>
      <w:textAlignment w:val="baseline"/>
      <w:outlineLvl w:val="3"/>
    </w:pPr>
    <w:rPr>
      <w:i/>
      <w:noProof/>
      <w:sz w:val="22"/>
      <w:lang w:val="en-GB"/>
    </w:rPr>
  </w:style>
  <w:style w:type="paragraph" w:styleId="Heading5">
    <w:name w:val="heading 5"/>
    <w:basedOn w:val="Normal"/>
    <w:next w:val="Normal"/>
    <w:link w:val="Heading5Char"/>
    <w:qFormat/>
    <w:rsid w:val="000F2EB4"/>
    <w:pPr>
      <w:numPr>
        <w:ilvl w:val="4"/>
        <w:numId w:val="5"/>
      </w:numPr>
      <w:spacing w:before="240" w:after="60"/>
      <w:outlineLvl w:val="4"/>
    </w:pPr>
    <w:rPr>
      <w:sz w:val="22"/>
      <w:lang w:val="en-GB"/>
    </w:rPr>
  </w:style>
  <w:style w:type="paragraph" w:styleId="Heading6">
    <w:name w:val="heading 6"/>
    <w:basedOn w:val="Normal"/>
    <w:next w:val="Normal"/>
    <w:link w:val="Heading6Char"/>
    <w:qFormat/>
    <w:rsid w:val="000F2EB4"/>
    <w:pPr>
      <w:numPr>
        <w:ilvl w:val="5"/>
        <w:numId w:val="5"/>
      </w:numPr>
      <w:spacing w:before="240" w:after="60"/>
      <w:outlineLvl w:val="5"/>
    </w:pPr>
    <w:rPr>
      <w:i/>
      <w:sz w:val="22"/>
      <w:lang w:val="en-GB"/>
    </w:rPr>
  </w:style>
  <w:style w:type="paragraph" w:styleId="Heading7">
    <w:name w:val="heading 7"/>
    <w:basedOn w:val="Normal"/>
    <w:next w:val="Normal"/>
    <w:link w:val="Heading7Char"/>
    <w:qFormat/>
    <w:rsid w:val="000F2EB4"/>
    <w:pPr>
      <w:keepNext/>
      <w:numPr>
        <w:ilvl w:val="6"/>
        <w:numId w:val="5"/>
      </w:numPr>
      <w:spacing w:before="240" w:after="120"/>
      <w:outlineLvl w:val="6"/>
    </w:pPr>
    <w:rPr>
      <w:sz w:val="22"/>
      <w:lang w:val="en-GB"/>
    </w:rPr>
  </w:style>
  <w:style w:type="paragraph" w:styleId="Heading8">
    <w:name w:val="heading 8"/>
    <w:aliases w:val="table number,h8,Table Title,(T,9t,table number1,h81,Table Title1,(T1,9t1,table number2,h82,Table Title2,(T2,9t2,table number3,h83,Table Title3,(T3,9t3"/>
    <w:basedOn w:val="Normal"/>
    <w:next w:val="Normal"/>
    <w:link w:val="Heading8Char"/>
    <w:qFormat/>
    <w:rsid w:val="000F2EB4"/>
    <w:pPr>
      <w:keepNext/>
      <w:numPr>
        <w:ilvl w:val="7"/>
        <w:numId w:val="5"/>
      </w:numPr>
      <w:spacing w:before="240" w:after="60"/>
      <w:outlineLvl w:val="7"/>
    </w:pPr>
    <w:rPr>
      <w:b/>
      <w:sz w:val="22"/>
      <w:lang w:val="en-GB"/>
    </w:rPr>
  </w:style>
  <w:style w:type="paragraph" w:styleId="Heading9">
    <w:name w:val="heading 9"/>
    <w:aliases w:val="table title,h9,table title1,h91,table title2,h92,table title3,h93"/>
    <w:basedOn w:val="Normal"/>
    <w:next w:val="Normal"/>
    <w:link w:val="Heading9Char"/>
    <w:qFormat/>
    <w:rsid w:val="000F2EB4"/>
    <w:pPr>
      <w:numPr>
        <w:ilvl w:val="8"/>
        <w:numId w:val="5"/>
      </w:numPr>
      <w:spacing w:before="240" w:after="60"/>
      <w:outlineLvl w:val="8"/>
    </w:pPr>
    <w:rPr>
      <w:rFonts w:ascii="Arial" w:hAnsi="Arial"/>
      <w:b/>
      <w:i/>
      <w:sz w:val="18"/>
      <w:lang w:val="en-GB"/>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1"/>
    <w:uiPriority w:val="99"/>
    <w:rsid w:val="000F2EB4"/>
    <w:rPr>
      <w:rFonts w:ascii="Lucida Grande" w:hAnsi="Lucida Grande" w:cstheme="minorBidi"/>
      <w:sz w:val="18"/>
      <w:szCs w:val="18"/>
    </w:rPr>
  </w:style>
  <w:style w:type="character" w:customStyle="1" w:styleId="BalloonTextChar">
    <w:name w:val="Balloon Text Char"/>
    <w:basedOn w:val="DefaultParagraphFont"/>
    <w:link w:val="BalloonText"/>
    <w:uiPriority w:val="99"/>
    <w:semiHidden/>
    <w:rsid w:val="00733B7F"/>
    <w:rPr>
      <w:rFonts w:ascii="Lucida Grande" w:hAnsi="Lucida Grande"/>
      <w:sz w:val="18"/>
      <w:szCs w:val="18"/>
    </w:rPr>
  </w:style>
  <w:style w:type="character" w:customStyle="1" w:styleId="BalloonTextChar0">
    <w:name w:val="Balloon Text Char"/>
    <w:basedOn w:val="DefaultParagraphFont"/>
    <w:link w:val="BalloonText"/>
    <w:uiPriority w:val="99"/>
    <w:rsid w:val="00681601"/>
    <w:rPr>
      <w:rFonts w:ascii="Lucida Grande" w:hAnsi="Lucida Grande"/>
      <w:sz w:val="18"/>
      <w:szCs w:val="18"/>
    </w:rPr>
  </w:style>
  <w:style w:type="character" w:customStyle="1" w:styleId="Heading1Char">
    <w:name w:val="Heading 1 Char"/>
    <w:aliases w:val="section head Char,h1 Char,section head1 Char,h11 Char,section head2 Char,h12 Char,section head3 Char,h13 Char,section head4 Char,h14 Char"/>
    <w:basedOn w:val="DefaultParagraphFont"/>
    <w:link w:val="Heading1"/>
    <w:rsid w:val="00335CCE"/>
    <w:rPr>
      <w:rFonts w:ascii="Times New Roman" w:hAnsi="Times New Roman" w:cs="Times New Roman"/>
      <w:b/>
      <w:sz w:val="28"/>
      <w:szCs w:val="20"/>
      <w:lang w:val="en-GB"/>
    </w:rPr>
  </w:style>
  <w:style w:type="paragraph" w:styleId="BodyText">
    <w:name w:val="Body Text"/>
    <w:basedOn w:val="Normal"/>
    <w:link w:val="BodyTextChar"/>
    <w:rsid w:val="000F2EB4"/>
    <w:pPr>
      <w:spacing w:before="120" w:after="120"/>
      <w:jc w:val="both"/>
    </w:pPr>
  </w:style>
  <w:style w:type="character" w:customStyle="1" w:styleId="BodyTextChar">
    <w:name w:val="Body Text Char"/>
    <w:basedOn w:val="DefaultParagraphFont"/>
    <w:link w:val="BodyText"/>
    <w:rsid w:val="00335CCE"/>
    <w:rPr>
      <w:rFonts w:ascii="Times New Roman" w:hAnsi="Times New Roman" w:cs="Times New Roman"/>
    </w:rPr>
  </w:style>
  <w:style w:type="character" w:customStyle="1" w:styleId="Heading2Char">
    <w:name w:val="Heading 2 Char"/>
    <w:aliases w:val="subhead 1 Char,h2 Char,subhead 11 Char,h21 Char,subhead 12 Char,h22 Char,subhead 13 Char,h23 Char,subhead 14 Char,h24 Char,H2 Char,2H Char,2h Char,2 Char"/>
    <w:basedOn w:val="DefaultParagraphFont"/>
    <w:link w:val="Heading2"/>
    <w:rsid w:val="00877E30"/>
    <w:rPr>
      <w:rFonts w:ascii="Times New Roman" w:hAnsi="Times New Roman" w:cs="Times New Roman"/>
      <w:b/>
      <w:color w:val="000000"/>
      <w:sz w:val="28"/>
      <w:szCs w:val="28"/>
    </w:rPr>
  </w:style>
  <w:style w:type="character" w:customStyle="1" w:styleId="Heading3Char">
    <w:name w:val="Heading 3 Char"/>
    <w:aliases w:val="subhead 2 Char,h3 Char,subhead 21 Char,h31 Char,subhead 22 Char,h32 Char,subhead 23 Char,h33 Char,Subhead 2 Char"/>
    <w:basedOn w:val="DefaultParagraphFont"/>
    <w:link w:val="Heading3"/>
    <w:rsid w:val="0012772B"/>
    <w:rPr>
      <w:rFonts w:ascii="Times New Roman" w:hAnsi="Times New Roman" w:cs="Times New Roman"/>
      <w:b/>
      <w:i/>
      <w:szCs w:val="20"/>
    </w:rPr>
  </w:style>
  <w:style w:type="character" w:customStyle="1" w:styleId="Heading4Char">
    <w:name w:val="Heading 4 Char"/>
    <w:aliases w:val="subhead 3 Char,h4 Char,subhead 31 Char,h41 Char,subhead 32 Char,h42 Char,subhead 33 Char,h43 Char"/>
    <w:basedOn w:val="DefaultParagraphFont"/>
    <w:link w:val="Heading4"/>
    <w:rsid w:val="00A84F12"/>
    <w:rPr>
      <w:rFonts w:ascii="Times New Roman" w:hAnsi="Times New Roman" w:cs="Times New Roman"/>
      <w:i/>
      <w:noProof/>
      <w:sz w:val="22"/>
      <w:szCs w:val="20"/>
      <w:lang w:val="en-GB"/>
    </w:rPr>
  </w:style>
  <w:style w:type="character" w:customStyle="1" w:styleId="Heading5Char">
    <w:name w:val="Heading 5 Char"/>
    <w:basedOn w:val="DefaultParagraphFont"/>
    <w:link w:val="Heading5"/>
    <w:rsid w:val="00335CCE"/>
    <w:rPr>
      <w:rFonts w:ascii="Times New Roman" w:hAnsi="Times New Roman" w:cs="Times New Roman"/>
      <w:sz w:val="22"/>
      <w:szCs w:val="20"/>
      <w:lang w:val="en-GB"/>
    </w:rPr>
  </w:style>
  <w:style w:type="character" w:customStyle="1" w:styleId="Heading6Char">
    <w:name w:val="Heading 6 Char"/>
    <w:basedOn w:val="DefaultParagraphFont"/>
    <w:link w:val="Heading6"/>
    <w:rsid w:val="00335CCE"/>
    <w:rPr>
      <w:rFonts w:ascii="Times New Roman" w:hAnsi="Times New Roman" w:cs="Times New Roman"/>
      <w:i/>
      <w:sz w:val="22"/>
      <w:szCs w:val="20"/>
      <w:lang w:val="en-GB"/>
    </w:rPr>
  </w:style>
  <w:style w:type="character" w:customStyle="1" w:styleId="Heading7Char">
    <w:name w:val="Heading 7 Char"/>
    <w:basedOn w:val="DefaultParagraphFont"/>
    <w:link w:val="Heading7"/>
    <w:rsid w:val="00335CCE"/>
    <w:rPr>
      <w:rFonts w:ascii="Times New Roman" w:hAnsi="Times New Roman" w:cs="Times New Roman"/>
      <w:sz w:val="22"/>
      <w:szCs w:val="20"/>
      <w:lang w:val="en-GB"/>
    </w:rPr>
  </w:style>
  <w:style w:type="character" w:customStyle="1" w:styleId="Heading8Char">
    <w:name w:val="Heading 8 Char"/>
    <w:aliases w:val="table number Char,h8 Char,Table Title Char,(T Char,9t Char,table number1 Char,h81 Char,Table Title1 Char,(T1 Char,9t1 Char,table number2 Char,h82 Char,Table Title2 Char,(T2 Char,9t2 Char,table number3 Char,h83 Char,Table Title3 Char"/>
    <w:basedOn w:val="DefaultParagraphFont"/>
    <w:link w:val="Heading8"/>
    <w:rsid w:val="00335CCE"/>
    <w:rPr>
      <w:rFonts w:ascii="Times New Roman" w:hAnsi="Times New Roman" w:cs="Times New Roman"/>
      <w:b/>
      <w:sz w:val="22"/>
      <w:szCs w:val="20"/>
      <w:lang w:val="en-GB"/>
    </w:rPr>
  </w:style>
  <w:style w:type="character" w:customStyle="1" w:styleId="Heading9Char">
    <w:name w:val="Heading 9 Char"/>
    <w:aliases w:val="table title Char,h9 Char,table title1 Char,h91 Char,table title2 Char,h92 Char,table title3 Char,h93 Char"/>
    <w:basedOn w:val="DefaultParagraphFont"/>
    <w:link w:val="Heading9"/>
    <w:rsid w:val="00335CCE"/>
    <w:rPr>
      <w:rFonts w:ascii="Arial" w:hAnsi="Arial" w:cs="Times New Roman"/>
      <w:b/>
      <w:i/>
      <w:sz w:val="18"/>
      <w:szCs w:val="20"/>
      <w:lang w:val="en-GB"/>
    </w:rPr>
  </w:style>
  <w:style w:type="paragraph" w:customStyle="1" w:styleId="HeadingLevelA">
    <w:name w:val="Heading Level A"/>
    <w:basedOn w:val="Heading1"/>
    <w:next w:val="BodyText"/>
    <w:qFormat/>
    <w:rsid w:val="00335CCE"/>
  </w:style>
  <w:style w:type="paragraph" w:customStyle="1" w:styleId="HeadingLevelB">
    <w:name w:val="Heading Level B"/>
    <w:basedOn w:val="Heading1"/>
    <w:next w:val="BodyText"/>
    <w:qFormat/>
    <w:rsid w:val="00335CCE"/>
    <w:rPr>
      <w:i/>
      <w:sz w:val="24"/>
    </w:rPr>
  </w:style>
  <w:style w:type="character" w:customStyle="1" w:styleId="CharChar">
    <w:name w:val="Char Char"/>
    <w:basedOn w:val="DefaultParagraphFont"/>
    <w:rsid w:val="00335CCE"/>
    <w:rPr>
      <w:lang w:val="en-GB" w:eastAsia="en-US" w:bidi="ar-SA"/>
    </w:rPr>
  </w:style>
  <w:style w:type="character" w:customStyle="1" w:styleId="CharChar1">
    <w:name w:val="Char Char1"/>
    <w:basedOn w:val="DefaultParagraphFont"/>
    <w:rsid w:val="00335CCE"/>
    <w:rPr>
      <w:lang w:val="en-GB" w:eastAsia="en-US" w:bidi="ar-SA"/>
    </w:rPr>
  </w:style>
  <w:style w:type="character" w:customStyle="1" w:styleId="CharChar3">
    <w:name w:val="Char Char3"/>
    <w:basedOn w:val="DefaultParagraphFont"/>
    <w:semiHidden/>
    <w:rsid w:val="00335CCE"/>
    <w:rPr>
      <w:sz w:val="20"/>
      <w:szCs w:val="20"/>
    </w:rPr>
  </w:style>
  <w:style w:type="character" w:customStyle="1" w:styleId="EquationCaption">
    <w:name w:val="_Equation Caption"/>
    <w:rsid w:val="00335CCE"/>
  </w:style>
  <w:style w:type="paragraph" w:customStyle="1" w:styleId="aff">
    <w:name w:val="aff"/>
    <w:basedOn w:val="Normal"/>
    <w:rsid w:val="00335CCE"/>
    <w:pPr>
      <w:spacing w:before="100" w:beforeAutospacing="1" w:after="100" w:afterAutospacing="1"/>
    </w:pPr>
  </w:style>
  <w:style w:type="paragraph" w:customStyle="1" w:styleId="authlist">
    <w:name w:val="auth_list"/>
    <w:basedOn w:val="Normal"/>
    <w:rsid w:val="00335CCE"/>
    <w:pPr>
      <w:spacing w:before="100" w:beforeAutospacing="1" w:after="100" w:afterAutospacing="1"/>
    </w:pPr>
  </w:style>
  <w:style w:type="character" w:customStyle="1" w:styleId="BalloonTextChar1">
    <w:name w:val="Balloon Text Char1"/>
    <w:basedOn w:val="DefaultParagraphFont"/>
    <w:link w:val="BalloonText"/>
    <w:rsid w:val="00335CCE"/>
    <w:rPr>
      <w:rFonts w:ascii="Lucida Grande" w:hAnsi="Lucida Grande"/>
      <w:sz w:val="18"/>
      <w:szCs w:val="18"/>
    </w:rPr>
  </w:style>
  <w:style w:type="character" w:customStyle="1" w:styleId="BalloonTextChar2">
    <w:name w:val="Balloon Text Char"/>
    <w:basedOn w:val="DefaultParagraphFont"/>
    <w:uiPriority w:val="99"/>
    <w:rsid w:val="000F2EB4"/>
    <w:rPr>
      <w:rFonts w:ascii="Lucida Grande" w:hAnsi="Lucida Grande"/>
      <w:sz w:val="18"/>
      <w:szCs w:val="18"/>
    </w:rPr>
  </w:style>
  <w:style w:type="paragraph" w:styleId="FootnoteText">
    <w:name w:val="footnote text"/>
    <w:aliases w:val="ft,Footnote Text Char2,Footnote Text Char Char2,Footnote Text Char Char Char Char Char Char Char,Footnote Text Char Char1 Char,Footnote Text Char Char Char Char Char Char,Footnote Text Char Char1,Geneva 9,Font: Geneva 9,Boston 10,f,fn"/>
    <w:basedOn w:val="Normal"/>
    <w:link w:val="FootnoteTextChar"/>
    <w:uiPriority w:val="99"/>
    <w:rsid w:val="000F2EB4"/>
    <w:pPr>
      <w:spacing w:before="120" w:after="120"/>
    </w:pPr>
    <w:rPr>
      <w:sz w:val="20"/>
      <w:lang w:val="en-GB"/>
    </w:rPr>
  </w:style>
  <w:style w:type="character" w:customStyle="1" w:styleId="FootnoteTextChar">
    <w:name w:val="Footnote Text Char"/>
    <w:aliases w:val="ft Char,Footnote Text Char2 Char,Footnote Text Char Char2 Char,Footnote Text Char Char Char Char Char Char Char Char,Footnote Text Char Char1 Char Char,Footnote Text Char Char Char Char Char Char Char1,Footnote Text Char Char1 Char1"/>
    <w:basedOn w:val="DefaultParagraphFont"/>
    <w:link w:val="FootnoteText"/>
    <w:uiPriority w:val="99"/>
    <w:rsid w:val="00335CCE"/>
    <w:rPr>
      <w:rFonts w:ascii="Times New Roman" w:hAnsi="Times New Roman" w:cs="Times New Roman"/>
      <w:sz w:val="20"/>
      <w:lang w:val="en-GB"/>
    </w:rPr>
  </w:style>
  <w:style w:type="paragraph" w:styleId="Bibliography">
    <w:name w:val="Bibliography"/>
    <w:basedOn w:val="Normal"/>
    <w:next w:val="Normal"/>
    <w:uiPriority w:val="37"/>
    <w:unhideWhenUsed/>
    <w:rsid w:val="000F2EB4"/>
    <w:pPr>
      <w:ind w:left="720" w:hanging="720"/>
    </w:pPr>
  </w:style>
  <w:style w:type="paragraph" w:styleId="BodyText2">
    <w:name w:val="Body Text 2"/>
    <w:basedOn w:val="Normal"/>
    <w:link w:val="BodyText2Char"/>
    <w:rsid w:val="000F2EB4"/>
    <w:rPr>
      <w:b/>
      <w:bCs/>
    </w:rPr>
  </w:style>
  <w:style w:type="character" w:customStyle="1" w:styleId="BodyText2Char">
    <w:name w:val="Body Text 2 Char"/>
    <w:basedOn w:val="DefaultParagraphFont"/>
    <w:link w:val="BodyText2"/>
    <w:rsid w:val="00335CCE"/>
    <w:rPr>
      <w:rFonts w:ascii="Times New Roman" w:hAnsi="Times New Roman" w:cs="Times New Roman"/>
      <w:b/>
      <w:bCs/>
    </w:rPr>
  </w:style>
  <w:style w:type="paragraph" w:styleId="BodyText3">
    <w:name w:val="Body Text 3"/>
    <w:basedOn w:val="Normal"/>
    <w:link w:val="BodyText3Char"/>
    <w:rsid w:val="000F2EB4"/>
    <w:pPr>
      <w:jc w:val="both"/>
    </w:pPr>
  </w:style>
  <w:style w:type="character" w:customStyle="1" w:styleId="BodyText3Char">
    <w:name w:val="Body Text 3 Char"/>
    <w:basedOn w:val="DefaultParagraphFont"/>
    <w:link w:val="BodyText3"/>
    <w:rsid w:val="00335CCE"/>
    <w:rPr>
      <w:rFonts w:ascii="Times New Roman" w:hAnsi="Times New Roman" w:cs="Times New Roman"/>
    </w:rPr>
  </w:style>
  <w:style w:type="paragraph" w:styleId="BodyTextIndent">
    <w:name w:val="Body Text Indent"/>
    <w:basedOn w:val="Normal"/>
    <w:link w:val="BodyTextIndentChar"/>
    <w:rsid w:val="000F2EB4"/>
    <w:pPr>
      <w:ind w:left="1080"/>
    </w:pPr>
    <w:rPr>
      <w:rFonts w:ascii="Courier New" w:hAnsi="Courier New"/>
      <w:bCs/>
    </w:rPr>
  </w:style>
  <w:style w:type="character" w:customStyle="1" w:styleId="BodyTextIndentChar">
    <w:name w:val="Body Text Indent Char"/>
    <w:basedOn w:val="DefaultParagraphFont"/>
    <w:link w:val="BodyTextIndent"/>
    <w:rsid w:val="00335CCE"/>
    <w:rPr>
      <w:rFonts w:ascii="Courier New" w:hAnsi="Courier New" w:cs="Times New Roman"/>
      <w:bCs/>
    </w:rPr>
  </w:style>
  <w:style w:type="paragraph" w:styleId="BodyTextIndent2">
    <w:name w:val="Body Text Indent 2"/>
    <w:basedOn w:val="Normal"/>
    <w:link w:val="BodyTextIndent2Char"/>
    <w:rsid w:val="000F2EB4"/>
    <w:pPr>
      <w:ind w:left="720"/>
    </w:pPr>
  </w:style>
  <w:style w:type="character" w:customStyle="1" w:styleId="BodyTextIndent2Char">
    <w:name w:val="Body Text Indent 2 Char"/>
    <w:basedOn w:val="DefaultParagraphFont"/>
    <w:link w:val="BodyTextIndent2"/>
    <w:rsid w:val="00335CCE"/>
    <w:rPr>
      <w:rFonts w:ascii="Times New Roman" w:hAnsi="Times New Roman" w:cs="Times New Roman"/>
    </w:rPr>
  </w:style>
  <w:style w:type="paragraph" w:styleId="BodyTextIndent3">
    <w:name w:val="Body Text Indent 3"/>
    <w:basedOn w:val="Normal"/>
    <w:link w:val="BodyTextIndent3Char"/>
    <w:rsid w:val="000F2EB4"/>
    <w:pPr>
      <w:ind w:left="720"/>
    </w:pPr>
  </w:style>
  <w:style w:type="character" w:customStyle="1" w:styleId="BodyTextIndent3Char">
    <w:name w:val="Body Text Indent 3 Char"/>
    <w:basedOn w:val="DefaultParagraphFont"/>
    <w:link w:val="BodyTextIndent3"/>
    <w:rsid w:val="00335CCE"/>
    <w:rPr>
      <w:rFonts w:ascii="Times New Roman" w:hAnsi="Times New Roman" w:cs="Times New Roman"/>
    </w:rPr>
  </w:style>
  <w:style w:type="paragraph" w:customStyle="1" w:styleId="bull0">
    <w:name w:val="bull0"/>
    <w:basedOn w:val="Normal"/>
    <w:rsid w:val="000F2EB4"/>
    <w:pPr>
      <w:widowControl w:val="0"/>
      <w:numPr>
        <w:numId w:val="1"/>
      </w:numPr>
      <w:overflowPunct w:val="0"/>
      <w:autoSpaceDE w:val="0"/>
      <w:autoSpaceDN w:val="0"/>
      <w:adjustRightInd w:val="0"/>
      <w:spacing w:before="60" w:after="60"/>
      <w:textAlignment w:val="baseline"/>
    </w:pPr>
    <w:rPr>
      <w:sz w:val="20"/>
      <w:lang w:val="en-GB"/>
    </w:rPr>
  </w:style>
  <w:style w:type="paragraph" w:customStyle="1" w:styleId="bulletedlist">
    <w:name w:val="bulleted list"/>
    <w:basedOn w:val="Normal"/>
    <w:rsid w:val="000F2EB4"/>
    <w:pPr>
      <w:numPr>
        <w:numId w:val="2"/>
      </w:numPr>
    </w:pPr>
  </w:style>
  <w:style w:type="paragraph" w:customStyle="1" w:styleId="Bullets">
    <w:name w:val="Bullets"/>
    <w:basedOn w:val="Normal"/>
    <w:rsid w:val="000F2EB4"/>
    <w:pPr>
      <w:spacing w:before="120" w:after="120"/>
      <w:ind w:left="360" w:hanging="303"/>
      <w:jc w:val="both"/>
    </w:pPr>
    <w:rPr>
      <w:snapToGrid w:val="0"/>
      <w:sz w:val="22"/>
      <w:lang w:val="en-GB"/>
    </w:rPr>
  </w:style>
  <w:style w:type="paragraph" w:customStyle="1" w:styleId="Bulletnarrow">
    <w:name w:val="Bulletnarrow"/>
    <w:basedOn w:val="Bullets"/>
    <w:rsid w:val="000F2EB4"/>
    <w:pPr>
      <w:numPr>
        <w:numId w:val="3"/>
      </w:numPr>
      <w:spacing w:before="0" w:after="0"/>
    </w:pPr>
  </w:style>
  <w:style w:type="paragraph" w:customStyle="1" w:styleId="Centred">
    <w:name w:val="Centred"/>
    <w:basedOn w:val="Normal"/>
    <w:rsid w:val="000F2EB4"/>
    <w:pPr>
      <w:overflowPunct w:val="0"/>
      <w:autoSpaceDE w:val="0"/>
      <w:autoSpaceDN w:val="0"/>
      <w:adjustRightInd w:val="0"/>
      <w:spacing w:before="120" w:after="240"/>
      <w:ind w:firstLine="607"/>
      <w:jc w:val="center"/>
      <w:textAlignment w:val="baseline"/>
    </w:pPr>
    <w:rPr>
      <w:sz w:val="20"/>
      <w:lang w:val="en-GB"/>
    </w:rPr>
  </w:style>
  <w:style w:type="paragraph" w:customStyle="1" w:styleId="citation">
    <w:name w:val="citation"/>
    <w:basedOn w:val="Normal"/>
    <w:rsid w:val="00335CCE"/>
    <w:pPr>
      <w:spacing w:before="100" w:beforeAutospacing="1" w:after="100" w:afterAutospacing="1"/>
    </w:pPr>
  </w:style>
  <w:style w:type="character" w:customStyle="1" w:styleId="citation-abbreviation">
    <w:name w:val="citation-abbreviation"/>
    <w:basedOn w:val="DefaultParagraphFont"/>
    <w:rsid w:val="00335CCE"/>
  </w:style>
  <w:style w:type="character" w:customStyle="1" w:styleId="citation-flpages">
    <w:name w:val="citation-flpages"/>
    <w:basedOn w:val="DefaultParagraphFont"/>
    <w:rsid w:val="00335CCE"/>
  </w:style>
  <w:style w:type="character" w:customStyle="1" w:styleId="citation-issue">
    <w:name w:val="citation-issue"/>
    <w:basedOn w:val="DefaultParagraphFont"/>
    <w:rsid w:val="00335CCE"/>
  </w:style>
  <w:style w:type="character" w:customStyle="1" w:styleId="citation-publication-date">
    <w:name w:val="citation-publication-date"/>
    <w:basedOn w:val="DefaultParagraphFont"/>
    <w:rsid w:val="00335CCE"/>
  </w:style>
  <w:style w:type="character" w:customStyle="1" w:styleId="citation-volume">
    <w:name w:val="citation-volume"/>
    <w:basedOn w:val="DefaultParagraphFont"/>
    <w:rsid w:val="00335CCE"/>
  </w:style>
  <w:style w:type="table" w:styleId="ColorfulGrid-Accent1">
    <w:name w:val="Colorful Grid Accent 1"/>
    <w:basedOn w:val="TableNormal"/>
    <w:rsid w:val="00335CCE"/>
    <w:rPr>
      <w:rFonts w:ascii="Times New Roman" w:hAnsi="Times New Roman" w:cs="Times New Roman"/>
      <w:iCs/>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ColorfulList-Accent11">
    <w:name w:val="Colorful List - Accent 11"/>
    <w:basedOn w:val="Normal"/>
    <w:qFormat/>
    <w:rsid w:val="000F2EB4"/>
    <w:pPr>
      <w:ind w:left="720"/>
    </w:pPr>
  </w:style>
  <w:style w:type="character" w:styleId="CommentReference">
    <w:name w:val="annotation reference"/>
    <w:basedOn w:val="DefaultParagraphFont"/>
    <w:uiPriority w:val="99"/>
    <w:rsid w:val="000F2EB4"/>
    <w:rPr>
      <w:sz w:val="16"/>
    </w:rPr>
  </w:style>
  <w:style w:type="paragraph" w:styleId="CommentText">
    <w:name w:val="annotation text"/>
    <w:basedOn w:val="Normal"/>
    <w:link w:val="CommentTextChar"/>
    <w:uiPriority w:val="99"/>
    <w:rsid w:val="000F2EB4"/>
    <w:rPr>
      <w:sz w:val="20"/>
    </w:rPr>
  </w:style>
  <w:style w:type="character" w:customStyle="1" w:styleId="CommentTextChar">
    <w:name w:val="Comment Text Char"/>
    <w:basedOn w:val="DefaultParagraphFont"/>
    <w:link w:val="CommentText"/>
    <w:uiPriority w:val="99"/>
    <w:rsid w:val="00335CCE"/>
    <w:rPr>
      <w:rFonts w:ascii="Times New Roman" w:hAnsi="Times New Roman" w:cs="Times New Roman"/>
      <w:sz w:val="20"/>
    </w:rPr>
  </w:style>
  <w:style w:type="paragraph" w:styleId="CommentSubject">
    <w:name w:val="annotation subject"/>
    <w:basedOn w:val="CommentText"/>
    <w:next w:val="CommentText"/>
    <w:link w:val="CommentSubjectChar"/>
    <w:rsid w:val="000F2EB4"/>
    <w:rPr>
      <w:b/>
      <w:bCs/>
    </w:rPr>
  </w:style>
  <w:style w:type="character" w:customStyle="1" w:styleId="CommentSubjectChar">
    <w:name w:val="Comment Subject Char"/>
    <w:basedOn w:val="CommentTextChar"/>
    <w:link w:val="CommentSubject"/>
    <w:rsid w:val="00335CCE"/>
    <w:rPr>
      <w:b/>
      <w:bCs/>
    </w:rPr>
  </w:style>
  <w:style w:type="paragraph" w:customStyle="1" w:styleId="Default">
    <w:name w:val="Default"/>
    <w:rsid w:val="00335CCE"/>
    <w:pPr>
      <w:widowControl w:val="0"/>
      <w:autoSpaceDE w:val="0"/>
      <w:autoSpaceDN w:val="0"/>
      <w:adjustRightInd w:val="0"/>
    </w:pPr>
    <w:rPr>
      <w:rFonts w:ascii="Times New Roman" w:hAnsi="Times New Roman" w:cs="Times New Roman"/>
      <w:color w:val="000000"/>
    </w:rPr>
  </w:style>
  <w:style w:type="paragraph" w:styleId="DocumentMap">
    <w:name w:val="Document Map"/>
    <w:basedOn w:val="Normal"/>
    <w:link w:val="DocumentMapChar"/>
    <w:rsid w:val="00335CCE"/>
    <w:pPr>
      <w:shd w:val="clear" w:color="auto" w:fill="000080"/>
    </w:pPr>
    <w:rPr>
      <w:rFonts w:ascii="Tahoma" w:hAnsi="Tahoma" w:cs="Tahoma"/>
    </w:rPr>
  </w:style>
  <w:style w:type="character" w:customStyle="1" w:styleId="DocumentMapChar">
    <w:name w:val="Document Map Char"/>
    <w:basedOn w:val="DefaultParagraphFont"/>
    <w:link w:val="DocumentMap"/>
    <w:rsid w:val="00335CCE"/>
    <w:rPr>
      <w:rFonts w:ascii="Tahoma" w:eastAsia="Times New Roman" w:hAnsi="Tahoma" w:cs="Tahoma"/>
      <w:szCs w:val="20"/>
      <w:shd w:val="clear" w:color="auto" w:fill="000080"/>
      <w:lang w:val="en-GB"/>
    </w:rPr>
  </w:style>
  <w:style w:type="character" w:styleId="Emphasis">
    <w:name w:val="Emphasis"/>
    <w:basedOn w:val="DefaultParagraphFont"/>
    <w:uiPriority w:val="20"/>
    <w:qFormat/>
    <w:rsid w:val="000F2EB4"/>
    <w:rPr>
      <w:i/>
      <w:iCs/>
    </w:rPr>
  </w:style>
  <w:style w:type="character" w:styleId="EndnoteReference">
    <w:name w:val="endnote reference"/>
    <w:basedOn w:val="DefaultParagraphFont"/>
    <w:rsid w:val="000F2EB4"/>
    <w:rPr>
      <w:vertAlign w:val="superscript"/>
    </w:rPr>
  </w:style>
  <w:style w:type="paragraph" w:styleId="EndnoteText">
    <w:name w:val="endnote text"/>
    <w:basedOn w:val="Normal"/>
    <w:link w:val="EndnoteTextChar"/>
    <w:rsid w:val="000F2EB4"/>
    <w:rPr>
      <w:sz w:val="20"/>
    </w:rPr>
  </w:style>
  <w:style w:type="character" w:customStyle="1" w:styleId="EndnoteTextChar">
    <w:name w:val="Endnote Text Char"/>
    <w:basedOn w:val="DefaultParagraphFont"/>
    <w:link w:val="EndnoteText"/>
    <w:rsid w:val="00335CCE"/>
    <w:rPr>
      <w:rFonts w:ascii="Times New Roman" w:hAnsi="Times New Roman" w:cs="Times New Roman"/>
      <w:sz w:val="20"/>
    </w:rPr>
  </w:style>
  <w:style w:type="character" w:styleId="FollowedHyperlink">
    <w:name w:val="FollowedHyperlink"/>
    <w:basedOn w:val="DefaultParagraphFont"/>
    <w:rsid w:val="000F2EB4"/>
    <w:rPr>
      <w:color w:val="800080"/>
      <w:u w:val="single"/>
    </w:rPr>
  </w:style>
  <w:style w:type="paragraph" w:styleId="Footer">
    <w:name w:val="footer"/>
    <w:basedOn w:val="Normal"/>
    <w:link w:val="FooterChar"/>
    <w:uiPriority w:val="99"/>
    <w:rsid w:val="000F2EB4"/>
    <w:pPr>
      <w:tabs>
        <w:tab w:val="center" w:pos="4320"/>
        <w:tab w:val="right" w:pos="8640"/>
      </w:tabs>
    </w:pPr>
    <w:rPr>
      <w:lang w:val="en-GB"/>
    </w:rPr>
  </w:style>
  <w:style w:type="character" w:customStyle="1" w:styleId="FooterChar">
    <w:name w:val="Footer Char"/>
    <w:basedOn w:val="DefaultParagraphFont"/>
    <w:link w:val="Footer"/>
    <w:uiPriority w:val="99"/>
    <w:rsid w:val="00335CCE"/>
    <w:rPr>
      <w:rFonts w:ascii="Times New Roman" w:hAnsi="Times New Roman" w:cs="Times New Roman"/>
      <w:lang w:val="en-GB"/>
    </w:rPr>
  </w:style>
  <w:style w:type="character" w:styleId="FootnoteReference">
    <w:name w:val="footnote reference"/>
    <w:aliases w:val="fr,ftref,16 Point,Superscript 6 Point"/>
    <w:basedOn w:val="DefaultParagraphFont"/>
    <w:uiPriority w:val="99"/>
    <w:rsid w:val="000F2EB4"/>
    <w:rPr>
      <w:vertAlign w:val="superscript"/>
    </w:rPr>
  </w:style>
  <w:style w:type="character" w:customStyle="1" w:styleId="FootnoteTextCharCharChar">
    <w:name w:val="Footnote Text Char Char Char"/>
    <w:basedOn w:val="DefaultParagraphFont"/>
    <w:rsid w:val="00335CCE"/>
    <w:rPr>
      <w:lang w:val="en-GB" w:eastAsia="en-US" w:bidi="ar-SA"/>
    </w:rPr>
  </w:style>
  <w:style w:type="character" w:customStyle="1" w:styleId="FootnoteTextChar1">
    <w:name w:val="Footnote Text Char1"/>
    <w:aliases w:val="Footnote Text Char Char,ft Char1,Footnote Text Char2 Char1,Footnote Text Char Char2 Char1,Footnote Text Char Char Char Char Char Char Char Char1,Footnote Text Char Char1 Char Char1,Footnote Text Char Char Char Char Char Char Char2"/>
    <w:basedOn w:val="DefaultParagraphFont"/>
    <w:uiPriority w:val="99"/>
    <w:rsid w:val="000F2EB4"/>
    <w:rPr>
      <w:lang w:val="en-GB"/>
    </w:rPr>
  </w:style>
  <w:style w:type="paragraph" w:styleId="Header">
    <w:name w:val="header"/>
    <w:basedOn w:val="Normal"/>
    <w:link w:val="HeaderChar"/>
    <w:uiPriority w:val="99"/>
    <w:rsid w:val="000F2EB4"/>
    <w:pPr>
      <w:tabs>
        <w:tab w:val="center" w:pos="4320"/>
        <w:tab w:val="right" w:pos="8640"/>
      </w:tabs>
    </w:pPr>
    <w:rPr>
      <w:lang w:val="en-GB"/>
    </w:rPr>
  </w:style>
  <w:style w:type="character" w:customStyle="1" w:styleId="HeaderChar">
    <w:name w:val="Header Char"/>
    <w:basedOn w:val="DefaultParagraphFont"/>
    <w:link w:val="Header"/>
    <w:uiPriority w:val="99"/>
    <w:rsid w:val="00335CCE"/>
    <w:rPr>
      <w:rFonts w:ascii="Times New Roman" w:hAnsi="Times New Roman" w:cs="Times New Roman"/>
      <w:lang w:val="en-GB"/>
    </w:rPr>
  </w:style>
  <w:style w:type="character" w:customStyle="1" w:styleId="hit">
    <w:name w:val="hit"/>
    <w:basedOn w:val="DefaultParagraphFont"/>
    <w:rsid w:val="00335CCE"/>
  </w:style>
  <w:style w:type="paragraph" w:customStyle="1" w:styleId="HTMLBody">
    <w:name w:val="HTML Body"/>
    <w:rsid w:val="000F2EB4"/>
    <w:rPr>
      <w:rFonts w:ascii="Times New Roman" w:hAnsi="Times New Roman" w:cs="Times New Roman"/>
      <w:snapToGrid w:val="0"/>
      <w:lang w:val="en-GB"/>
    </w:rPr>
  </w:style>
  <w:style w:type="character" w:styleId="Hyperlink">
    <w:name w:val="Hyperlink"/>
    <w:basedOn w:val="DefaultParagraphFont"/>
    <w:uiPriority w:val="99"/>
    <w:rsid w:val="000F2EB4"/>
    <w:rPr>
      <w:color w:val="0000FF"/>
      <w:u w:val="single"/>
    </w:rPr>
  </w:style>
  <w:style w:type="paragraph" w:customStyle="1" w:styleId="Indent">
    <w:name w:val="Indent"/>
    <w:basedOn w:val="Normal"/>
    <w:rsid w:val="000F2EB4"/>
    <w:pPr>
      <w:ind w:left="720" w:right="720"/>
    </w:pPr>
  </w:style>
  <w:style w:type="paragraph" w:styleId="ListBullet">
    <w:name w:val="List Bullet"/>
    <w:basedOn w:val="Normal"/>
    <w:rsid w:val="000F2EB4"/>
    <w:pPr>
      <w:numPr>
        <w:numId w:val="6"/>
      </w:numPr>
      <w:contextualSpacing/>
    </w:pPr>
  </w:style>
  <w:style w:type="paragraph" w:styleId="ListParagraph">
    <w:name w:val="List Paragraph"/>
    <w:basedOn w:val="Normal"/>
    <w:uiPriority w:val="34"/>
    <w:qFormat/>
    <w:rsid w:val="000F2EB4"/>
    <w:pPr>
      <w:ind w:left="720"/>
      <w:contextualSpacing/>
    </w:pPr>
  </w:style>
  <w:style w:type="character" w:customStyle="1" w:styleId="medium-normal1">
    <w:name w:val="medium-normal1"/>
    <w:basedOn w:val="DefaultParagraphFont"/>
    <w:rsid w:val="00335CCE"/>
    <w:rPr>
      <w:rFonts w:ascii="Arial" w:hAnsi="Arial" w:cs="Arial" w:hint="default"/>
      <w:b w:val="0"/>
      <w:bCs w:val="0"/>
      <w:i w:val="0"/>
      <w:iCs w:val="0"/>
      <w:sz w:val="20"/>
      <w:szCs w:val="20"/>
    </w:rPr>
  </w:style>
  <w:style w:type="paragraph" w:customStyle="1" w:styleId="Noindent">
    <w:name w:val="Noindent"/>
    <w:basedOn w:val="Normal"/>
    <w:autoRedefine/>
    <w:rsid w:val="00335CCE"/>
    <w:pPr>
      <w:tabs>
        <w:tab w:val="left" w:pos="10350"/>
      </w:tabs>
      <w:spacing w:line="480" w:lineRule="atLeast"/>
    </w:pPr>
    <w:rPr>
      <w:rFonts w:ascii="TimesNewRomanPS" w:hAnsi="TimesNewRomanPS"/>
    </w:rPr>
  </w:style>
  <w:style w:type="paragraph" w:styleId="NormalWeb">
    <w:name w:val="Normal (Web)"/>
    <w:basedOn w:val="Normal"/>
    <w:uiPriority w:val="99"/>
    <w:rsid w:val="000F2EB4"/>
    <w:pPr>
      <w:spacing w:before="100" w:beforeAutospacing="1" w:after="100" w:afterAutospacing="1"/>
    </w:pPr>
    <w:rPr>
      <w:color w:val="000080"/>
    </w:rPr>
  </w:style>
  <w:style w:type="character" w:styleId="PageNumber">
    <w:name w:val="page number"/>
    <w:basedOn w:val="DefaultParagraphFont"/>
    <w:rsid w:val="000F2EB4"/>
  </w:style>
  <w:style w:type="paragraph" w:styleId="PlainText">
    <w:name w:val="Plain Text"/>
    <w:basedOn w:val="Normal"/>
    <w:link w:val="PlainTextChar"/>
    <w:uiPriority w:val="99"/>
    <w:unhideWhenUsed/>
    <w:rsid w:val="00335CCE"/>
    <w:rPr>
      <w:rFonts w:ascii="Consolas" w:eastAsia="Calibri" w:hAnsi="Consolas"/>
      <w:sz w:val="21"/>
      <w:szCs w:val="21"/>
    </w:rPr>
  </w:style>
  <w:style w:type="character" w:customStyle="1" w:styleId="PlainTextChar">
    <w:name w:val="Plain Text Char"/>
    <w:basedOn w:val="DefaultParagraphFont"/>
    <w:link w:val="PlainText"/>
    <w:uiPriority w:val="99"/>
    <w:rsid w:val="00335CCE"/>
    <w:rPr>
      <w:rFonts w:ascii="Consolas" w:eastAsia="Calibri" w:hAnsi="Consolas" w:cs="Times New Roman"/>
      <w:sz w:val="21"/>
      <w:szCs w:val="21"/>
    </w:rPr>
  </w:style>
  <w:style w:type="paragraph" w:styleId="Quote">
    <w:name w:val="Quote"/>
    <w:basedOn w:val="Normal"/>
    <w:next w:val="Normal"/>
    <w:link w:val="QuoteChar"/>
    <w:uiPriority w:val="29"/>
    <w:qFormat/>
    <w:rsid w:val="00335CCE"/>
    <w:pPr>
      <w:spacing w:before="200"/>
      <w:ind w:left="360" w:right="360"/>
    </w:pPr>
    <w:rPr>
      <w:iCs/>
      <w:szCs w:val="22"/>
    </w:rPr>
  </w:style>
  <w:style w:type="character" w:customStyle="1" w:styleId="QuoteChar">
    <w:name w:val="Quote Char"/>
    <w:basedOn w:val="DefaultParagraphFont"/>
    <w:link w:val="Quote"/>
    <w:uiPriority w:val="29"/>
    <w:rsid w:val="00335CCE"/>
    <w:rPr>
      <w:rFonts w:ascii="Times New Roman" w:eastAsia="Times New Roman" w:hAnsi="Times New Roman" w:cs="Times New Roman"/>
      <w:iCs/>
      <w:szCs w:val="22"/>
    </w:rPr>
  </w:style>
  <w:style w:type="paragraph" w:customStyle="1" w:styleId="REF">
    <w:name w:val="REF"/>
    <w:basedOn w:val="Normal"/>
    <w:rsid w:val="000F2EB4"/>
    <w:pPr>
      <w:spacing w:before="80"/>
      <w:ind w:left="720" w:right="2160" w:hanging="720"/>
    </w:pPr>
    <w:rPr>
      <w:rFonts w:ascii="TimesNewRomanPS" w:hAnsi="TimesNewRomanPS"/>
      <w:sz w:val="22"/>
      <w:lang w:bidi="he-IL"/>
    </w:rPr>
  </w:style>
  <w:style w:type="character" w:styleId="Strong">
    <w:name w:val="Strong"/>
    <w:basedOn w:val="DefaultParagraphFont"/>
    <w:qFormat/>
    <w:rsid w:val="000F2EB4"/>
    <w:rPr>
      <w:b/>
      <w:bCs/>
    </w:rPr>
  </w:style>
  <w:style w:type="paragraph" w:customStyle="1" w:styleId="Style1">
    <w:name w:val="Style1"/>
    <w:basedOn w:val="Normal"/>
    <w:rsid w:val="000F2EB4"/>
    <w:pPr>
      <w:overflowPunct w:val="0"/>
      <w:autoSpaceDE w:val="0"/>
      <w:autoSpaceDN w:val="0"/>
      <w:adjustRightInd w:val="0"/>
      <w:spacing w:before="120" w:after="120"/>
      <w:textAlignment w:val="baseline"/>
    </w:pPr>
    <w:rPr>
      <w:sz w:val="20"/>
    </w:rPr>
  </w:style>
  <w:style w:type="paragraph" w:customStyle="1" w:styleId="Style2">
    <w:name w:val="Style2"/>
    <w:basedOn w:val="Heading2"/>
    <w:rsid w:val="00335CCE"/>
    <w:pPr>
      <w:numPr>
        <w:ilvl w:val="0"/>
        <w:numId w:val="0"/>
      </w:numPr>
    </w:pPr>
    <w:rPr>
      <w:sz w:val="24"/>
    </w:rPr>
  </w:style>
  <w:style w:type="paragraph" w:customStyle="1" w:styleId="Subhead3">
    <w:name w:val="Subhead 3"/>
    <w:basedOn w:val="Heading4"/>
    <w:qFormat/>
    <w:rsid w:val="00335CCE"/>
    <w:pPr>
      <w:keepLines/>
      <w:tabs>
        <w:tab w:val="clear" w:pos="360"/>
      </w:tabs>
      <w:overflowPunct/>
      <w:autoSpaceDE/>
      <w:autoSpaceDN/>
      <w:adjustRightInd/>
      <w:spacing w:before="200" w:after="0"/>
      <w:ind w:left="0" w:firstLine="0"/>
      <w:textAlignment w:val="auto"/>
    </w:pPr>
    <w:rPr>
      <w:b/>
      <w:bCs/>
      <w:iCs/>
      <w:noProof w:val="0"/>
      <w:szCs w:val="22"/>
      <w:lang w:val="en-US"/>
    </w:rPr>
  </w:style>
  <w:style w:type="paragraph" w:customStyle="1" w:styleId="subhead2">
    <w:name w:val="subhead2"/>
    <w:basedOn w:val="Normal"/>
    <w:qFormat/>
    <w:rsid w:val="00335CCE"/>
    <w:pPr>
      <w:spacing w:after="200" w:line="276" w:lineRule="auto"/>
    </w:pPr>
    <w:rPr>
      <w:sz w:val="22"/>
      <w:u w:val="single"/>
      <w:lang w:bidi="en-US"/>
    </w:rPr>
  </w:style>
  <w:style w:type="paragraph" w:customStyle="1" w:styleId="subheading1">
    <w:name w:val="subheading1"/>
    <w:basedOn w:val="Heading1"/>
    <w:qFormat/>
    <w:rsid w:val="00335CCE"/>
    <w:pPr>
      <w:keepLines/>
      <w:pageBreakBefore w:val="0"/>
      <w:numPr>
        <w:numId w:val="0"/>
      </w:numPr>
      <w:spacing w:before="480" w:after="0" w:line="276" w:lineRule="auto"/>
      <w:jc w:val="left"/>
    </w:pPr>
    <w:rPr>
      <w:bCs/>
      <w:color w:val="000000"/>
      <w:sz w:val="22"/>
      <w:szCs w:val="22"/>
      <w:lang w:val="en-US" w:bidi="en-US"/>
    </w:rPr>
  </w:style>
  <w:style w:type="paragraph" w:customStyle="1" w:styleId="SubTitle1">
    <w:name w:val="SubTitle 1"/>
    <w:basedOn w:val="Normal"/>
    <w:next w:val="Normal"/>
    <w:rsid w:val="000F2EB4"/>
    <w:pPr>
      <w:autoSpaceDE w:val="0"/>
      <w:autoSpaceDN w:val="0"/>
      <w:spacing w:after="240"/>
      <w:jc w:val="center"/>
    </w:pPr>
    <w:rPr>
      <w:rFonts w:ascii="Arial" w:hAnsi="Arial" w:cs="Arial"/>
      <w:b/>
      <w:bCs/>
      <w:sz w:val="40"/>
      <w:szCs w:val="40"/>
      <w:lang w:val="en-GB"/>
    </w:rPr>
  </w:style>
  <w:style w:type="table" w:styleId="TableGrid">
    <w:name w:val="Table Grid"/>
    <w:basedOn w:val="TableNormal"/>
    <w:rsid w:val="000F2EB4"/>
    <w:rPr>
      <w:rFonts w:ascii="Times New Roman" w:hAnsi="Times New Roman"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xt">
    <w:name w:val="text"/>
    <w:basedOn w:val="Normal"/>
    <w:rsid w:val="000F2EB4"/>
    <w:pPr>
      <w:spacing w:line="480" w:lineRule="atLeast"/>
      <w:ind w:left="720" w:right="720" w:firstLine="720"/>
    </w:pPr>
  </w:style>
  <w:style w:type="paragraph" w:styleId="Title">
    <w:name w:val="Title"/>
    <w:basedOn w:val="Normal"/>
    <w:link w:val="TitleChar"/>
    <w:qFormat/>
    <w:rsid w:val="000F2EB4"/>
    <w:pPr>
      <w:spacing w:before="120" w:after="120"/>
      <w:jc w:val="center"/>
    </w:pPr>
    <w:rPr>
      <w:b/>
      <w:sz w:val="28"/>
    </w:rPr>
  </w:style>
  <w:style w:type="character" w:customStyle="1" w:styleId="TitleChar">
    <w:name w:val="Title Char"/>
    <w:basedOn w:val="DefaultParagraphFont"/>
    <w:link w:val="Title"/>
    <w:rsid w:val="00335CCE"/>
    <w:rPr>
      <w:rFonts w:ascii="Times New Roman" w:hAnsi="Times New Roman" w:cs="Times New Roman"/>
      <w:b/>
      <w:sz w:val="28"/>
    </w:rPr>
  </w:style>
  <w:style w:type="paragraph" w:customStyle="1" w:styleId="toa">
    <w:name w:val="toa"/>
    <w:basedOn w:val="Normal"/>
    <w:rsid w:val="000F2EB4"/>
    <w:pPr>
      <w:tabs>
        <w:tab w:val="left" w:pos="9000"/>
        <w:tab w:val="right" w:pos="9360"/>
      </w:tabs>
      <w:suppressAutoHyphens/>
      <w:spacing w:before="80"/>
      <w:ind w:left="115" w:right="130"/>
    </w:pPr>
    <w:rPr>
      <w:rFonts w:ascii="Courier New" w:hAnsi="Courier New"/>
      <w:sz w:val="16"/>
      <w:lang w:bidi="he-IL"/>
    </w:rPr>
  </w:style>
  <w:style w:type="paragraph" w:styleId="TOC1">
    <w:name w:val="toc 1"/>
    <w:basedOn w:val="Normal"/>
    <w:next w:val="Normal"/>
    <w:autoRedefine/>
    <w:uiPriority w:val="39"/>
    <w:rsid w:val="000F2EB4"/>
  </w:style>
  <w:style w:type="paragraph" w:styleId="TOC2">
    <w:name w:val="toc 2"/>
    <w:basedOn w:val="Normal"/>
    <w:next w:val="Normal"/>
    <w:autoRedefine/>
    <w:uiPriority w:val="39"/>
    <w:rsid w:val="000F2EB4"/>
    <w:pPr>
      <w:ind w:left="240"/>
    </w:pPr>
  </w:style>
  <w:style w:type="paragraph" w:styleId="TOC3">
    <w:name w:val="toc 3"/>
    <w:basedOn w:val="Normal"/>
    <w:next w:val="Normal"/>
    <w:autoRedefine/>
    <w:uiPriority w:val="39"/>
    <w:rsid w:val="000F2EB4"/>
    <w:pPr>
      <w:ind w:left="480"/>
    </w:pPr>
  </w:style>
  <w:style w:type="paragraph" w:styleId="TOC4">
    <w:name w:val="toc 4"/>
    <w:basedOn w:val="Normal"/>
    <w:next w:val="Normal"/>
    <w:autoRedefine/>
    <w:uiPriority w:val="39"/>
    <w:rsid w:val="000F2EB4"/>
    <w:pPr>
      <w:ind w:left="720"/>
    </w:pPr>
  </w:style>
  <w:style w:type="paragraph" w:styleId="TOC5">
    <w:name w:val="toc 5"/>
    <w:basedOn w:val="Normal"/>
    <w:next w:val="Normal"/>
    <w:autoRedefine/>
    <w:uiPriority w:val="39"/>
    <w:rsid w:val="000F2EB4"/>
    <w:pPr>
      <w:ind w:left="960"/>
    </w:pPr>
  </w:style>
  <w:style w:type="paragraph" w:styleId="TOC6">
    <w:name w:val="toc 6"/>
    <w:basedOn w:val="Normal"/>
    <w:next w:val="Normal"/>
    <w:autoRedefine/>
    <w:uiPriority w:val="39"/>
    <w:rsid w:val="000F2EB4"/>
    <w:pPr>
      <w:ind w:left="1200"/>
    </w:pPr>
  </w:style>
  <w:style w:type="paragraph" w:styleId="TOC7">
    <w:name w:val="toc 7"/>
    <w:basedOn w:val="Normal"/>
    <w:next w:val="Normal"/>
    <w:autoRedefine/>
    <w:uiPriority w:val="39"/>
    <w:rsid w:val="000F2EB4"/>
    <w:pPr>
      <w:ind w:left="1440"/>
    </w:pPr>
  </w:style>
  <w:style w:type="paragraph" w:styleId="TOC8">
    <w:name w:val="toc 8"/>
    <w:basedOn w:val="Normal"/>
    <w:next w:val="Normal"/>
    <w:autoRedefine/>
    <w:uiPriority w:val="39"/>
    <w:rsid w:val="000F2EB4"/>
    <w:pPr>
      <w:ind w:left="1680"/>
    </w:pPr>
  </w:style>
  <w:style w:type="paragraph" w:styleId="TOC9">
    <w:name w:val="toc 9"/>
    <w:basedOn w:val="Normal"/>
    <w:next w:val="Normal"/>
    <w:autoRedefine/>
    <w:uiPriority w:val="39"/>
    <w:rsid w:val="000F2EB4"/>
    <w:pPr>
      <w:ind w:left="1920"/>
    </w:pPr>
  </w:style>
  <w:style w:type="paragraph" w:styleId="TOCHeading">
    <w:name w:val="TOC Heading"/>
    <w:basedOn w:val="Heading1"/>
    <w:next w:val="Normal"/>
    <w:uiPriority w:val="39"/>
    <w:unhideWhenUsed/>
    <w:qFormat/>
    <w:rsid w:val="00335CCE"/>
    <w:pPr>
      <w:keepLines/>
      <w:pageBreakBefore w:val="0"/>
      <w:numPr>
        <w:numId w:val="0"/>
      </w:numPr>
      <w:spacing w:before="480" w:after="0" w:line="276" w:lineRule="auto"/>
      <w:jc w:val="left"/>
      <w:outlineLvl w:val="9"/>
    </w:pPr>
    <w:rPr>
      <w:rFonts w:ascii="Cambria" w:hAnsi="Cambria"/>
      <w:bCs/>
      <w:color w:val="365F91"/>
      <w:szCs w:val="28"/>
      <w:lang w:val="en-US"/>
    </w:rPr>
  </w:style>
  <w:style w:type="paragraph" w:customStyle="1" w:styleId="xl24">
    <w:name w:val="xl24"/>
    <w:basedOn w:val="Normal"/>
    <w:rsid w:val="000F2EB4"/>
    <w:pPr>
      <w:spacing w:before="100" w:beforeAutospacing="1" w:after="100" w:afterAutospacing="1"/>
    </w:pPr>
    <w:rPr>
      <w:rFonts w:ascii="Arial" w:hAnsi="Arial" w:cs="Arial"/>
      <w:b/>
      <w:bCs/>
    </w:rPr>
  </w:style>
  <w:style w:type="character" w:customStyle="1" w:styleId="z3988">
    <w:name w:val="z3988"/>
    <w:basedOn w:val="DefaultParagraphFont"/>
    <w:rsid w:val="000F2EB4"/>
  </w:style>
  <w:style w:type="character" w:customStyle="1" w:styleId="apple-converted-space">
    <w:name w:val="apple-converted-space"/>
    <w:basedOn w:val="DefaultParagraphFont"/>
    <w:rsid w:val="000F2EB4"/>
  </w:style>
  <w:style w:type="paragraph" w:customStyle="1" w:styleId="Bibliography1">
    <w:name w:val="Bibliography1"/>
    <w:basedOn w:val="FootnoteText"/>
    <w:rsid w:val="000F2EB4"/>
    <w:pPr>
      <w:ind w:left="720" w:hanging="720"/>
    </w:pPr>
    <w:rPr>
      <w:sz w:val="24"/>
    </w:rPr>
  </w:style>
  <w:style w:type="paragraph" w:customStyle="1" w:styleId="ColorfulGrid-Accent11">
    <w:name w:val="Colorful Grid - Accent 11"/>
    <w:basedOn w:val="Normal"/>
    <w:next w:val="Normal"/>
    <w:link w:val="ColorfulGrid-Accent1Char"/>
    <w:qFormat/>
    <w:rsid w:val="000F2EB4"/>
    <w:pPr>
      <w:spacing w:before="200"/>
      <w:ind w:left="360" w:right="360"/>
    </w:pPr>
    <w:rPr>
      <w:iCs/>
      <w:szCs w:val="22"/>
    </w:rPr>
  </w:style>
  <w:style w:type="character" w:customStyle="1" w:styleId="ColorfulGrid-Accent1Char">
    <w:name w:val="Colorful Grid - Accent 1 Char"/>
    <w:basedOn w:val="DefaultParagraphFont"/>
    <w:link w:val="ColorfulGrid-Accent11"/>
    <w:rsid w:val="007D46DA"/>
    <w:rPr>
      <w:rFonts w:ascii="Times New Roman" w:hAnsi="Times New Roman" w:cs="Times New Roman"/>
      <w:iCs/>
      <w:szCs w:val="22"/>
    </w:rPr>
  </w:style>
  <w:style w:type="character" w:customStyle="1" w:styleId="reference-text">
    <w:name w:val="reference-text"/>
    <w:basedOn w:val="DefaultParagraphFont"/>
    <w:rsid w:val="000F2EB4"/>
  </w:style>
  <w:style w:type="character" w:customStyle="1" w:styleId="BalloonTextChar3">
    <w:name w:val="Balloon Text Char3"/>
    <w:basedOn w:val="DefaultParagraphFont"/>
    <w:uiPriority w:val="99"/>
    <w:rsid w:val="007D46DA"/>
    <w:rPr>
      <w:rFonts w:ascii="Tahoma" w:eastAsia="Times New Roman" w:hAnsi="Tahoma" w:cs="Tahoma"/>
      <w:sz w:val="16"/>
      <w:szCs w:val="16"/>
      <w:lang w:val="en-GB"/>
    </w:rPr>
  </w:style>
  <w:style w:type="character" w:customStyle="1" w:styleId="BalloonTextChar20">
    <w:name w:val="Balloon Text Char2"/>
    <w:basedOn w:val="DefaultParagraphFont"/>
    <w:uiPriority w:val="99"/>
    <w:rsid w:val="007D46DA"/>
    <w:rPr>
      <w:rFonts w:ascii="Lucida Grande" w:eastAsia="Times New Roman" w:hAnsi="Lucida Grande" w:cs="Times New Roman"/>
      <w:sz w:val="18"/>
      <w:szCs w:val="18"/>
      <w:lang w:val="en-GB"/>
    </w:rPr>
  </w:style>
  <w:style w:type="paragraph" w:customStyle="1" w:styleId="ColorfulShading-Accent11">
    <w:name w:val="Colorful Shading - Accent 11"/>
    <w:hidden/>
    <w:uiPriority w:val="99"/>
    <w:semiHidden/>
    <w:rsid w:val="007D46DA"/>
    <w:rPr>
      <w:rFonts w:ascii="Times New Roman" w:hAnsi="Times New Roman" w:cs="Times New Roman"/>
    </w:rPr>
  </w:style>
  <w:style w:type="paragraph" w:styleId="Revision">
    <w:name w:val="Revision"/>
    <w:hidden/>
    <w:uiPriority w:val="99"/>
    <w:rsid w:val="007D46DA"/>
    <w:rPr>
      <w:rFonts w:ascii="Times New Roman" w:hAnsi="Times New Roman" w:cs="Times New Roman"/>
    </w:rPr>
  </w:style>
  <w:style w:type="table" w:styleId="MediumShading1-Accent5">
    <w:name w:val="Medium Shading 1 Accent 5"/>
    <w:basedOn w:val="TableNormal"/>
    <w:uiPriority w:val="63"/>
    <w:rsid w:val="007D46DA"/>
    <w:rPr>
      <w:rFonts w:eastAsiaTheme="minorHAnsi"/>
      <w:sz w:val="22"/>
      <w:szCs w:val="22"/>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customStyle="1" w:styleId="itxtrst">
    <w:name w:val="itxtrst"/>
    <w:basedOn w:val="DefaultParagraphFont"/>
    <w:rsid w:val="007D46DA"/>
  </w:style>
  <w:style w:type="character" w:customStyle="1" w:styleId="apple-style-span">
    <w:name w:val="apple-style-span"/>
    <w:basedOn w:val="DefaultParagraphFont"/>
    <w:rsid w:val="007D46DA"/>
  </w:style>
  <w:style w:type="character" w:customStyle="1" w:styleId="body1">
    <w:name w:val="body1"/>
    <w:rsid w:val="007D46DA"/>
    <w:rPr>
      <w:rFonts w:ascii="Verdana" w:hAnsi="Verdana" w:hint="default"/>
      <w:sz w:val="20"/>
      <w:szCs w:val="20"/>
    </w:rPr>
  </w:style>
  <w:style w:type="character" w:customStyle="1" w:styleId="bodybold1">
    <w:name w:val="bodybold1"/>
    <w:rsid w:val="007D46DA"/>
    <w:rPr>
      <w:rFonts w:ascii="Verdana" w:hAnsi="Verdana" w:hint="default"/>
      <w:b/>
      <w:bCs/>
      <w:sz w:val="20"/>
      <w:szCs w:val="20"/>
    </w:rPr>
  </w:style>
  <w:style w:type="paragraph" w:styleId="EnvelopeReturn">
    <w:name w:val="envelope return"/>
    <w:basedOn w:val="Normal"/>
    <w:rsid w:val="007D46DA"/>
  </w:style>
  <w:style w:type="paragraph" w:customStyle="1" w:styleId="FiguresTest">
    <w:name w:val="Figures Test"/>
    <w:basedOn w:val="Normal"/>
    <w:qFormat/>
    <w:rsid w:val="007D46DA"/>
    <w:rPr>
      <w:b/>
    </w:rPr>
  </w:style>
  <w:style w:type="character" w:styleId="HTMLCite">
    <w:name w:val="HTML Cite"/>
    <w:basedOn w:val="DefaultParagraphFont"/>
    <w:uiPriority w:val="99"/>
    <w:unhideWhenUsed/>
    <w:rsid w:val="007D46DA"/>
    <w:rPr>
      <w:i/>
      <w:iCs/>
    </w:rPr>
  </w:style>
  <w:style w:type="character" w:customStyle="1" w:styleId="huge1">
    <w:name w:val="huge1"/>
    <w:rsid w:val="007D46DA"/>
    <w:rPr>
      <w:rFonts w:ascii="Verdana" w:hAnsi="Verdana" w:hint="default"/>
      <w:sz w:val="30"/>
      <w:szCs w:val="30"/>
    </w:rPr>
  </w:style>
  <w:style w:type="paragraph" w:styleId="NoSpacing">
    <w:name w:val="No Spacing"/>
    <w:uiPriority w:val="1"/>
    <w:qFormat/>
    <w:rsid w:val="007D46DA"/>
    <w:rPr>
      <w:rFonts w:ascii="Calibri" w:eastAsia="Calibri" w:hAnsi="Calibri" w:cs="Times New Roman"/>
      <w:sz w:val="22"/>
      <w:szCs w:val="22"/>
    </w:rPr>
  </w:style>
  <w:style w:type="paragraph" w:customStyle="1" w:styleId="normal12pt">
    <w:name w:val="normal12pt"/>
    <w:basedOn w:val="Normal"/>
    <w:rsid w:val="007D46DA"/>
    <w:pPr>
      <w:spacing w:before="100" w:beforeAutospacing="1" w:after="100" w:afterAutospacing="1"/>
    </w:pPr>
    <w:rPr>
      <w:rFonts w:eastAsia="Calibri"/>
      <w:szCs w:val="24"/>
    </w:rPr>
  </w:style>
  <w:style w:type="paragraph" w:customStyle="1" w:styleId="PPHPTitles">
    <w:name w:val="PPHP Titles"/>
    <w:basedOn w:val="Heading1"/>
    <w:qFormat/>
    <w:rsid w:val="007D46DA"/>
    <w:pPr>
      <w:numPr>
        <w:numId w:val="0"/>
      </w:numPr>
      <w:jc w:val="left"/>
    </w:pPr>
    <w:rPr>
      <w:lang w:val="en-US"/>
    </w:rPr>
  </w:style>
  <w:style w:type="character" w:customStyle="1" w:styleId="slug-doi">
    <w:name w:val="slug-doi"/>
    <w:basedOn w:val="DefaultParagraphFont"/>
    <w:rsid w:val="007D46DA"/>
  </w:style>
  <w:style w:type="character" w:customStyle="1" w:styleId="st">
    <w:name w:val="st"/>
    <w:basedOn w:val="DefaultParagraphFont"/>
    <w:rsid w:val="007D46DA"/>
  </w:style>
  <w:style w:type="paragraph" w:customStyle="1" w:styleId="IRnormal">
    <w:name w:val="IR_normal"/>
    <w:basedOn w:val="Normal"/>
    <w:link w:val="IRnormalChar"/>
    <w:rsid w:val="006B1499"/>
    <w:pPr>
      <w:spacing w:after="120" w:line="276" w:lineRule="auto"/>
      <w:jc w:val="both"/>
    </w:pPr>
    <w:rPr>
      <w:rFonts w:ascii="Tahoma" w:eastAsia="SimSun" w:hAnsi="Tahoma" w:cs="Tahoma"/>
      <w:sz w:val="22"/>
      <w:szCs w:val="22"/>
      <w:lang w:val="en-GB" w:eastAsia="zh-CN" w:bidi="en-US"/>
    </w:rPr>
  </w:style>
  <w:style w:type="character" w:customStyle="1" w:styleId="IRnormalChar">
    <w:name w:val="IR_normal Char"/>
    <w:basedOn w:val="DefaultParagraphFont"/>
    <w:link w:val="IRnormal"/>
    <w:rsid w:val="006B1499"/>
    <w:rPr>
      <w:rFonts w:ascii="Tahoma" w:eastAsia="SimSun" w:hAnsi="Tahoma" w:cs="Tahoma"/>
      <w:sz w:val="22"/>
      <w:szCs w:val="22"/>
      <w:lang w:val="en-GB" w:eastAsia="zh-CN" w:bidi="en-US"/>
    </w:rPr>
  </w:style>
  <w:style w:type="paragraph" w:customStyle="1" w:styleId="IRHeading3">
    <w:name w:val="IR_Heading 3"/>
    <w:basedOn w:val="IRnormal"/>
    <w:next w:val="IRnormal"/>
    <w:link w:val="IRHeading3Char"/>
    <w:rsid w:val="006B1499"/>
  </w:style>
  <w:style w:type="character" w:customStyle="1" w:styleId="IRHeading3Char">
    <w:name w:val="IR_Heading 3 Char"/>
    <w:basedOn w:val="IRnormalChar"/>
    <w:link w:val="IRHeading3"/>
    <w:rsid w:val="006B1499"/>
  </w:style>
  <w:style w:type="paragraph" w:styleId="Caption">
    <w:name w:val="caption"/>
    <w:basedOn w:val="Normal"/>
    <w:next w:val="Normal"/>
    <w:uiPriority w:val="35"/>
    <w:rsid w:val="006B1499"/>
    <w:pPr>
      <w:spacing w:after="200" w:line="276" w:lineRule="auto"/>
    </w:pPr>
    <w:rPr>
      <w:rFonts w:asciiTheme="minorHAnsi" w:eastAsia="SimSun" w:hAnsiTheme="minorHAnsi" w:cstheme="minorBidi"/>
      <w:b/>
      <w:bCs/>
      <w:sz w:val="20"/>
      <w:lang w:val="en-GB" w:eastAsia="zh-CN" w:bidi="en-US"/>
    </w:rPr>
  </w:style>
  <w:style w:type="paragraph" w:styleId="Subtitle">
    <w:name w:val="Subtitle"/>
    <w:basedOn w:val="Normal"/>
    <w:next w:val="Normal"/>
    <w:link w:val="SubtitleChar"/>
    <w:uiPriority w:val="11"/>
    <w:qFormat/>
    <w:rsid w:val="006B1499"/>
    <w:pPr>
      <w:spacing w:after="600" w:line="276" w:lineRule="auto"/>
    </w:pPr>
    <w:rPr>
      <w:rFonts w:asciiTheme="majorHAnsi" w:eastAsiaTheme="majorEastAsia" w:hAnsiTheme="majorHAnsi" w:cstheme="majorBidi"/>
      <w:i/>
      <w:iCs/>
      <w:spacing w:val="13"/>
      <w:szCs w:val="24"/>
      <w:lang w:bidi="en-US"/>
    </w:rPr>
  </w:style>
  <w:style w:type="character" w:customStyle="1" w:styleId="SubtitleChar">
    <w:name w:val="Subtitle Char"/>
    <w:basedOn w:val="DefaultParagraphFont"/>
    <w:link w:val="Subtitle"/>
    <w:uiPriority w:val="11"/>
    <w:rsid w:val="006B1499"/>
    <w:rPr>
      <w:rFonts w:asciiTheme="majorHAnsi" w:eastAsiaTheme="majorEastAsia" w:hAnsiTheme="majorHAnsi" w:cstheme="majorBidi"/>
      <w:i/>
      <w:iCs/>
      <w:spacing w:val="13"/>
      <w:lang w:bidi="en-US"/>
    </w:rPr>
  </w:style>
  <w:style w:type="paragraph" w:styleId="IntenseQuote">
    <w:name w:val="Intense Quote"/>
    <w:basedOn w:val="Normal"/>
    <w:next w:val="Normal"/>
    <w:link w:val="IntenseQuoteChar"/>
    <w:uiPriority w:val="30"/>
    <w:qFormat/>
    <w:rsid w:val="006B1499"/>
    <w:pPr>
      <w:pBdr>
        <w:bottom w:val="single" w:sz="4" w:space="1" w:color="auto"/>
      </w:pBdr>
      <w:spacing w:before="200" w:after="280" w:line="276" w:lineRule="auto"/>
      <w:ind w:left="1008" w:right="1152"/>
      <w:jc w:val="both"/>
    </w:pPr>
    <w:rPr>
      <w:rFonts w:asciiTheme="minorHAnsi" w:eastAsiaTheme="minorEastAsia" w:hAnsiTheme="minorHAnsi" w:cstheme="minorBidi"/>
      <w:b/>
      <w:bCs/>
      <w:i/>
      <w:iCs/>
      <w:sz w:val="22"/>
      <w:szCs w:val="22"/>
      <w:lang w:bidi="en-US"/>
    </w:rPr>
  </w:style>
  <w:style w:type="character" w:customStyle="1" w:styleId="IntenseQuoteChar">
    <w:name w:val="Intense Quote Char"/>
    <w:basedOn w:val="DefaultParagraphFont"/>
    <w:link w:val="IntenseQuote"/>
    <w:uiPriority w:val="30"/>
    <w:rsid w:val="006B1499"/>
    <w:rPr>
      <w:rFonts w:eastAsiaTheme="minorEastAsia"/>
      <w:b/>
      <w:bCs/>
      <w:i/>
      <w:iCs/>
      <w:sz w:val="22"/>
      <w:szCs w:val="22"/>
      <w:lang w:bidi="en-US"/>
    </w:rPr>
  </w:style>
  <w:style w:type="character" w:styleId="SubtleEmphasis">
    <w:name w:val="Subtle Emphasis"/>
    <w:uiPriority w:val="19"/>
    <w:qFormat/>
    <w:rsid w:val="006B1499"/>
    <w:rPr>
      <w:i/>
      <w:iCs/>
    </w:rPr>
  </w:style>
  <w:style w:type="character" w:styleId="IntenseEmphasis">
    <w:name w:val="Intense Emphasis"/>
    <w:uiPriority w:val="21"/>
    <w:qFormat/>
    <w:rsid w:val="006B1499"/>
    <w:rPr>
      <w:b/>
      <w:bCs/>
    </w:rPr>
  </w:style>
  <w:style w:type="character" w:styleId="SubtleReference">
    <w:name w:val="Subtle Reference"/>
    <w:uiPriority w:val="31"/>
    <w:qFormat/>
    <w:rsid w:val="006B1499"/>
    <w:rPr>
      <w:smallCaps/>
    </w:rPr>
  </w:style>
  <w:style w:type="character" w:styleId="IntenseReference">
    <w:name w:val="Intense Reference"/>
    <w:uiPriority w:val="32"/>
    <w:qFormat/>
    <w:rsid w:val="006B1499"/>
    <w:rPr>
      <w:smallCaps/>
      <w:spacing w:val="5"/>
      <w:u w:val="single"/>
    </w:rPr>
  </w:style>
  <w:style w:type="character" w:styleId="BookTitle">
    <w:name w:val="Book Title"/>
    <w:uiPriority w:val="33"/>
    <w:qFormat/>
    <w:rsid w:val="006B1499"/>
    <w:rPr>
      <w:i/>
      <w:iCs/>
      <w:smallCaps/>
      <w:spacing w:val="5"/>
    </w:rPr>
  </w:style>
  <w:style w:type="paragraph" w:styleId="TableofFigures">
    <w:name w:val="table of figures"/>
    <w:basedOn w:val="Normal"/>
    <w:next w:val="Normal"/>
    <w:uiPriority w:val="99"/>
    <w:unhideWhenUsed/>
    <w:rsid w:val="006B1499"/>
    <w:pPr>
      <w:spacing w:line="276" w:lineRule="auto"/>
    </w:pPr>
    <w:rPr>
      <w:rFonts w:asciiTheme="minorHAnsi" w:eastAsiaTheme="minorEastAsia" w:hAnsiTheme="minorHAnsi" w:cstheme="minorBidi"/>
      <w:sz w:val="22"/>
      <w:szCs w:val="22"/>
      <w:lang w:bidi="en-US"/>
    </w:rPr>
  </w:style>
  <w:style w:type="paragraph" w:customStyle="1" w:styleId="Figure">
    <w:name w:val="Figure"/>
    <w:basedOn w:val="Normal"/>
    <w:qFormat/>
    <w:rsid w:val="00877E30"/>
    <w:rPr>
      <w:i/>
    </w:rPr>
  </w:style>
  <w:style w:type="paragraph" w:customStyle="1" w:styleId="Box">
    <w:name w:val="Box"/>
    <w:basedOn w:val="Normal"/>
    <w:next w:val="aff"/>
    <w:qFormat/>
    <w:rsid w:val="00877E30"/>
    <w:pPr>
      <w:shd w:val="pct15" w:color="auto" w:fill="auto"/>
    </w:pPr>
    <w:rPr>
      <w:b/>
    </w:rPr>
  </w:style>
</w:styles>
</file>

<file path=word/webSettings.xml><?xml version="1.0" encoding="utf-8"?>
<w:webSettings xmlns:r="http://schemas.openxmlformats.org/officeDocument/2006/relationships" xmlns:w="http://schemas.openxmlformats.org/wordprocessingml/2006/main">
  <w:divs>
    <w:div w:id="123429403">
      <w:bodyDiv w:val="1"/>
      <w:marLeft w:val="0"/>
      <w:marRight w:val="0"/>
      <w:marTop w:val="0"/>
      <w:marBottom w:val="0"/>
      <w:divBdr>
        <w:top w:val="none" w:sz="0" w:space="0" w:color="auto"/>
        <w:left w:val="none" w:sz="0" w:space="0" w:color="auto"/>
        <w:bottom w:val="none" w:sz="0" w:space="0" w:color="auto"/>
        <w:right w:val="none" w:sz="0" w:space="0" w:color="auto"/>
      </w:divBdr>
    </w:div>
    <w:div w:id="6597725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chart" Target="charts/chart50.xml"/><Relationship Id="rId102" Type="http://schemas.openxmlformats.org/officeDocument/2006/relationships/chart" Target="charts/chart51.xml"/><Relationship Id="rId103" Type="http://schemas.openxmlformats.org/officeDocument/2006/relationships/chart" Target="charts/chart52.xml"/><Relationship Id="rId104" Type="http://schemas.openxmlformats.org/officeDocument/2006/relationships/chart" Target="charts/chart53.xml"/><Relationship Id="rId105" Type="http://schemas.openxmlformats.org/officeDocument/2006/relationships/chart" Target="charts/chart54.xml"/><Relationship Id="rId106" Type="http://schemas.openxmlformats.org/officeDocument/2006/relationships/chart" Target="charts/chart55.xml"/><Relationship Id="rId107" Type="http://schemas.openxmlformats.org/officeDocument/2006/relationships/hyperlink" Target="http://www.ifs.du.edu"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hyperlink" Target="http://www.ifs.du.edu" TargetMode="External"/><Relationship Id="rId8" Type="http://schemas.openxmlformats.org/officeDocument/2006/relationships/hyperlink" Target="http://www.ifs.du.edu" TargetMode="External"/><Relationship Id="rId9" Type="http://schemas.openxmlformats.org/officeDocument/2006/relationships/footer" Target="footer1.xml"/><Relationship Id="rId108" Type="http://schemas.openxmlformats.org/officeDocument/2006/relationships/fontTable" Target="fontTable.xml"/><Relationship Id="rId109"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footnotes" Target="footnotes.xm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duckwater.bu.edu/urban/global.html" TargetMode="External"/><Relationship Id="rId15" Type="http://schemas.openxmlformats.org/officeDocument/2006/relationships/chart" Target="charts/chart1.xml"/><Relationship Id="rId16" Type="http://schemas.openxmlformats.org/officeDocument/2006/relationships/hyperlink" Target="http://www.infrastructureafrica.org/aicd/tools/data" TargetMode="External"/><Relationship Id="rId17" Type="http://schemas.openxmlformats.org/officeDocument/2006/relationships/chart" Target="charts/chart2.xml"/><Relationship Id="rId18" Type="http://schemas.openxmlformats.org/officeDocument/2006/relationships/chart" Target="charts/chart3.xml"/><Relationship Id="rId19" Type="http://schemas.openxmlformats.org/officeDocument/2006/relationships/chart" Target="charts/chart4.xml"/><Relationship Id="rId30" Type="http://schemas.openxmlformats.org/officeDocument/2006/relationships/chart" Target="charts/chart9.xml"/><Relationship Id="rId31" Type="http://schemas.openxmlformats.org/officeDocument/2006/relationships/chart" Target="charts/chart10.xml"/><Relationship Id="rId32" Type="http://schemas.openxmlformats.org/officeDocument/2006/relationships/hyperlink" Target="http://www.wssinfo.org/" TargetMode="External"/><Relationship Id="rId33" Type="http://schemas.openxmlformats.org/officeDocument/2006/relationships/footer" Target="footer3.xml"/><Relationship Id="rId34" Type="http://schemas.openxmlformats.org/officeDocument/2006/relationships/footer" Target="footer4.xml"/><Relationship Id="rId35" Type="http://schemas.openxmlformats.org/officeDocument/2006/relationships/chart" Target="charts/chart11.xml"/><Relationship Id="rId36" Type="http://schemas.openxmlformats.org/officeDocument/2006/relationships/hyperlink" Target="http://unstats.un.org/unsd/environment/qindicators.htm" TargetMode="External"/><Relationship Id="rId37" Type="http://schemas.openxmlformats.org/officeDocument/2006/relationships/image" Target="media/image8.png"/><Relationship Id="rId38" Type="http://schemas.openxmlformats.org/officeDocument/2006/relationships/chart" Target="charts/chart12.xml"/><Relationship Id="rId39" Type="http://schemas.openxmlformats.org/officeDocument/2006/relationships/chart" Target="charts/chart13.xml"/><Relationship Id="rId50" Type="http://schemas.openxmlformats.org/officeDocument/2006/relationships/chart" Target="charts/chart15.xml"/><Relationship Id="rId51" Type="http://schemas.openxmlformats.org/officeDocument/2006/relationships/chart" Target="charts/chart16.xml"/><Relationship Id="rId52" Type="http://schemas.openxmlformats.org/officeDocument/2006/relationships/chart" Target="charts/chart17.xml"/><Relationship Id="rId53" Type="http://schemas.openxmlformats.org/officeDocument/2006/relationships/chart" Target="charts/chart18.xml"/><Relationship Id="rId54" Type="http://schemas.openxmlformats.org/officeDocument/2006/relationships/image" Target="media/image9.emf"/><Relationship Id="rId55" Type="http://schemas.openxmlformats.org/officeDocument/2006/relationships/image" Target="media/image10.emf"/><Relationship Id="rId56" Type="http://schemas.openxmlformats.org/officeDocument/2006/relationships/chart" Target="charts/chart19.xml"/><Relationship Id="rId57" Type="http://schemas.openxmlformats.org/officeDocument/2006/relationships/chart" Target="charts/chart20.xml"/><Relationship Id="rId58" Type="http://schemas.openxmlformats.org/officeDocument/2006/relationships/image" Target="media/image11.emf"/><Relationship Id="rId59" Type="http://schemas.openxmlformats.org/officeDocument/2006/relationships/image" Target="media/image12.emf"/><Relationship Id="rId70" Type="http://schemas.openxmlformats.org/officeDocument/2006/relationships/chart" Target="charts/chart24.xml"/><Relationship Id="rId71" Type="http://schemas.openxmlformats.org/officeDocument/2006/relationships/chart" Target="charts/chart25.xml"/><Relationship Id="rId72" Type="http://schemas.openxmlformats.org/officeDocument/2006/relationships/image" Target="media/image17.jpeg"/><Relationship Id="rId73" Type="http://schemas.openxmlformats.org/officeDocument/2006/relationships/image" Target="media/image18.pdf"/><Relationship Id="rId74" Type="http://schemas.openxmlformats.org/officeDocument/2006/relationships/image" Target="media/image23.png"/><Relationship Id="rId75" Type="http://schemas.openxmlformats.org/officeDocument/2006/relationships/image" Target="media/image19.pdf"/><Relationship Id="rId76" Type="http://schemas.openxmlformats.org/officeDocument/2006/relationships/image" Target="media/image25.png"/><Relationship Id="rId77" Type="http://schemas.openxmlformats.org/officeDocument/2006/relationships/chart" Target="charts/chart26.xml"/><Relationship Id="rId78" Type="http://schemas.openxmlformats.org/officeDocument/2006/relationships/chart" Target="charts/chart27.xml"/><Relationship Id="rId79" Type="http://schemas.openxmlformats.org/officeDocument/2006/relationships/chart" Target="charts/chart28.xml"/><Relationship Id="rId90" Type="http://schemas.openxmlformats.org/officeDocument/2006/relationships/chart" Target="charts/chart39.xml"/><Relationship Id="rId91" Type="http://schemas.openxmlformats.org/officeDocument/2006/relationships/chart" Target="charts/chart40.xml"/><Relationship Id="rId92" Type="http://schemas.openxmlformats.org/officeDocument/2006/relationships/chart" Target="charts/chart41.xml"/><Relationship Id="rId93" Type="http://schemas.openxmlformats.org/officeDocument/2006/relationships/chart" Target="charts/chart42.xml"/><Relationship Id="rId94" Type="http://schemas.openxmlformats.org/officeDocument/2006/relationships/chart" Target="charts/chart43.xml"/><Relationship Id="rId95" Type="http://schemas.openxmlformats.org/officeDocument/2006/relationships/chart" Target="charts/chart44.xml"/><Relationship Id="rId96" Type="http://schemas.openxmlformats.org/officeDocument/2006/relationships/chart" Target="charts/chart45.xml"/><Relationship Id="rId97" Type="http://schemas.openxmlformats.org/officeDocument/2006/relationships/chart" Target="charts/chart46.xml"/><Relationship Id="rId98" Type="http://schemas.openxmlformats.org/officeDocument/2006/relationships/chart" Target="charts/chart47.xml"/><Relationship Id="rId99" Type="http://schemas.openxmlformats.org/officeDocument/2006/relationships/chart" Target="charts/chart48.xml"/><Relationship Id="rId20" Type="http://schemas.openxmlformats.org/officeDocument/2006/relationships/chart" Target="charts/chart5.xml"/><Relationship Id="rId21" Type="http://schemas.openxmlformats.org/officeDocument/2006/relationships/image" Target="media/image5.pdf"/><Relationship Id="rId22" Type="http://schemas.openxmlformats.org/officeDocument/2006/relationships/image" Target="media/image6.png"/><Relationship Id="rId23" Type="http://schemas.openxmlformats.org/officeDocument/2006/relationships/chart" Target="charts/chart6.xml"/><Relationship Id="rId24" Type="http://schemas.openxmlformats.org/officeDocument/2006/relationships/chart" Target="charts/chart7.xml"/><Relationship Id="rId25" Type="http://schemas.openxmlformats.org/officeDocument/2006/relationships/image" Target="media/image6.emf"/><Relationship Id="rId26" Type="http://schemas.openxmlformats.org/officeDocument/2006/relationships/hyperlink" Target="http://www.worldbank.org/transport/transportresults/headline/rural-access/rai-map-20070305.pdf" TargetMode="External"/><Relationship Id="rId27" Type="http://schemas.openxmlformats.org/officeDocument/2006/relationships/image" Target="media/image7.png"/><Relationship Id="rId28" Type="http://schemas.openxmlformats.org/officeDocument/2006/relationships/hyperlink" Target="http://www.fao.org/nr/water/aquastat/data/glossary/search.html?lang=en" TargetMode="External"/><Relationship Id="rId29" Type="http://schemas.openxmlformats.org/officeDocument/2006/relationships/chart" Target="charts/chart8.xml"/><Relationship Id="rId40" Type="http://schemas.openxmlformats.org/officeDocument/2006/relationships/hyperlink" Target="http://www.eia.gov/countries/data.cfm" TargetMode="External"/><Relationship Id="rId41" Type="http://schemas.openxmlformats.org/officeDocument/2006/relationships/hyperlink" Target="http://www.hsph.harvard.edu/faculty/david-canning/data-sets/" TargetMode="External"/><Relationship Id="rId42" Type="http://schemas.openxmlformats.org/officeDocument/2006/relationships/hyperlink" Target="http://www.eia.gov/countries/data.cfm" TargetMode="External"/><Relationship Id="rId43" Type="http://schemas.openxmlformats.org/officeDocument/2006/relationships/hyperlink" Target="http://www.iea.org/weo/electricity.asp" TargetMode="External"/><Relationship Id="rId44" Type="http://schemas.openxmlformats.org/officeDocument/2006/relationships/diagramData" Target="diagrams/data1.xml"/><Relationship Id="rId45" Type="http://schemas.openxmlformats.org/officeDocument/2006/relationships/diagramLayout" Target="diagrams/layout1.xml"/><Relationship Id="rId46" Type="http://schemas.openxmlformats.org/officeDocument/2006/relationships/diagramQuickStyle" Target="diagrams/quickStyle1.xml"/><Relationship Id="rId47" Type="http://schemas.openxmlformats.org/officeDocument/2006/relationships/diagramColors" Target="diagrams/colors1.xml"/><Relationship Id="rId48" Type="http://schemas.microsoft.com/office/2007/relationships/diagramDrawing" Target="diagrams/drawing1.xml"/><Relationship Id="rId49" Type="http://schemas.openxmlformats.org/officeDocument/2006/relationships/chart" Target="charts/chart14.xml"/><Relationship Id="rId60" Type="http://schemas.openxmlformats.org/officeDocument/2006/relationships/image" Target="media/image13.emf"/><Relationship Id="rId61" Type="http://schemas.openxmlformats.org/officeDocument/2006/relationships/image" Target="media/image14.emf"/><Relationship Id="rId62" Type="http://schemas.openxmlformats.org/officeDocument/2006/relationships/image" Target="media/image15.png"/><Relationship Id="rId63" Type="http://schemas.openxmlformats.org/officeDocument/2006/relationships/hyperlink" Target="http://www.ifs.du.edu" TargetMode="External"/><Relationship Id="rId64" Type="http://schemas.openxmlformats.org/officeDocument/2006/relationships/hyperlink" Target="http://www.wssinfo.org/" TargetMode="External"/><Relationship Id="rId65" Type="http://schemas.openxmlformats.org/officeDocument/2006/relationships/hyperlink" Target="http://unstats.un.org/unsd/environment/wastewater.htm" TargetMode="External"/><Relationship Id="rId66" Type="http://schemas.openxmlformats.org/officeDocument/2006/relationships/chart" Target="charts/chart21.xml"/><Relationship Id="rId67" Type="http://schemas.openxmlformats.org/officeDocument/2006/relationships/image" Target="media/image16.png"/><Relationship Id="rId68" Type="http://schemas.openxmlformats.org/officeDocument/2006/relationships/chart" Target="charts/chart22.xml"/><Relationship Id="rId69" Type="http://schemas.openxmlformats.org/officeDocument/2006/relationships/chart" Target="charts/chart23.xml"/><Relationship Id="rId100" Type="http://schemas.openxmlformats.org/officeDocument/2006/relationships/chart" Target="charts/chart49.xml"/><Relationship Id="rId80" Type="http://schemas.openxmlformats.org/officeDocument/2006/relationships/chart" Target="charts/chart29.xml"/><Relationship Id="rId81" Type="http://schemas.openxmlformats.org/officeDocument/2006/relationships/chart" Target="charts/chart30.xml"/><Relationship Id="rId82" Type="http://schemas.openxmlformats.org/officeDocument/2006/relationships/chart" Target="charts/chart31.xml"/><Relationship Id="rId83" Type="http://schemas.openxmlformats.org/officeDocument/2006/relationships/chart" Target="charts/chart32.xml"/><Relationship Id="rId84" Type="http://schemas.openxmlformats.org/officeDocument/2006/relationships/chart" Target="charts/chart33.xml"/><Relationship Id="rId85" Type="http://schemas.openxmlformats.org/officeDocument/2006/relationships/chart" Target="charts/chart34.xml"/><Relationship Id="rId86" Type="http://schemas.openxmlformats.org/officeDocument/2006/relationships/chart" Target="charts/chart35.xml"/><Relationship Id="rId87" Type="http://schemas.openxmlformats.org/officeDocument/2006/relationships/chart" Target="charts/chart36.xml"/><Relationship Id="rId88" Type="http://schemas.openxmlformats.org/officeDocument/2006/relationships/chart" Target="charts/chart37.xml"/><Relationship Id="rId89" Type="http://schemas.openxmlformats.org/officeDocument/2006/relationships/chart" Target="charts/chart38.xml"/></Relationships>
</file>

<file path=word/_rels/footnotes.xml.rels><?xml version="1.0" encoding="UTF-8" standalone="yes"?>
<Relationships xmlns="http://schemas.openxmlformats.org/package/2006/relationships"><Relationship Id="rId11" Type="http://schemas.openxmlformats.org/officeDocument/2006/relationships/hyperlink" Target="http://www.oecd.org/department/0,3355,en_2649_34129_1_1_1_1_1,00.html" TargetMode="External"/><Relationship Id="rId12" Type="http://schemas.openxmlformats.org/officeDocument/2006/relationships/hyperlink" Target="http://geography.about.com/library/faq/blqzcircumference.htm" TargetMode="External"/><Relationship Id="rId13" Type="http://schemas.openxmlformats.org/officeDocument/2006/relationships/hyperlink" Target="http://www.maproom.psu.edu/dcw/" TargetMode="External"/><Relationship Id="rId14" Type="http://schemas.openxmlformats.org/officeDocument/2006/relationships/hyperlink" Target="http://www.maproom.psu.edu/dcw/" TargetMode="External"/><Relationship Id="rId15" Type="http://schemas.openxmlformats.org/officeDocument/2006/relationships/hyperlink" Target="http://faostat.fao.org/site/291/default.aspx" TargetMode="External"/><Relationship Id="rId16" Type="http://schemas.openxmlformats.org/officeDocument/2006/relationships/hyperlink" Target="http://www.fao.org/nr/water/aquastat/main/index.stm" TargetMode="External"/><Relationship Id="rId1" Type="http://schemas.openxmlformats.org/officeDocument/2006/relationships/hyperlink" Target="http://factfinder.census.gov/servlet/GQRTable?_bm=y&amp;-geo_id=01000US&amp;-ds_name=CF0700A06&amp;-_lang=en" TargetMode="External"/><Relationship Id="rId2" Type="http://schemas.openxmlformats.org/officeDocument/2006/relationships/hyperlink" Target="http://www.eia.doe.gov/pub/oil_gas/petroleum/analysis_publications/oil_market_basics/trade_text.htm" TargetMode="External"/><Relationship Id="rId3" Type="http://schemas.openxmlformats.org/officeDocument/2006/relationships/hyperlink" Target="http://databank.worldbank.org/" TargetMode="External"/><Relationship Id="rId4" Type="http://schemas.openxmlformats.org/officeDocument/2006/relationships/hyperlink" Target="http://earthtrends.wri.org/" TargetMode="External"/><Relationship Id="rId5" Type="http://schemas.openxmlformats.org/officeDocument/2006/relationships/hyperlink" Target="http://ppi.worldbank.org/" TargetMode="External"/><Relationship Id="rId6" Type="http://schemas.openxmlformats.org/officeDocument/2006/relationships/hyperlink" Target="http://ppi.worldbank.org/resources/ppi_methodology.aspx" TargetMode="External"/><Relationship Id="rId7" Type="http://schemas.openxmlformats.org/officeDocument/2006/relationships/hyperlink" Target="http://www.worldbank.org/transport/transportresults/headline/rural-access.html" TargetMode="External"/><Relationship Id="rId8" Type="http://schemas.openxmlformats.org/officeDocument/2006/relationships/hyperlink" Target="http://apps.who.int/ghodata/?vid=34000" TargetMode="External"/><Relationship Id="rId9" Type="http://schemas.openxmlformats.org/officeDocument/2006/relationships/hyperlink" Target="http://www.oecd.org/document/0,3746,en_2649_39263294_37295617_1_1_1_1,00.html" TargetMode="External"/><Relationship Id="rId10" Type="http://schemas.openxmlformats.org/officeDocument/2006/relationships/hyperlink" Target="http://go.worldbank.org/6WT3UPVG8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esmalin:Documents:My%20Projects:International%20Futures:Putting%20together%20the%20Infra%20Volume:Master%20Folder%20of%20Figures,%20Graphs,%20and%20Tables:chapter%201:Figure%201.3%20selected%20infrastructure%20access%20rates%20latest%20(1).xlsb"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esmalin:Documents:Data%20Figures%20for%20Chapter%20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Macintosh%20HD:Users:esmalin:Documents:Data%20Figures%20for%20Chapter%20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Macintosh%20HD:Users:esmalin:Documents:Data%20Figures%20for%20Chapter%20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Macintosh%20HD:Users:esmalin:Documents:Data%20Figures%20for%20Chapter%20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Macintosh%20HD:Users:esmalin:Documents:Data%20Figures%20for%20Chapter%20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Macintosh%20HD:Users:esmalin:Documents:Data%20Figures%20for%20Chapter%20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Macintosh%20HD:Users:esmalin:Documents:Data%20Figures%20for%20Chapter%20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Macintosh%20HD:Users:esmalin:Documents:Data%20Figures%20for%20Chapter%20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Macintosh%20HD:Users:esmalin:Documents:Data%20Figures%20for%20Chapter%20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Macintosh%20HD:Users:esmalin:Documents:My%20Projects:International%20Futures:Putting%20together%20the%20Infra%20Volume:Master%20Folder%20of%20Figures,%20Graphs,%20and%20Tables:chapter%203:Master%20file%20for%20figures%20Chapter%2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esmalin:Documents:Data%20Figures%20for%20Chapter%20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Macintosh%20HD:Users:esmalin:Documents:My%20Projects:International%20Futures:Putting%20together%20the%20Infra%20Volume:Master%20Folder%20of%20Figures,%20Graphs,%20and%20Tables:chapter%203:Master%20file%20for%20figures%20Chapter%203.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pardee:PPHP:PPHP4%20Infrastructure:Our%20writings:Chapters:putting%20together%20the%20consolidated%20manuscript:Master%20folder%20for%20figures,%20graphs:Chapter%204:Master%20file%20of%20figures%20for%20Chapter%204.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pardee:PPHP:PPHP4%20Infrastructure:Our%20writings:Chapters:putting%20together%20the%20consolidated%20manuscript:Master%20folder%20for%20figures,%20graphs:Chapter%204:Master%20file%20of%20figures%20for%20Chapter%204.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pardee:PPHP:PPHP4%20Infrastructure:Our%20writings:Chapters:putting%20together%20the%20consolidated%20manuscript:Master%20folder%20for%20figures,%20graphs:Chapter%205:Master%20file%20of%20figures%20for%20Chapter%205.xlsb"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pardee:PPHP:PPHP4%20Infrastructure:Our%20writings:Chapters:putting%20together%20the%20consolidated%20manuscript:Master%20folder%20for%20figures,%20graphs:Chapter%205:Master%20file%20of%20figures%20for%20Chapter%205.xlsb"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pardee:PPHP:PPHP4%20Infrastructure:Our%20writings:Chapters:putting%20together%20the%20consolidated%20manuscript:Master%20folder%20for%20figures,%20graphs:Chapter%205:Master%20file%20of%20figures%20for%20Chapter%205.xlsb"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Workbook9"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Workbook9"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Workbook9"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Workbook9"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esmalin:Documents:Data%20Figures%20for%20Chapter%202.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Macintosh%20HD:Users:esmalin:Documents:My%20Projects:International%20Futures:Putting%20together%20the%20Infra%20Volume:Master%20Folder%20of%20Figures,%20Graphs,%20and%20Tables:chapter%205:Figure%205.10.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Macintosh%20HD:Users:esmalin:Documents:My%20Projects:International%20Futures:Putting%20together%20the%20Infra%20Volume:Master%20Folder%20of%20Figures,%20Graphs,%20and%20Tables:chapter%205:Figures%205.11%20and%205.12.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barry.hughes\AppData\Local\Microsoft\Windows\Temporary%20Internet%20Files\Content.Outlook\88JZT6P2\Figures%205%206%20and%205%207.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pardee:PPHP:PPHP4%20Infrastructure:Our%20writings:Chapters:putting%20together%20the%20consolidated%20manuscript:Master%20folder%20for%20figures,%20graphs:Chapter%205:Master%20file%20of%20figures%20for%20Chapter%205.xlsb"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pardee:PPHP:PPHP4%20Infrastructure:Our%20writings:Chapters:putting%20together%20the%20consolidated%20manuscript:Master%20folder%20for%20figures,%20graphs:Chapter%205:Master%20file%20of%20figures%20for%20Chapter%205.xlsb"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pardee:PPHP:PPHP4%20Infrastructure:Our%20writings:Chapters:putting%20together%20the%20consolidated%20manuscript:Master%20folder%20for%20figures,%20graphs:Chapter%205:Master%20file%20of%20figures%20for%20Chapter%205.xlsb"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Macintosh%20HD:Users:esmalin:Documents:My%20Projects:International%20Futures:Putting%20together%20the%20Infra%20Volume:Master%20Folder%20of%20Figures,%20Graphs,%20and%20Tables:chapter%205:Figure%205.14.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Macintosh%20HD:Users:esmalin:Documents:My%20Projects:International%20Futures:Putting%20together%20the%20Infra%20Volume:Master%20Folder%20of%20Figures,%20Graphs,%20and%20Tables:chapter%205:Figure%205.14.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Macintosh%20HD:Users:esmalin:Documents:My%20Projects:International%20Futures:Putting%20together%20the%20Infra%20Volume:Master%20Folder%20of%20Figures,%20Graphs,%20and%20Tables:chapter%205:Figure%205.14.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Macintosh%20HD:Users:esmalin:Documents:My%20Projects:International%20Futures:Putting%20together%20the%20Infra%20Volume:Master%20Folder%20of%20Figures,%20Graphs,%20and%20Tables:chapter%205:Figure%205.1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esmalin:Documents:Data%20Figures%20for%20Chapter%202.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Workbook5"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Workbook7"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Macintosh%20HD:Users:esmalin:Documents:My%20Projects:International%20Futures:Putting%20together%20the%20Infra%20Volume:Master%20Folder%20of%20Figures,%20Graphs,%20and%20Tables:chapter%205:Figure%205.16.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pardee:PPHP:PPHP4%20Infrastructure:Our%20writings:Chapters:putting%20together%20the%20consolidated%20manuscript:Master%20folder%20for%20figures,%20graphs:Chapter%206:Master%20file%20for%20figures%20for%20Chapter%206.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pardee:PPHP:PPHP4%20Infrastructure:Our%20writings:Chapters:putting%20together%20the%20consolidated%20manuscript:Master%20folder%20for%20figures,%20graphs:Chapter%206:Master%20file%20for%20figures%20for%20Chapter%206.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pardee:PPHP:PPHP4%20Infrastructure:Our%20writings:Chapters:putting%20together%20the%20consolidated%20manuscript:Master%20folder%20for%20figures,%20graphs:Chapter%206:Master%20file%20for%20figures%20for%20Chapter%206.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pardee:PPHP:PPHP4%20Infrastructure:Our%20writings:Chapters:putting%20together%20the%20consolidated%20manuscript:Master%20folder%20for%20figures,%20graphs:Chapter%206:Master%20file%20for%20figures%20for%20Chapter%206.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pardee:PPHP:PPHP4%20Infrastructure:Our%20writings:Chapters:putting%20together%20the%20consolidated%20manuscript:Master%20folder%20for%20figures,%20graphs:Chapter%206:Master%20file%20for%20figures%20for%20Chapter%206.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pardee:PPHP:PPHP4%20Infrastructure:Our%20writings:Chapters:putting%20together%20the%20consolidated%20manuscript:Master%20folder%20for%20figures,%20graphs:Chapter%206:Master%20file%20for%20figures%20for%20Chapter%206.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pardee:PPHP:PPHP4%20Infrastructure:Our%20writings:Chapters:putting%20together%20the%20consolidated%20manuscript:Master%20folder%20for%20figures,%20graphs:Chapter%206:Master%20file%20for%20figures%20for%20Chapter%206.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esmalin:Documents:Data%20Figures%20for%20Chapter%202.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pardee:PPHP:PPHP4%20Infrastructure:Our%20writings:Chapters:putting%20together%20the%20consolidated%20manuscript:Master%20folder%20for%20figures,%20graphs:Chapter%206:Master%20file%20for%20figures%20for%20Chapter%206.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pardee:PPHP:PPHP4%20Infrastructure:Our%20writings:Chapters:putting%20together%20the%20consolidated%20manuscript:Master%20folder%20for%20figures,%20graphs:Chapter%206:Master%20file%20for%20figures%20for%20Chapter%206.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pardee:PPHP:PPHP4%20Infrastructure:Our%20writings:Chapters:putting%20together%20the%20consolidated%20manuscript:Master%20folder%20for%20figures,%20graphs:Chapter%206:Master%20file%20for%20figures%20for%20Chapter%206.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pardee:PPHP:PPHP4%20Infrastructure:Our%20writings:Chapters:putting%20together%20the%20consolidated%20manuscript:Master%20folder%20for%20figures,%20graphs:Chapter%206:Master%20file%20for%20figures%20for%20Chapter%206.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pardee:PPHP:PPHP4%20Infrastructure:Our%20writings:Chapters:putting%20together%20the%20consolidated%20manuscript:Master%20folder%20for%20figures,%20graphs:Chapter%206:Master%20file%20for%20figures%20for%20Chapter%206.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pardee:PPHP:PPHP4%20Infrastructure:Our%20writings:Chapters:putting%20together%20the%20consolidated%20manuscript:Master%20folder%20for%20figures,%20graphs:Chapter%206:Master%20file%20for%20figures%20for%20Chapter%206.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esmalin:Documents:Data%20Figures%20for%20Chapter%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esmalin:Documents:Data%20Figures%20for%20Chapter%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esmalin:Documents:Data%20Figures%20for%20Chapter%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esmalin:Documents:Data%20Figures%20for%20Chapter%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8"/>
  <c:chart>
    <c:plotArea>
      <c:layout>
        <c:manualLayout>
          <c:layoutTarget val="inner"/>
          <c:xMode val="edge"/>
          <c:yMode val="edge"/>
          <c:x val="0.0809490740740741"/>
          <c:y val="0.249993301876963"/>
          <c:w val="0.893587962962963"/>
          <c:h val="0.715350113371934"/>
        </c:manualLayout>
      </c:layout>
      <c:barChart>
        <c:barDir val="col"/>
        <c:grouping val="clustered"/>
        <c:ser>
          <c:idx val="4"/>
          <c:order val="0"/>
          <c:tx>
            <c:v>Percent access to electricty</c:v>
          </c:tx>
          <c:val>
            <c:numRef>
              <c:f>'Figure 1.3'!$D$28:$D$31</c:f>
              <c:numCache>
                <c:formatCode>General</c:formatCode>
                <c:ptCount val="4"/>
                <c:pt idx="0">
                  <c:v>24.14</c:v>
                </c:pt>
                <c:pt idx="1">
                  <c:v>68.35</c:v>
                </c:pt>
                <c:pt idx="2">
                  <c:v>97.5</c:v>
                </c:pt>
                <c:pt idx="3">
                  <c:v>97.55</c:v>
                </c:pt>
              </c:numCache>
            </c:numRef>
          </c:val>
        </c:ser>
        <c:ser>
          <c:idx val="1"/>
          <c:order val="1"/>
          <c:tx>
            <c:v>Percent access to all-weather roads</c:v>
          </c:tx>
          <c:cat>
            <c:strRef>
              <c:f>'Figure 1.3'!$B$10:$B$13</c:f>
              <c:strCache>
                <c:ptCount val="4"/>
                <c:pt idx="0">
                  <c:v>Low-income economies</c:v>
                </c:pt>
                <c:pt idx="1">
                  <c:v>Lower-middle-income economies</c:v>
                </c:pt>
                <c:pt idx="2">
                  <c:v>Upper-middle-income economies</c:v>
                </c:pt>
                <c:pt idx="3">
                  <c:v>High-income economies</c:v>
                </c:pt>
              </c:strCache>
            </c:strRef>
          </c:cat>
          <c:val>
            <c:numRef>
              <c:f>'Figure 1.3'!$D$10:$D$13</c:f>
              <c:numCache>
                <c:formatCode>General</c:formatCode>
                <c:ptCount val="4"/>
                <c:pt idx="0">
                  <c:v>30.89</c:v>
                </c:pt>
                <c:pt idx="1">
                  <c:v>69.06</c:v>
                </c:pt>
                <c:pt idx="2">
                  <c:v>84.0</c:v>
                </c:pt>
                <c:pt idx="3">
                  <c:v>92.76</c:v>
                </c:pt>
              </c:numCache>
            </c:numRef>
          </c:val>
        </c:ser>
        <c:ser>
          <c:idx val="3"/>
          <c:order val="2"/>
          <c:tx>
            <c:v>Percent access to safe water</c:v>
          </c:tx>
          <c:val>
            <c:numRef>
              <c:f>'Figure 1.3'!$D$22:$D$25</c:f>
              <c:numCache>
                <c:formatCode>General</c:formatCode>
                <c:ptCount val="4"/>
                <c:pt idx="0">
                  <c:v>65.75</c:v>
                </c:pt>
                <c:pt idx="1">
                  <c:v>86.68000000000001</c:v>
                </c:pt>
                <c:pt idx="2">
                  <c:v>92.72</c:v>
                </c:pt>
                <c:pt idx="3">
                  <c:v>99.62</c:v>
                </c:pt>
              </c:numCache>
            </c:numRef>
          </c:val>
        </c:ser>
        <c:ser>
          <c:idx val="2"/>
          <c:order val="3"/>
          <c:tx>
            <c:v>Percent access to sanitation</c:v>
          </c:tx>
          <c:val>
            <c:numRef>
              <c:f>'Figure 1.3'!$D$16:$D$19</c:f>
              <c:numCache>
                <c:formatCode>General</c:formatCode>
                <c:ptCount val="4"/>
                <c:pt idx="0">
                  <c:v>53.83</c:v>
                </c:pt>
                <c:pt idx="1">
                  <c:v>56.98</c:v>
                </c:pt>
                <c:pt idx="2">
                  <c:v>86.09</c:v>
                </c:pt>
                <c:pt idx="3">
                  <c:v>99.9</c:v>
                </c:pt>
              </c:numCache>
            </c:numRef>
          </c:val>
        </c:ser>
        <c:ser>
          <c:idx val="0"/>
          <c:order val="4"/>
          <c:tx>
            <c:v>Percent access to mobile phones</c:v>
          </c:tx>
          <c:cat>
            <c:strRef>
              <c:f>'Figure 1.3'!$B$10:$B$13</c:f>
              <c:strCache>
                <c:ptCount val="4"/>
                <c:pt idx="0">
                  <c:v>Low-income economies</c:v>
                </c:pt>
                <c:pt idx="1">
                  <c:v>Lower-middle-income economies</c:v>
                </c:pt>
                <c:pt idx="2">
                  <c:v>Upper-middle-income economies</c:v>
                </c:pt>
                <c:pt idx="3">
                  <c:v>High-income economies</c:v>
                </c:pt>
              </c:strCache>
            </c:strRef>
          </c:cat>
          <c:val>
            <c:numRef>
              <c:f>'Figure 1.3'!$D$4:$D$7</c:f>
              <c:numCache>
                <c:formatCode>General</c:formatCode>
                <c:ptCount val="4"/>
                <c:pt idx="0">
                  <c:v>33.22</c:v>
                </c:pt>
                <c:pt idx="1">
                  <c:v>71.98</c:v>
                </c:pt>
                <c:pt idx="2">
                  <c:v>84.21</c:v>
                </c:pt>
                <c:pt idx="3">
                  <c:v>109.55</c:v>
                </c:pt>
              </c:numCache>
            </c:numRef>
          </c:val>
        </c:ser>
        <c:axId val="770649944"/>
        <c:axId val="770653496"/>
      </c:barChart>
      <c:catAx>
        <c:axId val="770649944"/>
        <c:scaling>
          <c:orientation val="minMax"/>
        </c:scaling>
        <c:axPos val="b"/>
        <c:tickLblPos val="high"/>
        <c:crossAx val="770653496"/>
        <c:crosses val="autoZero"/>
        <c:auto val="1"/>
        <c:lblAlgn val="ctr"/>
        <c:lblOffset val="100"/>
      </c:catAx>
      <c:valAx>
        <c:axId val="770653496"/>
        <c:scaling>
          <c:orientation val="minMax"/>
          <c:max val="100.0"/>
        </c:scaling>
        <c:axPos val="l"/>
        <c:majorGridlines/>
        <c:title>
          <c:tx>
            <c:rich>
              <a:bodyPr/>
              <a:lstStyle/>
              <a:p>
                <a:pPr>
                  <a:defRPr b="0"/>
                </a:pPr>
                <a:r>
                  <a:rPr lang="en-US" b="0"/>
                  <a:t>Percent</a:t>
                </a:r>
              </a:p>
            </c:rich>
          </c:tx>
        </c:title>
        <c:numFmt formatCode="General" sourceLinked="1"/>
        <c:tickLblPos val="nextTo"/>
        <c:txPr>
          <a:bodyPr/>
          <a:lstStyle/>
          <a:p>
            <a:pPr>
              <a:defRPr b="0"/>
            </a:pPr>
            <a:endParaRPr lang="en-US"/>
          </a:p>
        </c:txPr>
        <c:crossAx val="770649944"/>
        <c:crosses val="autoZero"/>
        <c:crossBetween val="between"/>
      </c:valAx>
    </c:plotArea>
    <c:legend>
      <c:legendPos val="t"/>
      <c:layout>
        <c:manualLayout>
          <c:xMode val="edge"/>
          <c:yMode val="edge"/>
          <c:x val="0.00718850247885681"/>
          <c:y val="0.0189035916824197"/>
          <c:w val="0.971734106153397"/>
          <c:h val="0.117762678058437"/>
        </c:manualLayout>
      </c:layout>
    </c:legend>
    <c:plotVisOnly val="1"/>
  </c:chart>
  <c:txPr>
    <a:bodyPr/>
    <a:lstStyle/>
    <a:p>
      <a:pPr>
        <a:defRPr>
          <a:latin typeface="Times New Roman"/>
          <a:cs typeface="Times New Roman"/>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style val="3"/>
  <c:chart>
    <c:autoTitleDeleted val="1"/>
    <c:plotArea>
      <c:layout/>
      <c:barChart>
        <c:barDir val="col"/>
        <c:grouping val="clustered"/>
        <c:ser>
          <c:idx val="1"/>
          <c:order val="0"/>
          <c:tx>
            <c:strRef>
              <c:f>'Figure 2.6'!$A$45</c:f>
              <c:strCache>
                <c:ptCount val="1"/>
                <c:pt idx="0">
                  <c:v>Area potentially irrigated</c:v>
                </c:pt>
              </c:strCache>
            </c:strRef>
          </c:tx>
          <c:cat>
            <c:strRef>
              <c:f>'Figure 2.6'!$A$3:$A$9</c:f>
              <c:strCache>
                <c:ptCount val="7"/>
                <c:pt idx="0">
                  <c:v>East Asia and Pacific</c:v>
                </c:pt>
                <c:pt idx="1">
                  <c:v>Europe and Central Asia</c:v>
                </c:pt>
                <c:pt idx="2">
                  <c:v>Latin America and the Caribbean</c:v>
                </c:pt>
                <c:pt idx="3">
                  <c:v>Middle East and North Africa</c:v>
                </c:pt>
                <c:pt idx="4">
                  <c:v>South Asia</c:v>
                </c:pt>
                <c:pt idx="5">
                  <c:v>Sub-Saharan Africa</c:v>
                </c:pt>
                <c:pt idx="6">
                  <c:v>High-income countries</c:v>
                </c:pt>
              </c:strCache>
            </c:strRef>
          </c:cat>
          <c:val>
            <c:numRef>
              <c:f>'Figure 2.6'!$E$47:$E$53</c:f>
              <c:numCache>
                <c:formatCode>0</c:formatCode>
                <c:ptCount val="7"/>
                <c:pt idx="0">
                  <c:v>114.9311</c:v>
                </c:pt>
                <c:pt idx="1">
                  <c:v>66.7992</c:v>
                </c:pt>
                <c:pt idx="2">
                  <c:v>77.718</c:v>
                </c:pt>
                <c:pt idx="3">
                  <c:v>29.2632</c:v>
                </c:pt>
                <c:pt idx="4">
                  <c:v>123.813</c:v>
                </c:pt>
                <c:pt idx="5">
                  <c:v>36.313329</c:v>
                </c:pt>
                <c:pt idx="6">
                  <c:v>2.130307</c:v>
                </c:pt>
              </c:numCache>
            </c:numRef>
          </c:val>
        </c:ser>
        <c:axId val="765622600"/>
        <c:axId val="765627688"/>
      </c:barChart>
      <c:lineChart>
        <c:grouping val="standard"/>
        <c:ser>
          <c:idx val="0"/>
          <c:order val="1"/>
          <c:tx>
            <c:strRef>
              <c:f>'Figure 2.6'!$A$23</c:f>
              <c:strCache>
                <c:ptCount val="1"/>
                <c:pt idx="0">
                  <c:v>Percentage of potential area equipped</c:v>
                </c:pt>
              </c:strCache>
            </c:strRef>
          </c:tx>
          <c:spPr>
            <a:ln>
              <a:noFill/>
            </a:ln>
          </c:spPr>
          <c:marker>
            <c:symbol val="circle"/>
            <c:size val="10"/>
            <c:spPr>
              <a:solidFill>
                <a:srgbClr val="FF0000"/>
              </a:solidFill>
            </c:spPr>
          </c:marker>
          <c:cat>
            <c:strRef>
              <c:f>'Figure 2.6'!$A$3:$A$9</c:f>
              <c:strCache>
                <c:ptCount val="7"/>
                <c:pt idx="0">
                  <c:v>East Asia and Pacific</c:v>
                </c:pt>
                <c:pt idx="1">
                  <c:v>Europe and Central Asia</c:v>
                </c:pt>
                <c:pt idx="2">
                  <c:v>Latin America and the Caribbean</c:v>
                </c:pt>
                <c:pt idx="3">
                  <c:v>Middle East and North Africa</c:v>
                </c:pt>
                <c:pt idx="4">
                  <c:v>South Asia</c:v>
                </c:pt>
                <c:pt idx="5">
                  <c:v>Sub-Saharan Africa</c:v>
                </c:pt>
                <c:pt idx="6">
                  <c:v>High-income countries</c:v>
                </c:pt>
              </c:strCache>
            </c:strRef>
          </c:cat>
          <c:val>
            <c:numRef>
              <c:f>'Figure 2.6'!$E$25:$E$31</c:f>
              <c:numCache>
                <c:formatCode>0.00%</c:formatCode>
                <c:ptCount val="7"/>
                <c:pt idx="0">
                  <c:v>0.750510523261328</c:v>
                </c:pt>
                <c:pt idx="1">
                  <c:v>0.431189295680188</c:v>
                </c:pt>
                <c:pt idx="2">
                  <c:v>0.256195475951517</c:v>
                </c:pt>
                <c:pt idx="3">
                  <c:v>0.697394680007655</c:v>
                </c:pt>
                <c:pt idx="4">
                  <c:v>0.55636322518637</c:v>
                </c:pt>
                <c:pt idx="5">
                  <c:v>0.18279789220096</c:v>
                </c:pt>
                <c:pt idx="6">
                  <c:v>0.592872294932139</c:v>
                </c:pt>
              </c:numCache>
            </c:numRef>
          </c:val>
        </c:ser>
        <c:marker val="1"/>
        <c:axId val="705751848"/>
        <c:axId val="765784344"/>
      </c:lineChart>
      <c:catAx>
        <c:axId val="765622600"/>
        <c:scaling>
          <c:orientation val="minMax"/>
        </c:scaling>
        <c:axPos val="b"/>
        <c:numFmt formatCode="#,##0" sourceLinked="1"/>
        <c:tickLblPos val="nextTo"/>
        <c:crossAx val="765627688"/>
        <c:crosses val="autoZero"/>
        <c:auto val="1"/>
        <c:lblAlgn val="ctr"/>
        <c:lblOffset val="100"/>
      </c:catAx>
      <c:valAx>
        <c:axId val="765627688"/>
        <c:scaling>
          <c:orientation val="minMax"/>
        </c:scaling>
        <c:axPos val="l"/>
        <c:majorGridlines/>
        <c:title>
          <c:tx>
            <c:rich>
              <a:bodyPr rot="-5400000" vert="horz"/>
              <a:lstStyle/>
              <a:p>
                <a:pPr>
                  <a:defRPr/>
                </a:pPr>
                <a:r>
                  <a:rPr lang="en-US"/>
                  <a:t>Million hectares</a:t>
                </a:r>
              </a:p>
            </c:rich>
          </c:tx>
        </c:title>
        <c:numFmt formatCode="0" sourceLinked="1"/>
        <c:tickLblPos val="nextTo"/>
        <c:crossAx val="765622600"/>
        <c:crosses val="autoZero"/>
        <c:crossBetween val="between"/>
      </c:valAx>
      <c:valAx>
        <c:axId val="765784344"/>
        <c:scaling>
          <c:orientation val="minMax"/>
          <c:max val="1.0"/>
        </c:scaling>
        <c:axPos val="r"/>
        <c:title>
          <c:tx>
            <c:rich>
              <a:bodyPr rot="5400000" vert="horz"/>
              <a:lstStyle/>
              <a:p>
                <a:pPr>
                  <a:defRPr/>
                </a:pPr>
                <a:r>
                  <a:rPr lang="en-US"/>
                  <a:t>Percentage</a:t>
                </a:r>
              </a:p>
            </c:rich>
          </c:tx>
        </c:title>
        <c:numFmt formatCode="0%" sourceLinked="0"/>
        <c:tickLblPos val="nextTo"/>
        <c:crossAx val="705751848"/>
        <c:crosses val="max"/>
        <c:crossBetween val="between"/>
      </c:valAx>
      <c:catAx>
        <c:axId val="705751848"/>
        <c:scaling>
          <c:orientation val="minMax"/>
        </c:scaling>
        <c:delete val="1"/>
        <c:axPos val="b"/>
        <c:tickLblPos val="none"/>
        <c:crossAx val="765784344"/>
        <c:crosses val="autoZero"/>
        <c:auto val="1"/>
        <c:lblAlgn val="ctr"/>
        <c:lblOffset val="100"/>
      </c:catAx>
    </c:plotArea>
    <c:legend>
      <c:legendPos val="b"/>
    </c:legend>
    <c:plotVisOnly val="1"/>
    <c:dispBlanksAs val="gap"/>
  </c:chart>
  <c:txPr>
    <a:bodyPr/>
    <a:lstStyle/>
    <a:p>
      <a:pPr>
        <a:defRPr b="0">
          <a:latin typeface="Times New Roman"/>
          <a:cs typeface="Times New Roman"/>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scatterChart>
        <c:scatterStyle val="lineMarker"/>
        <c:ser>
          <c:idx val="1"/>
          <c:order val="1"/>
          <c:tx>
            <c:v>Population with Wastewater Collected and Treated</c:v>
          </c:tx>
          <c:spPr>
            <a:ln w="28575">
              <a:noFill/>
            </a:ln>
          </c:spPr>
          <c:marker>
            <c:symbol val="circle"/>
            <c:size val="6"/>
          </c:marker>
          <c:xVal>
            <c:strRef>
              <c:f>'Figure 2.7'!$C$2:$C$60</c:f>
              <c:strCache>
                <c:ptCount val="59"/>
                <c:pt idx="0">
                  <c:v>Guinea</c:v>
                </c:pt>
                <c:pt idx="1">
                  <c:v>Kenya</c:v>
                </c:pt>
                <c:pt idx="2">
                  <c:v>Moldova</c:v>
                </c:pt>
                <c:pt idx="3">
                  <c:v>Iraq</c:v>
                </c:pt>
                <c:pt idx="4">
                  <c:v>Armenia</c:v>
                </c:pt>
                <c:pt idx="5">
                  <c:v>China</c:v>
                </c:pt>
                <c:pt idx="6">
                  <c:v>Jordan</c:v>
                </c:pt>
                <c:pt idx="7">
                  <c:v>Azerbaijan</c:v>
                </c:pt>
                <c:pt idx="8">
                  <c:v>Cuba</c:v>
                </c:pt>
                <c:pt idx="9">
                  <c:v>Tunisia</c:v>
                </c:pt>
                <c:pt idx="10">
                  <c:v>Algeria</c:v>
                </c:pt>
                <c:pt idx="11">
                  <c:v>Brazil</c:v>
                </c:pt>
                <c:pt idx="12">
                  <c:v>Serbia</c:v>
                </c:pt>
                <c:pt idx="13">
                  <c:v>Belarus</c:v>
                </c:pt>
                <c:pt idx="14">
                  <c:v>South Africa</c:v>
                </c:pt>
                <c:pt idx="15">
                  <c:v>Panama</c:v>
                </c:pt>
                <c:pt idx="16">
                  <c:v>Romania</c:v>
                </c:pt>
                <c:pt idx="17">
                  <c:v>Bulgaria</c:v>
                </c:pt>
                <c:pt idx="18">
                  <c:v>Venezuela, RB</c:v>
                </c:pt>
                <c:pt idx="19">
                  <c:v>Mauritius</c:v>
                </c:pt>
                <c:pt idx="20">
                  <c:v>Turkey</c:v>
                </c:pt>
                <c:pt idx="21">
                  <c:v>Chile</c:v>
                </c:pt>
                <c:pt idx="22">
                  <c:v>Mexico</c:v>
                </c:pt>
                <c:pt idx="23">
                  <c:v>Latvia</c:v>
                </c:pt>
                <c:pt idx="24">
                  <c:v>Poland</c:v>
                </c:pt>
                <c:pt idx="25">
                  <c:v>Lithuania</c:v>
                </c:pt>
                <c:pt idx="26">
                  <c:v>Croatia</c:v>
                </c:pt>
                <c:pt idx="27">
                  <c:v>Slovak Republic</c:v>
                </c:pt>
                <c:pt idx="28">
                  <c:v>Estonia</c:v>
                </c:pt>
                <c:pt idx="29">
                  <c:v>Hungary</c:v>
                </c:pt>
                <c:pt idx="30">
                  <c:v>Trinidad and Tobago</c:v>
                </c:pt>
                <c:pt idx="31">
                  <c:v>Czech Republic</c:v>
                </c:pt>
                <c:pt idx="32">
                  <c:v>Malta</c:v>
                </c:pt>
                <c:pt idx="33">
                  <c:v>Portugal</c:v>
                </c:pt>
                <c:pt idx="34">
                  <c:v>Korea, Rep.</c:v>
                </c:pt>
                <c:pt idx="35">
                  <c:v>Israel</c:v>
                </c:pt>
                <c:pt idx="36">
                  <c:v>Slovenia</c:v>
                </c:pt>
                <c:pt idx="37">
                  <c:v>Cyprus</c:v>
                </c:pt>
                <c:pt idx="38">
                  <c:v>Greece</c:v>
                </c:pt>
                <c:pt idx="39">
                  <c:v>Spain</c:v>
                </c:pt>
                <c:pt idx="40">
                  <c:v>Bahrain</c:v>
                </c:pt>
                <c:pt idx="41">
                  <c:v>France</c:v>
                </c:pt>
                <c:pt idx="42">
                  <c:v>Japan</c:v>
                </c:pt>
                <c:pt idx="43">
                  <c:v>Finland</c:v>
                </c:pt>
                <c:pt idx="44">
                  <c:v>Germany</c:v>
                </c:pt>
                <c:pt idx="45">
                  <c:v>Belgium</c:v>
                </c:pt>
                <c:pt idx="46">
                  <c:v>Sweden</c:v>
                </c:pt>
                <c:pt idx="47">
                  <c:v>United Kingdom</c:v>
                </c:pt>
                <c:pt idx="48">
                  <c:v>Denmark</c:v>
                </c:pt>
                <c:pt idx="49">
                  <c:v>Austria</c:v>
                </c:pt>
                <c:pt idx="50">
                  <c:v>Iceland</c:v>
                </c:pt>
                <c:pt idx="51">
                  <c:v>Netherlands</c:v>
                </c:pt>
                <c:pt idx="52">
                  <c:v>Hong Kong  SAR, China</c:v>
                </c:pt>
                <c:pt idx="53">
                  <c:v>Switzerland</c:v>
                </c:pt>
                <c:pt idx="54">
                  <c:v>Ireland</c:v>
                </c:pt>
                <c:pt idx="55">
                  <c:v>Singapore</c:v>
                </c:pt>
                <c:pt idx="56">
                  <c:v>Norway</c:v>
                </c:pt>
                <c:pt idx="57">
                  <c:v>United Arab Emirates</c:v>
                </c:pt>
                <c:pt idx="58">
                  <c:v>Luxembourg</c:v>
                </c:pt>
              </c:strCache>
            </c:strRef>
          </c:xVal>
          <c:yVal>
            <c:numRef>
              <c:f>'Figure 2.7'!$F$2:$F$60</c:f>
              <c:numCache>
                <c:formatCode>0.00</c:formatCode>
                <c:ptCount val="59"/>
                <c:pt idx="0">
                  <c:v>10.25</c:v>
                </c:pt>
                <c:pt idx="1">
                  <c:v>4.899999999999999</c:v>
                </c:pt>
                <c:pt idx="2">
                  <c:v>58.66666666666654</c:v>
                </c:pt>
                <c:pt idx="3">
                  <c:v>25.7</c:v>
                </c:pt>
                <c:pt idx="4">
                  <c:v>34.3</c:v>
                </c:pt>
                <c:pt idx="5">
                  <c:v>28.10333333333327</c:v>
                </c:pt>
                <c:pt idx="6">
                  <c:v>61.0</c:v>
                </c:pt>
                <c:pt idx="7">
                  <c:v>30.3</c:v>
                </c:pt>
                <c:pt idx="8">
                  <c:v>24.0</c:v>
                </c:pt>
                <c:pt idx="9">
                  <c:v>48.23142857142857</c:v>
                </c:pt>
                <c:pt idx="10">
                  <c:v>41.14285714285714</c:v>
                </c:pt>
                <c:pt idx="11">
                  <c:v>26.0</c:v>
                </c:pt>
                <c:pt idx="12">
                  <c:v>14.66666666666667</c:v>
                </c:pt>
                <c:pt idx="13">
                  <c:v>94.48333333333331</c:v>
                </c:pt>
                <c:pt idx="14">
                  <c:v>53.0</c:v>
                </c:pt>
                <c:pt idx="15">
                  <c:v>42.0</c:v>
                </c:pt>
                <c:pt idx="16">
                  <c:v>27.8</c:v>
                </c:pt>
                <c:pt idx="17">
                  <c:v>41.0</c:v>
                </c:pt>
                <c:pt idx="18">
                  <c:v>21.6</c:v>
                </c:pt>
                <c:pt idx="19">
                  <c:v>23.0</c:v>
                </c:pt>
                <c:pt idx="20">
                  <c:v>36.33333333333334</c:v>
                </c:pt>
                <c:pt idx="21">
                  <c:v>71.34285714285704</c:v>
                </c:pt>
                <c:pt idx="22">
                  <c:v>35.0</c:v>
                </c:pt>
                <c:pt idx="23">
                  <c:v>66.16666666666667</c:v>
                </c:pt>
                <c:pt idx="24">
                  <c:v>60.0</c:v>
                </c:pt>
                <c:pt idx="25">
                  <c:v>65.5</c:v>
                </c:pt>
                <c:pt idx="26">
                  <c:v>25.32</c:v>
                </c:pt>
                <c:pt idx="27">
                  <c:v>54.33333333333334</c:v>
                </c:pt>
                <c:pt idx="28">
                  <c:v>73.42857142857135</c:v>
                </c:pt>
                <c:pt idx="29">
                  <c:v>57.8</c:v>
                </c:pt>
                <c:pt idx="30">
                  <c:v>23.4</c:v>
                </c:pt>
                <c:pt idx="31">
                  <c:v>72.85714285714285</c:v>
                </c:pt>
                <c:pt idx="32">
                  <c:v>36.71428571428572</c:v>
                </c:pt>
                <c:pt idx="33">
                  <c:v>65.5</c:v>
                </c:pt>
                <c:pt idx="34">
                  <c:v>78.8</c:v>
                </c:pt>
                <c:pt idx="35">
                  <c:v>89.75</c:v>
                </c:pt>
                <c:pt idx="36">
                  <c:v>39.5714285714285</c:v>
                </c:pt>
                <c:pt idx="37">
                  <c:v>24.75</c:v>
                </c:pt>
                <c:pt idx="38">
                  <c:v>85.0</c:v>
                </c:pt>
                <c:pt idx="39">
                  <c:v>92.8</c:v>
                </c:pt>
                <c:pt idx="40">
                  <c:v>83.33333333333323</c:v>
                </c:pt>
                <c:pt idx="41">
                  <c:v>80.0</c:v>
                </c:pt>
                <c:pt idx="42">
                  <c:v>67.0</c:v>
                </c:pt>
                <c:pt idx="43">
                  <c:v>81.0</c:v>
                </c:pt>
                <c:pt idx="44">
                  <c:v>94.5</c:v>
                </c:pt>
                <c:pt idx="45">
                  <c:v>55.33333333333334</c:v>
                </c:pt>
                <c:pt idx="46">
                  <c:v>85.8</c:v>
                </c:pt>
                <c:pt idx="47">
                  <c:v>97.5</c:v>
                </c:pt>
                <c:pt idx="48">
                  <c:v>87.9</c:v>
                </c:pt>
                <c:pt idx="49">
                  <c:v>89.8</c:v>
                </c:pt>
                <c:pt idx="50">
                  <c:v>51.75</c:v>
                </c:pt>
                <c:pt idx="51">
                  <c:v>99.0</c:v>
                </c:pt>
                <c:pt idx="52">
                  <c:v>93.38857142857132</c:v>
                </c:pt>
                <c:pt idx="53">
                  <c:v>96.56666666666666</c:v>
                </c:pt>
                <c:pt idx="54">
                  <c:v>84.0</c:v>
                </c:pt>
                <c:pt idx="55">
                  <c:v>99.7857142857143</c:v>
                </c:pt>
                <c:pt idx="56">
                  <c:v>76.42857142857135</c:v>
                </c:pt>
                <c:pt idx="57">
                  <c:v>78.3</c:v>
                </c:pt>
                <c:pt idx="58">
                  <c:v>95.0</c:v>
                </c:pt>
              </c:numCache>
            </c:numRef>
          </c:yVal>
        </c:ser>
        <c:axId val="770605432"/>
        <c:axId val="770645784"/>
      </c:scatterChart>
      <c:lineChart>
        <c:grouping val="standard"/>
        <c:ser>
          <c:idx val="0"/>
          <c:order val="0"/>
          <c:tx>
            <c:v>Population with wastewater collection</c:v>
          </c:tx>
          <c:spPr>
            <a:ln w="28575">
              <a:noFill/>
            </a:ln>
          </c:spPr>
          <c:marker>
            <c:symbol val="square"/>
            <c:size val="9"/>
            <c:spPr>
              <a:noFill/>
              <a:ln w="15875">
                <a:solidFill>
                  <a:srgbClr val="4F81BD"/>
                </a:solidFill>
              </a:ln>
            </c:spPr>
          </c:marker>
          <c:cat>
            <c:strRef>
              <c:f>'Figure 2.7'!$C$2:$C$60</c:f>
              <c:strCache>
                <c:ptCount val="59"/>
                <c:pt idx="0">
                  <c:v>Guinea</c:v>
                </c:pt>
                <c:pt idx="1">
                  <c:v>Kenya</c:v>
                </c:pt>
                <c:pt idx="2">
                  <c:v>Moldova</c:v>
                </c:pt>
                <c:pt idx="3">
                  <c:v>Iraq</c:v>
                </c:pt>
                <c:pt idx="4">
                  <c:v>Armenia</c:v>
                </c:pt>
                <c:pt idx="5">
                  <c:v>China</c:v>
                </c:pt>
                <c:pt idx="6">
                  <c:v>Jordan</c:v>
                </c:pt>
                <c:pt idx="7">
                  <c:v>Azerbaijan</c:v>
                </c:pt>
                <c:pt idx="8">
                  <c:v>Cuba</c:v>
                </c:pt>
                <c:pt idx="9">
                  <c:v>Tunisia</c:v>
                </c:pt>
                <c:pt idx="10">
                  <c:v>Algeria</c:v>
                </c:pt>
                <c:pt idx="11">
                  <c:v>Brazil</c:v>
                </c:pt>
                <c:pt idx="12">
                  <c:v>Serbia</c:v>
                </c:pt>
                <c:pt idx="13">
                  <c:v>Belarus</c:v>
                </c:pt>
                <c:pt idx="14">
                  <c:v>South Africa</c:v>
                </c:pt>
                <c:pt idx="15">
                  <c:v>Panama</c:v>
                </c:pt>
                <c:pt idx="16">
                  <c:v>Romania</c:v>
                </c:pt>
                <c:pt idx="17">
                  <c:v>Bulgaria</c:v>
                </c:pt>
                <c:pt idx="18">
                  <c:v>Venezuela, RB</c:v>
                </c:pt>
                <c:pt idx="19">
                  <c:v>Mauritius</c:v>
                </c:pt>
                <c:pt idx="20">
                  <c:v>Turkey</c:v>
                </c:pt>
                <c:pt idx="21">
                  <c:v>Chile</c:v>
                </c:pt>
                <c:pt idx="22">
                  <c:v>Mexico</c:v>
                </c:pt>
                <c:pt idx="23">
                  <c:v>Latvia</c:v>
                </c:pt>
                <c:pt idx="24">
                  <c:v>Poland</c:v>
                </c:pt>
                <c:pt idx="25">
                  <c:v>Lithuania</c:v>
                </c:pt>
                <c:pt idx="26">
                  <c:v>Croatia</c:v>
                </c:pt>
                <c:pt idx="27">
                  <c:v>Slovak Republic</c:v>
                </c:pt>
                <c:pt idx="28">
                  <c:v>Estonia</c:v>
                </c:pt>
                <c:pt idx="29">
                  <c:v>Hungary</c:v>
                </c:pt>
                <c:pt idx="30">
                  <c:v>Trinidad and Tobago</c:v>
                </c:pt>
                <c:pt idx="31">
                  <c:v>Czech Republic</c:v>
                </c:pt>
                <c:pt idx="32">
                  <c:v>Malta</c:v>
                </c:pt>
                <c:pt idx="33">
                  <c:v>Portugal</c:v>
                </c:pt>
                <c:pt idx="34">
                  <c:v>Korea, Rep.</c:v>
                </c:pt>
                <c:pt idx="35">
                  <c:v>Israel</c:v>
                </c:pt>
                <c:pt idx="36">
                  <c:v>Slovenia</c:v>
                </c:pt>
                <c:pt idx="37">
                  <c:v>Cyprus</c:v>
                </c:pt>
                <c:pt idx="38">
                  <c:v>Greece</c:v>
                </c:pt>
                <c:pt idx="39">
                  <c:v>Spain</c:v>
                </c:pt>
                <c:pt idx="40">
                  <c:v>Bahrain</c:v>
                </c:pt>
                <c:pt idx="41">
                  <c:v>France</c:v>
                </c:pt>
                <c:pt idx="42">
                  <c:v>Japan</c:v>
                </c:pt>
                <c:pt idx="43">
                  <c:v>Finland</c:v>
                </c:pt>
                <c:pt idx="44">
                  <c:v>Germany</c:v>
                </c:pt>
                <c:pt idx="45">
                  <c:v>Belgium</c:v>
                </c:pt>
                <c:pt idx="46">
                  <c:v>Sweden</c:v>
                </c:pt>
                <c:pt idx="47">
                  <c:v>United Kingdom</c:v>
                </c:pt>
                <c:pt idx="48">
                  <c:v>Denmark</c:v>
                </c:pt>
                <c:pt idx="49">
                  <c:v>Austria</c:v>
                </c:pt>
                <c:pt idx="50">
                  <c:v>Iceland</c:v>
                </c:pt>
                <c:pt idx="51">
                  <c:v>Netherlands</c:v>
                </c:pt>
                <c:pt idx="52">
                  <c:v>Hong Kong  SAR, China</c:v>
                </c:pt>
                <c:pt idx="53">
                  <c:v>Switzerland</c:v>
                </c:pt>
                <c:pt idx="54">
                  <c:v>Ireland</c:v>
                </c:pt>
                <c:pt idx="55">
                  <c:v>Singapore</c:v>
                </c:pt>
                <c:pt idx="56">
                  <c:v>Norway</c:v>
                </c:pt>
                <c:pt idx="57">
                  <c:v>United Arab Emirates</c:v>
                </c:pt>
                <c:pt idx="58">
                  <c:v>Luxembourg</c:v>
                </c:pt>
              </c:strCache>
            </c:strRef>
          </c:cat>
          <c:val>
            <c:numRef>
              <c:f>'Figure 2.7'!$E$2:$E$60</c:f>
              <c:numCache>
                <c:formatCode>0.00</c:formatCode>
                <c:ptCount val="59"/>
                <c:pt idx="0">
                  <c:v>10.25</c:v>
                </c:pt>
                <c:pt idx="1">
                  <c:v>4.899999999999999</c:v>
                </c:pt>
                <c:pt idx="2">
                  <c:v>58.66666666666654</c:v>
                </c:pt>
                <c:pt idx="3">
                  <c:v>25.85</c:v>
                </c:pt>
                <c:pt idx="4">
                  <c:v>63.65714285714284</c:v>
                </c:pt>
                <c:pt idx="5">
                  <c:v>42.67666666666656</c:v>
                </c:pt>
                <c:pt idx="6">
                  <c:v>83.9375</c:v>
                </c:pt>
                <c:pt idx="7">
                  <c:v>36.86666666666653</c:v>
                </c:pt>
                <c:pt idx="8">
                  <c:v>37.74285714285714</c:v>
                </c:pt>
                <c:pt idx="9">
                  <c:v>52.93714285714285</c:v>
                </c:pt>
                <c:pt idx="10">
                  <c:v>84.2857142857143</c:v>
                </c:pt>
                <c:pt idx="11">
                  <c:v>46.44285714285714</c:v>
                </c:pt>
                <c:pt idx="12">
                  <c:v>47.66666666666654</c:v>
                </c:pt>
                <c:pt idx="13">
                  <c:v>94.48333333333331</c:v>
                </c:pt>
                <c:pt idx="14">
                  <c:v>56.0</c:v>
                </c:pt>
                <c:pt idx="15">
                  <c:v>51.25</c:v>
                </c:pt>
                <c:pt idx="16">
                  <c:v>41.83333333333334</c:v>
                </c:pt>
                <c:pt idx="17">
                  <c:v>69.14285714285703</c:v>
                </c:pt>
                <c:pt idx="18">
                  <c:v>79.55714285714285</c:v>
                </c:pt>
                <c:pt idx="19">
                  <c:v>23.0</c:v>
                </c:pt>
                <c:pt idx="20">
                  <c:v>69.33333333333323</c:v>
                </c:pt>
                <c:pt idx="21">
                  <c:v>94.84285714285704</c:v>
                </c:pt>
                <c:pt idx="22">
                  <c:v>67.6</c:v>
                </c:pt>
                <c:pt idx="23">
                  <c:v>71.0</c:v>
                </c:pt>
                <c:pt idx="24">
                  <c:v>58.85714285714278</c:v>
                </c:pt>
                <c:pt idx="25">
                  <c:v>66.66666666666667</c:v>
                </c:pt>
                <c:pt idx="26">
                  <c:v>43.0</c:v>
                </c:pt>
                <c:pt idx="27">
                  <c:v>56.5</c:v>
                </c:pt>
                <c:pt idx="28">
                  <c:v>74.2857142857143</c:v>
                </c:pt>
                <c:pt idx="29">
                  <c:v>63.0</c:v>
                </c:pt>
                <c:pt idx="30">
                  <c:v>23.4</c:v>
                </c:pt>
                <c:pt idx="31">
                  <c:v>79.14285714285703</c:v>
                </c:pt>
                <c:pt idx="32">
                  <c:v>98.0</c:v>
                </c:pt>
                <c:pt idx="33">
                  <c:v>75.0</c:v>
                </c:pt>
                <c:pt idx="34">
                  <c:v>78.8</c:v>
                </c:pt>
                <c:pt idx="35">
                  <c:v>92.9</c:v>
                </c:pt>
                <c:pt idx="36">
                  <c:v>63.0</c:v>
                </c:pt>
                <c:pt idx="37">
                  <c:v>24.75</c:v>
                </c:pt>
                <c:pt idx="38">
                  <c:v>85.0</c:v>
                </c:pt>
                <c:pt idx="39">
                  <c:v>100.0</c:v>
                </c:pt>
                <c:pt idx="40">
                  <c:v>83.33333333333323</c:v>
                </c:pt>
                <c:pt idx="41">
                  <c:v>82.0</c:v>
                </c:pt>
                <c:pt idx="42">
                  <c:v>67.0</c:v>
                </c:pt>
                <c:pt idx="43">
                  <c:v>81.0</c:v>
                </c:pt>
                <c:pt idx="44">
                  <c:v>96.0</c:v>
                </c:pt>
                <c:pt idx="45">
                  <c:v>85.16666666666667</c:v>
                </c:pt>
                <c:pt idx="46">
                  <c:v>85.8</c:v>
                </c:pt>
                <c:pt idx="47">
                  <c:v>97.7</c:v>
                </c:pt>
                <c:pt idx="48">
                  <c:v>87.9</c:v>
                </c:pt>
                <c:pt idx="49">
                  <c:v>89.8</c:v>
                </c:pt>
                <c:pt idx="50">
                  <c:v>90.0</c:v>
                </c:pt>
                <c:pt idx="51">
                  <c:v>99.0</c:v>
                </c:pt>
                <c:pt idx="52">
                  <c:v>93.38857142857132</c:v>
                </c:pt>
                <c:pt idx="53">
                  <c:v>96.56666666666666</c:v>
                </c:pt>
                <c:pt idx="54">
                  <c:v>95.0</c:v>
                </c:pt>
                <c:pt idx="55">
                  <c:v>100.0</c:v>
                </c:pt>
                <c:pt idx="56">
                  <c:v>81.66666666666667</c:v>
                </c:pt>
                <c:pt idx="57">
                  <c:v>78.3</c:v>
                </c:pt>
                <c:pt idx="58">
                  <c:v>95.0</c:v>
                </c:pt>
              </c:numCache>
            </c:numRef>
          </c:val>
        </c:ser>
        <c:marker val="1"/>
        <c:axId val="770605432"/>
        <c:axId val="770645784"/>
      </c:lineChart>
      <c:catAx>
        <c:axId val="770605432"/>
        <c:scaling>
          <c:orientation val="minMax"/>
        </c:scaling>
        <c:axPos val="b"/>
        <c:majorGridlines/>
        <c:numFmt formatCode="General" sourceLinked="1"/>
        <c:tickLblPos val="nextTo"/>
        <c:spPr>
          <a:ln w="3175">
            <a:solidFill>
              <a:srgbClr val="000000"/>
            </a:solidFill>
            <a:prstDash val="solid"/>
          </a:ln>
        </c:spPr>
        <c:txPr>
          <a:bodyPr rot="-5400000" vert="horz"/>
          <a:lstStyle/>
          <a:p>
            <a:pPr>
              <a:defRPr/>
            </a:pPr>
            <a:endParaRPr lang="en-US"/>
          </a:p>
        </c:txPr>
        <c:crossAx val="770645784"/>
        <c:crosses val="autoZero"/>
        <c:auto val="1"/>
        <c:lblAlgn val="ctr"/>
        <c:lblOffset val="100"/>
        <c:tickLblSkip val="1"/>
        <c:tickMarkSkip val="1"/>
      </c:catAx>
      <c:valAx>
        <c:axId val="770645784"/>
        <c:scaling>
          <c:orientation val="minMax"/>
          <c:max val="100.0"/>
        </c:scaling>
        <c:axPos val="l"/>
        <c:majorGridlines>
          <c:spPr>
            <a:ln>
              <a:prstDash val="sysDash"/>
            </a:ln>
          </c:spPr>
        </c:majorGridlines>
        <c:title>
          <c:tx>
            <c:rich>
              <a:bodyPr rot="-5400000" vert="horz"/>
              <a:lstStyle/>
              <a:p>
                <a:pPr>
                  <a:defRPr b="0"/>
                </a:pPr>
                <a:r>
                  <a:rPr lang="en-US" b="0"/>
                  <a:t>Percentage</a:t>
                </a:r>
              </a:p>
            </c:rich>
          </c:tx>
        </c:title>
        <c:numFmt formatCode="0" sourceLinked="0"/>
        <c:tickLblPos val="nextTo"/>
        <c:crossAx val="770605432"/>
        <c:crosses val="autoZero"/>
        <c:crossBetween val="between"/>
      </c:valAx>
    </c:plotArea>
    <c:legend>
      <c:legendPos val="b"/>
    </c:legend>
    <c:plotVisOnly val="1"/>
    <c:dispBlanksAs val="gap"/>
  </c:chart>
  <c:txPr>
    <a:bodyPr/>
    <a:lstStyle/>
    <a:p>
      <a:pPr>
        <a:defRPr>
          <a:latin typeface="Times New Roman"/>
          <a:cs typeface="Times New Roman"/>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2"/>
  <c:chart>
    <c:autoTitleDeleted val="1"/>
    <c:plotArea>
      <c:layout>
        <c:manualLayout>
          <c:layoutTarget val="inner"/>
          <c:xMode val="edge"/>
          <c:yMode val="edge"/>
          <c:x val="0.197064812527432"/>
          <c:y val="0.0394021700808633"/>
          <c:w val="0.754051292628933"/>
          <c:h val="0.671973408471044"/>
        </c:manualLayout>
      </c:layout>
      <c:areaChart>
        <c:grouping val="stacked"/>
        <c:ser>
          <c:idx val="0"/>
          <c:order val="0"/>
          <c:tx>
            <c:strRef>
              <c:f>'Figure 2.9'!$A$9</c:f>
              <c:strCache>
                <c:ptCount val="1"/>
                <c:pt idx="0">
                  <c:v>East Asia and Pacific</c:v>
                </c:pt>
              </c:strCache>
            </c:strRef>
          </c:tx>
          <c:cat>
            <c:numRef>
              <c:f>'Figure 2.9'!$B$8:$I$8</c:f>
              <c:numCache>
                <c:formatCode>General</c:formatCode>
                <c:ptCount val="8"/>
                <c:pt idx="0">
                  <c:v>1975.0</c:v>
                </c:pt>
                <c:pt idx="1">
                  <c:v>1980.0</c:v>
                </c:pt>
                <c:pt idx="2">
                  <c:v>1985.0</c:v>
                </c:pt>
                <c:pt idx="3">
                  <c:v>1990.0</c:v>
                </c:pt>
                <c:pt idx="4">
                  <c:v>1995.0</c:v>
                </c:pt>
                <c:pt idx="5">
                  <c:v>2000.0</c:v>
                </c:pt>
                <c:pt idx="6">
                  <c:v>2005.0</c:v>
                </c:pt>
                <c:pt idx="7">
                  <c:v>2008.0</c:v>
                </c:pt>
              </c:numCache>
            </c:numRef>
          </c:cat>
          <c:val>
            <c:numRef>
              <c:f>'Figure 2.9'!$B$9:$I$9</c:f>
              <c:numCache>
                <c:formatCode>0.00</c:formatCode>
                <c:ptCount val="8"/>
                <c:pt idx="0">
                  <c:v>55.99449959983689</c:v>
                </c:pt>
                <c:pt idx="1">
                  <c:v>92.709</c:v>
                </c:pt>
                <c:pt idx="2">
                  <c:v>126.859</c:v>
                </c:pt>
                <c:pt idx="3">
                  <c:v>187.341</c:v>
                </c:pt>
                <c:pt idx="4">
                  <c:v>289.2472</c:v>
                </c:pt>
                <c:pt idx="5">
                  <c:v>416.3066000000001</c:v>
                </c:pt>
                <c:pt idx="6">
                  <c:v>644.8737999999998</c:v>
                </c:pt>
                <c:pt idx="7">
                  <c:v>932.3264399999994</c:v>
                </c:pt>
              </c:numCache>
            </c:numRef>
          </c:val>
        </c:ser>
        <c:ser>
          <c:idx val="1"/>
          <c:order val="1"/>
          <c:tx>
            <c:strRef>
              <c:f>'Figure 2.9'!$A$10</c:f>
              <c:strCache>
                <c:ptCount val="1"/>
                <c:pt idx="0">
                  <c:v>Europe and Central Asia</c:v>
                </c:pt>
              </c:strCache>
            </c:strRef>
          </c:tx>
          <c:cat>
            <c:numRef>
              <c:f>'Figure 2.9'!$B$8:$I$8</c:f>
              <c:numCache>
                <c:formatCode>General</c:formatCode>
                <c:ptCount val="8"/>
                <c:pt idx="0">
                  <c:v>1975.0</c:v>
                </c:pt>
                <c:pt idx="1">
                  <c:v>1980.0</c:v>
                </c:pt>
                <c:pt idx="2">
                  <c:v>1985.0</c:v>
                </c:pt>
                <c:pt idx="3">
                  <c:v>1990.0</c:v>
                </c:pt>
                <c:pt idx="4">
                  <c:v>1995.0</c:v>
                </c:pt>
                <c:pt idx="5">
                  <c:v>2000.0</c:v>
                </c:pt>
                <c:pt idx="6">
                  <c:v>2005.0</c:v>
                </c:pt>
                <c:pt idx="7">
                  <c:v>2008.0</c:v>
                </c:pt>
              </c:numCache>
            </c:numRef>
          </c:cat>
          <c:val>
            <c:numRef>
              <c:f>'Figure 2.9'!$B$10:$I$10</c:f>
              <c:numCache>
                <c:formatCode>0.00</c:formatCode>
                <c:ptCount val="8"/>
                <c:pt idx="0">
                  <c:v>257.2787272607206</c:v>
                </c:pt>
                <c:pt idx="1">
                  <c:v>306.3855909167935</c:v>
                </c:pt>
                <c:pt idx="2">
                  <c:v>363.8393925570402</c:v>
                </c:pt>
                <c:pt idx="3">
                  <c:v>406.7478809395637</c:v>
                </c:pt>
                <c:pt idx="4">
                  <c:v>408.3959999999989</c:v>
                </c:pt>
                <c:pt idx="5">
                  <c:v>408.6375</c:v>
                </c:pt>
                <c:pt idx="6">
                  <c:v>430.7629999999992</c:v>
                </c:pt>
                <c:pt idx="7">
                  <c:v>438.7079999999989</c:v>
                </c:pt>
              </c:numCache>
            </c:numRef>
          </c:val>
        </c:ser>
        <c:ser>
          <c:idx val="2"/>
          <c:order val="2"/>
          <c:tx>
            <c:strRef>
              <c:f>'Figure 2.9'!$A$11</c:f>
              <c:strCache>
                <c:ptCount val="1"/>
                <c:pt idx="0">
                  <c:v>Latin America and the Caribbean</c:v>
                </c:pt>
              </c:strCache>
            </c:strRef>
          </c:tx>
          <c:cat>
            <c:numRef>
              <c:f>'Figure 2.9'!$B$8:$I$8</c:f>
              <c:numCache>
                <c:formatCode>General</c:formatCode>
                <c:ptCount val="8"/>
                <c:pt idx="0">
                  <c:v>1975.0</c:v>
                </c:pt>
                <c:pt idx="1">
                  <c:v>1980.0</c:v>
                </c:pt>
                <c:pt idx="2">
                  <c:v>1985.0</c:v>
                </c:pt>
                <c:pt idx="3">
                  <c:v>1990.0</c:v>
                </c:pt>
                <c:pt idx="4">
                  <c:v>1995.0</c:v>
                </c:pt>
                <c:pt idx="5">
                  <c:v>2000.0</c:v>
                </c:pt>
                <c:pt idx="6">
                  <c:v>2005.0</c:v>
                </c:pt>
                <c:pt idx="7">
                  <c:v>2008.0</c:v>
                </c:pt>
              </c:numCache>
            </c:numRef>
          </c:cat>
          <c:val>
            <c:numRef>
              <c:f>'Figure 2.9'!$B$11:$I$11</c:f>
              <c:numCache>
                <c:formatCode>0.00</c:formatCode>
                <c:ptCount val="8"/>
                <c:pt idx="0">
                  <c:v>64.04903883650867</c:v>
                </c:pt>
                <c:pt idx="1">
                  <c:v>94.33800000000001</c:v>
                </c:pt>
                <c:pt idx="2">
                  <c:v>131.813</c:v>
                </c:pt>
                <c:pt idx="3">
                  <c:v>157.103</c:v>
                </c:pt>
                <c:pt idx="4">
                  <c:v>182.2796999999997</c:v>
                </c:pt>
                <c:pt idx="5">
                  <c:v>221.6407699999998</c:v>
                </c:pt>
                <c:pt idx="6">
                  <c:v>262.32382</c:v>
                </c:pt>
                <c:pt idx="7">
                  <c:v>288.6137800000003</c:v>
                </c:pt>
              </c:numCache>
            </c:numRef>
          </c:val>
        </c:ser>
        <c:ser>
          <c:idx val="3"/>
          <c:order val="3"/>
          <c:tx>
            <c:strRef>
              <c:f>'Figure 2.9'!$A$12</c:f>
              <c:strCache>
                <c:ptCount val="1"/>
                <c:pt idx="0">
                  <c:v>Middle East and North Africa</c:v>
                </c:pt>
              </c:strCache>
            </c:strRef>
          </c:tx>
          <c:cat>
            <c:numRef>
              <c:f>'Figure 2.9'!$B$8:$I$8</c:f>
              <c:numCache>
                <c:formatCode>General</c:formatCode>
                <c:ptCount val="8"/>
                <c:pt idx="0">
                  <c:v>1975.0</c:v>
                </c:pt>
                <c:pt idx="1">
                  <c:v>1980.0</c:v>
                </c:pt>
                <c:pt idx="2">
                  <c:v>1985.0</c:v>
                </c:pt>
                <c:pt idx="3">
                  <c:v>1990.0</c:v>
                </c:pt>
                <c:pt idx="4">
                  <c:v>1995.0</c:v>
                </c:pt>
                <c:pt idx="5">
                  <c:v>2000.0</c:v>
                </c:pt>
                <c:pt idx="6">
                  <c:v>2005.0</c:v>
                </c:pt>
                <c:pt idx="7">
                  <c:v>2008.0</c:v>
                </c:pt>
              </c:numCache>
            </c:numRef>
          </c:cat>
          <c:val>
            <c:numRef>
              <c:f>'Figure 2.9'!$B$12:$I$12</c:f>
              <c:numCache>
                <c:formatCode>0.00</c:formatCode>
                <c:ptCount val="8"/>
                <c:pt idx="0">
                  <c:v>22.16457201642189</c:v>
                </c:pt>
                <c:pt idx="1">
                  <c:v>26.76899999999992</c:v>
                </c:pt>
                <c:pt idx="2">
                  <c:v>41.4</c:v>
                </c:pt>
                <c:pt idx="3">
                  <c:v>57.99002</c:v>
                </c:pt>
                <c:pt idx="4">
                  <c:v>70.12199999999998</c:v>
                </c:pt>
                <c:pt idx="5">
                  <c:v>85.5952</c:v>
                </c:pt>
                <c:pt idx="6">
                  <c:v>107.1023999999999</c:v>
                </c:pt>
                <c:pt idx="7">
                  <c:v>121.7905</c:v>
                </c:pt>
              </c:numCache>
            </c:numRef>
          </c:val>
        </c:ser>
        <c:ser>
          <c:idx val="4"/>
          <c:order val="4"/>
          <c:tx>
            <c:strRef>
              <c:f>'Figure 2.9'!$A$13</c:f>
              <c:strCache>
                <c:ptCount val="1"/>
                <c:pt idx="0">
                  <c:v>South Asia</c:v>
                </c:pt>
              </c:strCache>
            </c:strRef>
          </c:tx>
          <c:cat>
            <c:numRef>
              <c:f>'Figure 2.9'!$B$8:$I$8</c:f>
              <c:numCache>
                <c:formatCode>General</c:formatCode>
                <c:ptCount val="8"/>
                <c:pt idx="0">
                  <c:v>1975.0</c:v>
                </c:pt>
                <c:pt idx="1">
                  <c:v>1980.0</c:v>
                </c:pt>
                <c:pt idx="2">
                  <c:v>1985.0</c:v>
                </c:pt>
                <c:pt idx="3">
                  <c:v>1990.0</c:v>
                </c:pt>
                <c:pt idx="4">
                  <c:v>1995.0</c:v>
                </c:pt>
                <c:pt idx="5">
                  <c:v>2000.0</c:v>
                </c:pt>
                <c:pt idx="6">
                  <c:v>2005.0</c:v>
                </c:pt>
                <c:pt idx="7">
                  <c:v>2008.0</c:v>
                </c:pt>
              </c:numCache>
            </c:numRef>
          </c:cat>
          <c:val>
            <c:numRef>
              <c:f>'Figure 2.9'!$B$13:$I$13</c:f>
              <c:numCache>
                <c:formatCode>0.00</c:formatCode>
                <c:ptCount val="8"/>
                <c:pt idx="0">
                  <c:v>27.77463905427888</c:v>
                </c:pt>
                <c:pt idx="1">
                  <c:v>39.504</c:v>
                </c:pt>
                <c:pt idx="2">
                  <c:v>62.936</c:v>
                </c:pt>
                <c:pt idx="3">
                  <c:v>87.37899999999995</c:v>
                </c:pt>
                <c:pt idx="4">
                  <c:v>113.5222</c:v>
                </c:pt>
                <c:pt idx="5">
                  <c:v>136.96607</c:v>
                </c:pt>
                <c:pt idx="6">
                  <c:v>175.7868</c:v>
                </c:pt>
                <c:pt idx="7">
                  <c:v>208.01452</c:v>
                </c:pt>
              </c:numCache>
            </c:numRef>
          </c:val>
        </c:ser>
        <c:ser>
          <c:idx val="5"/>
          <c:order val="5"/>
          <c:tx>
            <c:strRef>
              <c:f>'Figure 2.9'!$A$14</c:f>
              <c:strCache>
                <c:ptCount val="1"/>
                <c:pt idx="0">
                  <c:v>Sub-Saharan Africa</c:v>
                </c:pt>
              </c:strCache>
            </c:strRef>
          </c:tx>
          <c:cat>
            <c:numRef>
              <c:f>'Figure 2.9'!$B$8:$I$8</c:f>
              <c:numCache>
                <c:formatCode>General</c:formatCode>
                <c:ptCount val="8"/>
                <c:pt idx="0">
                  <c:v>1975.0</c:v>
                </c:pt>
                <c:pt idx="1">
                  <c:v>1980.0</c:v>
                </c:pt>
                <c:pt idx="2">
                  <c:v>1985.0</c:v>
                </c:pt>
                <c:pt idx="3">
                  <c:v>1990.0</c:v>
                </c:pt>
                <c:pt idx="4">
                  <c:v>1995.0</c:v>
                </c:pt>
                <c:pt idx="5">
                  <c:v>2000.0</c:v>
                </c:pt>
                <c:pt idx="6">
                  <c:v>2005.0</c:v>
                </c:pt>
                <c:pt idx="7">
                  <c:v>2008.0</c:v>
                </c:pt>
              </c:numCache>
            </c:numRef>
          </c:cat>
          <c:val>
            <c:numRef>
              <c:f>'Figure 2.9'!$B$14:$I$14</c:f>
              <c:numCache>
                <c:formatCode>0.00</c:formatCode>
                <c:ptCount val="8"/>
                <c:pt idx="0">
                  <c:v>28.40223707974078</c:v>
                </c:pt>
                <c:pt idx="1">
                  <c:v>36.5158802331182</c:v>
                </c:pt>
                <c:pt idx="2">
                  <c:v>44.12157479017861</c:v>
                </c:pt>
                <c:pt idx="3">
                  <c:v>58.07106466872391</c:v>
                </c:pt>
                <c:pt idx="4">
                  <c:v>62.34498</c:v>
                </c:pt>
                <c:pt idx="5">
                  <c:v>71.65947999999975</c:v>
                </c:pt>
                <c:pt idx="6">
                  <c:v>70.59581999999997</c:v>
                </c:pt>
                <c:pt idx="7">
                  <c:v>74.38249999999998</c:v>
                </c:pt>
              </c:numCache>
            </c:numRef>
          </c:val>
        </c:ser>
        <c:ser>
          <c:idx val="6"/>
          <c:order val="6"/>
          <c:tx>
            <c:strRef>
              <c:f>'Figure 2.9'!$A$15</c:f>
              <c:strCache>
                <c:ptCount val="1"/>
                <c:pt idx="0">
                  <c:v>High-income countries</c:v>
                </c:pt>
              </c:strCache>
            </c:strRef>
          </c:tx>
          <c:spPr>
            <a:ln>
              <a:solidFill>
                <a:schemeClr val="accent1"/>
              </a:solidFill>
            </a:ln>
          </c:spPr>
          <c:cat>
            <c:numRef>
              <c:f>'Figure 2.9'!$B$8:$I$8</c:f>
              <c:numCache>
                <c:formatCode>General</c:formatCode>
                <c:ptCount val="8"/>
                <c:pt idx="0">
                  <c:v>1975.0</c:v>
                </c:pt>
                <c:pt idx="1">
                  <c:v>1980.0</c:v>
                </c:pt>
                <c:pt idx="2">
                  <c:v>1985.0</c:v>
                </c:pt>
                <c:pt idx="3">
                  <c:v>1990.0</c:v>
                </c:pt>
                <c:pt idx="4">
                  <c:v>1995.0</c:v>
                </c:pt>
                <c:pt idx="5">
                  <c:v>2000.0</c:v>
                </c:pt>
                <c:pt idx="6">
                  <c:v>2005.0</c:v>
                </c:pt>
                <c:pt idx="7">
                  <c:v>2008.0</c:v>
                </c:pt>
              </c:numCache>
            </c:numRef>
          </c:cat>
          <c:val>
            <c:numRef>
              <c:f>'Figure 2.9'!$B$15:$I$15</c:f>
              <c:numCache>
                <c:formatCode>0.00</c:formatCode>
                <c:ptCount val="8"/>
                <c:pt idx="0">
                  <c:v>1143.751006390242</c:v>
                </c:pt>
                <c:pt idx="1">
                  <c:v>1387.093189083206</c:v>
                </c:pt>
                <c:pt idx="2">
                  <c:v>1629.68486744296</c:v>
                </c:pt>
                <c:pt idx="3">
                  <c:v>1808.965679060442</c:v>
                </c:pt>
                <c:pt idx="4">
                  <c:v>1935.56132</c:v>
                </c:pt>
                <c:pt idx="5">
                  <c:v>2110.287839999993</c:v>
                </c:pt>
                <c:pt idx="6">
                  <c:v>2416.099850000001</c:v>
                </c:pt>
                <c:pt idx="7">
                  <c:v>2556.016</c:v>
                </c:pt>
              </c:numCache>
            </c:numRef>
          </c:val>
        </c:ser>
        <c:axId val="715868488"/>
        <c:axId val="811599560"/>
      </c:areaChart>
      <c:catAx>
        <c:axId val="715868488"/>
        <c:scaling>
          <c:orientation val="minMax"/>
        </c:scaling>
        <c:axPos val="b"/>
        <c:title>
          <c:tx>
            <c:rich>
              <a:bodyPr/>
              <a:lstStyle/>
              <a:p>
                <a:pPr>
                  <a:defRPr/>
                </a:pPr>
                <a:r>
                  <a:rPr lang="en-US"/>
                  <a:t>Year</a:t>
                </a:r>
              </a:p>
            </c:rich>
          </c:tx>
          <c:layout>
            <c:manualLayout>
              <c:xMode val="edge"/>
              <c:yMode val="edge"/>
              <c:x val="0.533225137922155"/>
              <c:y val="0.776347416013022"/>
            </c:manualLayout>
          </c:layout>
        </c:title>
        <c:numFmt formatCode="General" sourceLinked="1"/>
        <c:tickLblPos val="nextTo"/>
        <c:crossAx val="811599560"/>
        <c:crosses val="autoZero"/>
        <c:auto val="1"/>
        <c:lblAlgn val="ctr"/>
        <c:lblOffset val="100"/>
      </c:catAx>
      <c:valAx>
        <c:axId val="811599560"/>
        <c:scaling>
          <c:orientation val="minMax"/>
        </c:scaling>
        <c:axPos val="l"/>
        <c:majorGridlines/>
        <c:title>
          <c:tx>
            <c:rich>
              <a:bodyPr rot="-5400000" vert="horz"/>
              <a:lstStyle/>
              <a:p>
                <a:pPr>
                  <a:defRPr/>
                </a:pPr>
                <a:r>
                  <a:rPr lang="en-US"/>
                  <a:t>Total installed electricity generating capacity (gigawatts)</a:t>
                </a:r>
              </a:p>
            </c:rich>
          </c:tx>
          <c:layout>
            <c:manualLayout>
              <c:xMode val="edge"/>
              <c:yMode val="edge"/>
              <c:x val="0.0226560158190016"/>
              <c:y val="0.0394021700808633"/>
            </c:manualLayout>
          </c:layout>
        </c:title>
        <c:numFmt formatCode="0" sourceLinked="0"/>
        <c:tickLblPos val="nextTo"/>
        <c:crossAx val="715868488"/>
        <c:crosses val="autoZero"/>
        <c:crossBetween val="midCat"/>
      </c:valAx>
    </c:plotArea>
    <c:legend>
      <c:legendPos val="b"/>
      <c:layout>
        <c:manualLayout>
          <c:xMode val="edge"/>
          <c:yMode val="edge"/>
          <c:x val="0.0144008384879395"/>
          <c:y val="0.820236390905682"/>
          <c:w val="0.950330654033749"/>
          <c:h val="0.161726023765403"/>
        </c:manualLayout>
      </c:layout>
    </c:legend>
    <c:plotVisOnly val="1"/>
    <c:dispBlanksAs val="zero"/>
  </c:chart>
  <c:txPr>
    <a:bodyPr/>
    <a:lstStyle/>
    <a:p>
      <a:pPr>
        <a:defRPr b="0">
          <a:latin typeface="Times New Roman"/>
          <a:cs typeface="Times New Roman"/>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style val="2"/>
  <c:chart>
    <c:autoTitleDeleted val="1"/>
    <c:plotArea>
      <c:layout>
        <c:manualLayout>
          <c:layoutTarget val="inner"/>
          <c:xMode val="edge"/>
          <c:yMode val="edge"/>
          <c:x val="0.209625264067601"/>
          <c:y val="0.0402981311705612"/>
          <c:w val="0.747041962742462"/>
          <c:h val="0.688743143230928"/>
        </c:manualLayout>
      </c:layout>
      <c:areaChart>
        <c:grouping val="stacked"/>
        <c:ser>
          <c:idx val="0"/>
          <c:order val="0"/>
          <c:tx>
            <c:strRef>
              <c:f>'[2]By Income'!$A$9</c:f>
              <c:strCache>
                <c:ptCount val="1"/>
                <c:pt idx="0">
                  <c:v>Low-income economies</c:v>
                </c:pt>
              </c:strCache>
            </c:strRef>
          </c:tx>
          <c:spPr>
            <a:ln>
              <a:solidFill>
                <a:schemeClr val="accent4"/>
              </a:solidFill>
            </a:ln>
          </c:spPr>
          <c:cat>
            <c:numRef>
              <c:f>'[2]By Income'!$B$8:$I$8</c:f>
              <c:numCache>
                <c:formatCode>General</c:formatCode>
                <c:ptCount val="8"/>
                <c:pt idx="0">
                  <c:v>1975.0</c:v>
                </c:pt>
                <c:pt idx="1">
                  <c:v>1980.0</c:v>
                </c:pt>
                <c:pt idx="2">
                  <c:v>1985.0</c:v>
                </c:pt>
                <c:pt idx="3">
                  <c:v>1990.0</c:v>
                </c:pt>
                <c:pt idx="4">
                  <c:v>1995.0</c:v>
                </c:pt>
                <c:pt idx="5">
                  <c:v>2000.0</c:v>
                </c:pt>
                <c:pt idx="6">
                  <c:v>2005.0</c:v>
                </c:pt>
                <c:pt idx="7">
                  <c:v>2008.0</c:v>
                </c:pt>
              </c:numCache>
            </c:numRef>
          </c:cat>
          <c:val>
            <c:numRef>
              <c:f>'[2]By Income'!$B$9:$I$9</c:f>
              <c:numCache>
                <c:formatCode>General</c:formatCode>
                <c:ptCount val="8"/>
                <c:pt idx="0">
                  <c:v>17.27623241746613</c:v>
                </c:pt>
                <c:pt idx="1">
                  <c:v>22.33962023365297</c:v>
                </c:pt>
                <c:pt idx="2">
                  <c:v>27.60490805178264</c:v>
                </c:pt>
                <c:pt idx="3">
                  <c:v>32.78206630470891</c:v>
                </c:pt>
                <c:pt idx="4">
                  <c:v>33.83098</c:v>
                </c:pt>
                <c:pt idx="5">
                  <c:v>35.24974</c:v>
                </c:pt>
                <c:pt idx="6">
                  <c:v>38.26992000000001</c:v>
                </c:pt>
                <c:pt idx="7">
                  <c:v>39.85739</c:v>
                </c:pt>
              </c:numCache>
            </c:numRef>
          </c:val>
        </c:ser>
        <c:ser>
          <c:idx val="1"/>
          <c:order val="1"/>
          <c:tx>
            <c:strRef>
              <c:f>'[2]By Income'!$A$10</c:f>
              <c:strCache>
                <c:ptCount val="1"/>
                <c:pt idx="0">
                  <c:v>Lower-middle-income economies</c:v>
                </c:pt>
              </c:strCache>
            </c:strRef>
          </c:tx>
          <c:cat>
            <c:numRef>
              <c:f>'[2]By Income'!$B$8:$I$8</c:f>
              <c:numCache>
                <c:formatCode>General</c:formatCode>
                <c:ptCount val="8"/>
                <c:pt idx="0">
                  <c:v>1975.0</c:v>
                </c:pt>
                <c:pt idx="1">
                  <c:v>1980.0</c:v>
                </c:pt>
                <c:pt idx="2">
                  <c:v>1985.0</c:v>
                </c:pt>
                <c:pt idx="3">
                  <c:v>1990.0</c:v>
                </c:pt>
                <c:pt idx="4">
                  <c:v>1995.0</c:v>
                </c:pt>
                <c:pt idx="5">
                  <c:v>2000.0</c:v>
                </c:pt>
                <c:pt idx="6">
                  <c:v>2005.0</c:v>
                </c:pt>
                <c:pt idx="7">
                  <c:v>2008.0</c:v>
                </c:pt>
              </c:numCache>
            </c:numRef>
          </c:cat>
          <c:val>
            <c:numRef>
              <c:f>'[2]By Income'!$B$10:$I$10</c:f>
              <c:numCache>
                <c:formatCode>General</c:formatCode>
                <c:ptCount val="8"/>
                <c:pt idx="0">
                  <c:v>105.4210911756462</c:v>
                </c:pt>
                <c:pt idx="1">
                  <c:v>132.6330318463921</c:v>
                </c:pt>
                <c:pt idx="2">
                  <c:v>186.7716193220852</c:v>
                </c:pt>
                <c:pt idx="3">
                  <c:v>237.5394031275835</c:v>
                </c:pt>
                <c:pt idx="4">
                  <c:v>273.4463999999982</c:v>
                </c:pt>
                <c:pt idx="5">
                  <c:v>315.70792</c:v>
                </c:pt>
                <c:pt idx="6">
                  <c:v>376.7226200000001</c:v>
                </c:pt>
                <c:pt idx="7">
                  <c:v>415.7432500000002</c:v>
                </c:pt>
              </c:numCache>
            </c:numRef>
          </c:val>
        </c:ser>
        <c:ser>
          <c:idx val="2"/>
          <c:order val="2"/>
          <c:tx>
            <c:strRef>
              <c:f>'[2]By Income'!$A$11</c:f>
              <c:strCache>
                <c:ptCount val="1"/>
                <c:pt idx="0">
                  <c:v>Upper-middle-income economies</c:v>
                </c:pt>
              </c:strCache>
            </c:strRef>
          </c:tx>
          <c:cat>
            <c:numRef>
              <c:f>'[2]By Income'!$B$8:$I$8</c:f>
              <c:numCache>
                <c:formatCode>General</c:formatCode>
                <c:ptCount val="8"/>
                <c:pt idx="0">
                  <c:v>1975.0</c:v>
                </c:pt>
                <c:pt idx="1">
                  <c:v>1980.0</c:v>
                </c:pt>
                <c:pt idx="2">
                  <c:v>1985.0</c:v>
                </c:pt>
                <c:pt idx="3">
                  <c:v>1990.0</c:v>
                </c:pt>
                <c:pt idx="4">
                  <c:v>1995.0</c:v>
                </c:pt>
                <c:pt idx="5">
                  <c:v>2000.0</c:v>
                </c:pt>
                <c:pt idx="6">
                  <c:v>2005.0</c:v>
                </c:pt>
                <c:pt idx="7">
                  <c:v>2008.0</c:v>
                </c:pt>
              </c:numCache>
            </c:numRef>
          </c:cat>
          <c:val>
            <c:numRef>
              <c:f>'[2]By Income'!$B$11:$I$11</c:f>
              <c:numCache>
                <c:formatCode>General</c:formatCode>
                <c:ptCount val="8"/>
                <c:pt idx="0">
                  <c:v>332.9663902543952</c:v>
                </c:pt>
                <c:pt idx="1">
                  <c:v>441.248819069867</c:v>
                </c:pt>
                <c:pt idx="2">
                  <c:v>556.5924399733535</c:v>
                </c:pt>
                <c:pt idx="3">
                  <c:v>684.3104961759924</c:v>
                </c:pt>
                <c:pt idx="4">
                  <c:v>818.6347000000005</c:v>
                </c:pt>
                <c:pt idx="5">
                  <c:v>989.8479599999953</c:v>
                </c:pt>
                <c:pt idx="6">
                  <c:v>1276.4531</c:v>
                </c:pt>
                <c:pt idx="7">
                  <c:v>1608.2351</c:v>
                </c:pt>
              </c:numCache>
            </c:numRef>
          </c:val>
        </c:ser>
        <c:ser>
          <c:idx val="3"/>
          <c:order val="3"/>
          <c:tx>
            <c:strRef>
              <c:f>'[2]By Income'!$A$12</c:f>
              <c:strCache>
                <c:ptCount val="1"/>
                <c:pt idx="0">
                  <c:v>High-income economies</c:v>
                </c:pt>
              </c:strCache>
            </c:strRef>
          </c:tx>
          <c:spPr>
            <a:ln>
              <a:solidFill>
                <a:schemeClr val="accent1"/>
              </a:solidFill>
            </a:ln>
          </c:spPr>
          <c:cat>
            <c:numRef>
              <c:f>'[2]By Income'!$B$8:$I$8</c:f>
              <c:numCache>
                <c:formatCode>General</c:formatCode>
                <c:ptCount val="8"/>
                <c:pt idx="0">
                  <c:v>1975.0</c:v>
                </c:pt>
                <c:pt idx="1">
                  <c:v>1980.0</c:v>
                </c:pt>
                <c:pt idx="2">
                  <c:v>1985.0</c:v>
                </c:pt>
                <c:pt idx="3">
                  <c:v>1990.0</c:v>
                </c:pt>
                <c:pt idx="4">
                  <c:v>1995.0</c:v>
                </c:pt>
                <c:pt idx="5">
                  <c:v>2000.0</c:v>
                </c:pt>
                <c:pt idx="6">
                  <c:v>2005.0</c:v>
                </c:pt>
                <c:pt idx="7">
                  <c:v>2008.0</c:v>
                </c:pt>
              </c:numCache>
            </c:numRef>
          </c:cat>
          <c:val>
            <c:numRef>
              <c:f>'[2]By Income'!$B$12:$I$12</c:f>
              <c:numCache>
                <c:formatCode>General</c:formatCode>
                <c:ptCount val="8"/>
                <c:pt idx="0">
                  <c:v>1143.751006390242</c:v>
                </c:pt>
                <c:pt idx="1">
                  <c:v>1387.093189083206</c:v>
                </c:pt>
                <c:pt idx="2">
                  <c:v>1629.68486744296</c:v>
                </c:pt>
                <c:pt idx="3">
                  <c:v>1808.965679060442</c:v>
                </c:pt>
                <c:pt idx="4">
                  <c:v>1935.56132</c:v>
                </c:pt>
                <c:pt idx="5">
                  <c:v>2110.287839999993</c:v>
                </c:pt>
                <c:pt idx="6">
                  <c:v>2416.099850000001</c:v>
                </c:pt>
                <c:pt idx="7">
                  <c:v>2556.016</c:v>
                </c:pt>
              </c:numCache>
            </c:numRef>
          </c:val>
        </c:ser>
        <c:axId val="715682840"/>
        <c:axId val="770284536"/>
      </c:areaChart>
      <c:catAx>
        <c:axId val="715682840"/>
        <c:scaling>
          <c:orientation val="minMax"/>
        </c:scaling>
        <c:axPos val="b"/>
        <c:title>
          <c:tx>
            <c:rich>
              <a:bodyPr/>
              <a:lstStyle/>
              <a:p>
                <a:pPr>
                  <a:defRPr/>
                </a:pPr>
                <a:r>
                  <a:rPr lang="en-US"/>
                  <a:t>Year</a:t>
                </a:r>
              </a:p>
            </c:rich>
          </c:tx>
        </c:title>
        <c:numFmt formatCode="General" sourceLinked="1"/>
        <c:tickLblPos val="nextTo"/>
        <c:crossAx val="770284536"/>
        <c:crosses val="autoZero"/>
        <c:auto val="1"/>
        <c:lblAlgn val="ctr"/>
        <c:lblOffset val="100"/>
      </c:catAx>
      <c:valAx>
        <c:axId val="770284536"/>
        <c:scaling>
          <c:orientation val="minMax"/>
        </c:scaling>
        <c:axPos val="l"/>
        <c:majorGridlines/>
        <c:title>
          <c:tx>
            <c:rich>
              <a:bodyPr rot="-5400000" vert="horz"/>
              <a:lstStyle/>
              <a:p>
                <a:pPr>
                  <a:defRPr/>
                </a:pPr>
                <a:r>
                  <a:rPr lang="en-US"/>
                  <a:t>Total installed electricity generating capacity (Gigawatts)</a:t>
                </a:r>
              </a:p>
            </c:rich>
          </c:tx>
        </c:title>
        <c:numFmt formatCode="0" sourceLinked="0"/>
        <c:tickLblPos val="nextTo"/>
        <c:crossAx val="715682840"/>
        <c:crosses val="autoZero"/>
        <c:crossBetween val="midCat"/>
      </c:valAx>
    </c:plotArea>
    <c:legend>
      <c:legendPos val="b"/>
    </c:legend>
    <c:plotVisOnly val="1"/>
    <c:dispBlanksAs val="zero"/>
  </c:chart>
  <c:txPr>
    <a:bodyPr/>
    <a:lstStyle/>
    <a:p>
      <a:pPr>
        <a:defRPr b="0">
          <a:latin typeface="Times New Roman"/>
          <a:cs typeface="Times New Roman"/>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style val="2"/>
  <c:chart>
    <c:autoTitleDeleted val="1"/>
    <c:plotArea>
      <c:layout>
        <c:manualLayout>
          <c:layoutTarget val="inner"/>
          <c:xMode val="edge"/>
          <c:yMode val="edge"/>
          <c:x val="0.10693579753308"/>
          <c:y val="0.0415679808976947"/>
          <c:w val="0.865188552691666"/>
          <c:h val="0.747489464523438"/>
        </c:manualLayout>
      </c:layout>
      <c:scatterChart>
        <c:scatterStyle val="smoothMarker"/>
        <c:ser>
          <c:idx val="0"/>
          <c:order val="0"/>
          <c:tx>
            <c:strRef>
              <c:f>'Figure 2.11'!$A$15</c:f>
              <c:strCache>
                <c:ptCount val="1"/>
                <c:pt idx="0">
                  <c:v>Fixed Telephone Lines</c:v>
                </c:pt>
              </c:strCache>
            </c:strRef>
          </c:tx>
          <c:spPr>
            <a:ln>
              <a:solidFill>
                <a:schemeClr val="accent2"/>
              </a:solidFill>
            </a:ln>
          </c:spPr>
          <c:marker>
            <c:symbol val="none"/>
          </c:marker>
          <c:xVal>
            <c:numRef>
              <c:f>'Figure 2.11'!$B$14:$AZ$14</c:f>
              <c:numCache>
                <c:formatCode>General</c:formatCode>
                <c:ptCount val="51"/>
                <c:pt idx="0">
                  <c:v>1960.0</c:v>
                </c:pt>
                <c:pt idx="1">
                  <c:v>1961.0</c:v>
                </c:pt>
                <c:pt idx="2">
                  <c:v>1962.0</c:v>
                </c:pt>
                <c:pt idx="3">
                  <c:v>1963.0</c:v>
                </c:pt>
                <c:pt idx="4">
                  <c:v>1964.0</c:v>
                </c:pt>
                <c:pt idx="5">
                  <c:v>1965.0</c:v>
                </c:pt>
                <c:pt idx="6">
                  <c:v>1966.0</c:v>
                </c:pt>
                <c:pt idx="7">
                  <c:v>1967.0</c:v>
                </c:pt>
                <c:pt idx="8">
                  <c:v>1968.0</c:v>
                </c:pt>
                <c:pt idx="9">
                  <c:v>1969.0</c:v>
                </c:pt>
                <c:pt idx="10">
                  <c:v>1970.0</c:v>
                </c:pt>
                <c:pt idx="11">
                  <c:v>1971.0</c:v>
                </c:pt>
                <c:pt idx="12">
                  <c:v>1972.0</c:v>
                </c:pt>
                <c:pt idx="13">
                  <c:v>1973.0</c:v>
                </c:pt>
                <c:pt idx="14">
                  <c:v>1974.0</c:v>
                </c:pt>
                <c:pt idx="15">
                  <c:v>1975.0</c:v>
                </c:pt>
                <c:pt idx="16">
                  <c:v>1976.0</c:v>
                </c:pt>
                <c:pt idx="17">
                  <c:v>1977.0</c:v>
                </c:pt>
                <c:pt idx="18">
                  <c:v>1978.0</c:v>
                </c:pt>
                <c:pt idx="19">
                  <c:v>1979.0</c:v>
                </c:pt>
                <c:pt idx="20">
                  <c:v>1980.0</c:v>
                </c:pt>
                <c:pt idx="21">
                  <c:v>1981.0</c:v>
                </c:pt>
                <c:pt idx="22">
                  <c:v>1982.0</c:v>
                </c:pt>
                <c:pt idx="23">
                  <c:v>1983.0</c:v>
                </c:pt>
                <c:pt idx="24">
                  <c:v>1984.0</c:v>
                </c:pt>
                <c:pt idx="25">
                  <c:v>1985.0</c:v>
                </c:pt>
                <c:pt idx="26">
                  <c:v>1986.0</c:v>
                </c:pt>
                <c:pt idx="27">
                  <c:v>1987.0</c:v>
                </c:pt>
                <c:pt idx="28">
                  <c:v>1988.0</c:v>
                </c:pt>
                <c:pt idx="29">
                  <c:v>1989.0</c:v>
                </c:pt>
                <c:pt idx="30">
                  <c:v>1990.0</c:v>
                </c:pt>
                <c:pt idx="31">
                  <c:v>1991.0</c:v>
                </c:pt>
                <c:pt idx="32">
                  <c:v>1992.0</c:v>
                </c:pt>
                <c:pt idx="33">
                  <c:v>1993.0</c:v>
                </c:pt>
                <c:pt idx="34">
                  <c:v>1994.0</c:v>
                </c:pt>
                <c:pt idx="35">
                  <c:v>1995.0</c:v>
                </c:pt>
                <c:pt idx="36">
                  <c:v>1996.0</c:v>
                </c:pt>
                <c:pt idx="37">
                  <c:v>1997.0</c:v>
                </c:pt>
                <c:pt idx="38">
                  <c:v>1998.0</c:v>
                </c:pt>
                <c:pt idx="39">
                  <c:v>1999.0</c:v>
                </c:pt>
                <c:pt idx="40">
                  <c:v>2000.0</c:v>
                </c:pt>
                <c:pt idx="41">
                  <c:v>2001.0</c:v>
                </c:pt>
                <c:pt idx="42">
                  <c:v>2002.0</c:v>
                </c:pt>
                <c:pt idx="43">
                  <c:v>2003.0</c:v>
                </c:pt>
                <c:pt idx="44">
                  <c:v>2004.0</c:v>
                </c:pt>
                <c:pt idx="45">
                  <c:v>2005.0</c:v>
                </c:pt>
                <c:pt idx="46">
                  <c:v>2006.0</c:v>
                </c:pt>
                <c:pt idx="47">
                  <c:v>2007.0</c:v>
                </c:pt>
                <c:pt idx="48">
                  <c:v>2008.0</c:v>
                </c:pt>
                <c:pt idx="49">
                  <c:v>2009.0</c:v>
                </c:pt>
                <c:pt idx="50">
                  <c:v>2010.0</c:v>
                </c:pt>
              </c:numCache>
            </c:numRef>
          </c:xVal>
          <c:yVal>
            <c:numRef>
              <c:f>'Figure 2.11'!$B$15:$AZ$15</c:f>
              <c:numCache>
                <c:formatCode>General</c:formatCode>
                <c:ptCount val="51"/>
                <c:pt idx="0">
                  <c:v>2.979437552216945</c:v>
                </c:pt>
                <c:pt idx="1">
                  <c:v>3.07759155395131</c:v>
                </c:pt>
                <c:pt idx="2">
                  <c:v>3.189512423607823</c:v>
                </c:pt>
                <c:pt idx="3">
                  <c:v>3.28609349982058</c:v>
                </c:pt>
                <c:pt idx="4">
                  <c:v>3.38017460840496</c:v>
                </c:pt>
                <c:pt idx="5">
                  <c:v>3.509873076431798</c:v>
                </c:pt>
                <c:pt idx="6">
                  <c:v>3.664211956307586</c:v>
                </c:pt>
                <c:pt idx="7">
                  <c:v>3.826211101165664</c:v>
                </c:pt>
                <c:pt idx="8">
                  <c:v>3.979364587432875</c:v>
                </c:pt>
                <c:pt idx="9">
                  <c:v>4.13238266271213</c:v>
                </c:pt>
                <c:pt idx="10">
                  <c:v>4.552231598878905</c:v>
                </c:pt>
                <c:pt idx="11">
                  <c:v>4.529365096019479</c:v>
                </c:pt>
                <c:pt idx="12">
                  <c:v>4.757175679819825</c:v>
                </c:pt>
                <c:pt idx="13">
                  <c:v>4.976980534573372</c:v>
                </c:pt>
                <c:pt idx="14">
                  <c:v>5.198983338704537</c:v>
                </c:pt>
                <c:pt idx="15">
                  <c:v>5.720571357857668</c:v>
                </c:pt>
                <c:pt idx="16">
                  <c:v>5.906994724342577</c:v>
                </c:pt>
                <c:pt idx="17">
                  <c:v>6.178603808667781</c:v>
                </c:pt>
                <c:pt idx="18">
                  <c:v>6.46547995296435</c:v>
                </c:pt>
                <c:pt idx="19">
                  <c:v>6.782511327927377</c:v>
                </c:pt>
                <c:pt idx="20">
                  <c:v>7.053927725664848</c:v>
                </c:pt>
                <c:pt idx="21">
                  <c:v>7.487953399728502</c:v>
                </c:pt>
                <c:pt idx="22">
                  <c:v>7.682043291133271</c:v>
                </c:pt>
                <c:pt idx="23">
                  <c:v>7.888544618679124</c:v>
                </c:pt>
                <c:pt idx="24">
                  <c:v>8.100310443163618</c:v>
                </c:pt>
                <c:pt idx="25">
                  <c:v>8.330743768871098</c:v>
                </c:pt>
                <c:pt idx="26">
                  <c:v>8.529030248934807</c:v>
                </c:pt>
                <c:pt idx="27">
                  <c:v>8.786168345479441</c:v>
                </c:pt>
                <c:pt idx="28">
                  <c:v>9.088992184631357</c:v>
                </c:pt>
                <c:pt idx="29">
                  <c:v>9.413296948425754</c:v>
                </c:pt>
                <c:pt idx="30">
                  <c:v>9.78495495830241</c:v>
                </c:pt>
                <c:pt idx="31">
                  <c:v>10.10682414442241</c:v>
                </c:pt>
                <c:pt idx="32">
                  <c:v>10.45180541777146</c:v>
                </c:pt>
                <c:pt idx="33">
                  <c:v>10.87094707226177</c:v>
                </c:pt>
                <c:pt idx="34">
                  <c:v>11.42300147323455</c:v>
                </c:pt>
                <c:pt idx="35">
                  <c:v>12.07110702610875</c:v>
                </c:pt>
                <c:pt idx="36">
                  <c:v>12.76603533970356</c:v>
                </c:pt>
                <c:pt idx="37">
                  <c:v>13.5136939943095</c:v>
                </c:pt>
                <c:pt idx="38">
                  <c:v>14.11047849073727</c:v>
                </c:pt>
                <c:pt idx="39">
                  <c:v>15.02414791057723</c:v>
                </c:pt>
                <c:pt idx="40">
                  <c:v>15.9875401823494</c:v>
                </c:pt>
                <c:pt idx="41">
                  <c:v>16.74736316790496</c:v>
                </c:pt>
                <c:pt idx="42">
                  <c:v>17.32361845484029</c:v>
                </c:pt>
                <c:pt idx="43">
                  <c:v>17.94439689642292</c:v>
                </c:pt>
                <c:pt idx="44">
                  <c:v>18.74814104281803</c:v>
                </c:pt>
                <c:pt idx="45">
                  <c:v>19.38740928189089</c:v>
                </c:pt>
                <c:pt idx="46">
                  <c:v>19.48218181929349</c:v>
                </c:pt>
                <c:pt idx="47">
                  <c:v>19.11899275272631</c:v>
                </c:pt>
                <c:pt idx="48">
                  <c:v>18.59141152887381</c:v>
                </c:pt>
                <c:pt idx="49">
                  <c:v>17.89403357088182</c:v>
                </c:pt>
                <c:pt idx="50">
                  <c:v>17.20513546603773</c:v>
                </c:pt>
              </c:numCache>
            </c:numRef>
          </c:yVal>
          <c:smooth val="1"/>
        </c:ser>
        <c:ser>
          <c:idx val="1"/>
          <c:order val="1"/>
          <c:tx>
            <c:strRef>
              <c:f>'Figure 2.11'!$A$16</c:f>
              <c:strCache>
                <c:ptCount val="1"/>
                <c:pt idx="0">
                  <c:v>Mobile Telephone Subsriptions</c:v>
                </c:pt>
              </c:strCache>
            </c:strRef>
          </c:tx>
          <c:spPr>
            <a:ln>
              <a:solidFill>
                <a:schemeClr val="accent3"/>
              </a:solidFill>
            </a:ln>
          </c:spPr>
          <c:marker>
            <c:symbol val="none"/>
          </c:marker>
          <c:xVal>
            <c:numRef>
              <c:f>'Figure 2.11'!$B$14:$AZ$14</c:f>
              <c:numCache>
                <c:formatCode>General</c:formatCode>
                <c:ptCount val="51"/>
                <c:pt idx="0">
                  <c:v>1960.0</c:v>
                </c:pt>
                <c:pt idx="1">
                  <c:v>1961.0</c:v>
                </c:pt>
                <c:pt idx="2">
                  <c:v>1962.0</c:v>
                </c:pt>
                <c:pt idx="3">
                  <c:v>1963.0</c:v>
                </c:pt>
                <c:pt idx="4">
                  <c:v>1964.0</c:v>
                </c:pt>
                <c:pt idx="5">
                  <c:v>1965.0</c:v>
                </c:pt>
                <c:pt idx="6">
                  <c:v>1966.0</c:v>
                </c:pt>
                <c:pt idx="7">
                  <c:v>1967.0</c:v>
                </c:pt>
                <c:pt idx="8">
                  <c:v>1968.0</c:v>
                </c:pt>
                <c:pt idx="9">
                  <c:v>1969.0</c:v>
                </c:pt>
                <c:pt idx="10">
                  <c:v>1970.0</c:v>
                </c:pt>
                <c:pt idx="11">
                  <c:v>1971.0</c:v>
                </c:pt>
                <c:pt idx="12">
                  <c:v>1972.0</c:v>
                </c:pt>
                <c:pt idx="13">
                  <c:v>1973.0</c:v>
                </c:pt>
                <c:pt idx="14">
                  <c:v>1974.0</c:v>
                </c:pt>
                <c:pt idx="15">
                  <c:v>1975.0</c:v>
                </c:pt>
                <c:pt idx="16">
                  <c:v>1976.0</c:v>
                </c:pt>
                <c:pt idx="17">
                  <c:v>1977.0</c:v>
                </c:pt>
                <c:pt idx="18">
                  <c:v>1978.0</c:v>
                </c:pt>
                <c:pt idx="19">
                  <c:v>1979.0</c:v>
                </c:pt>
                <c:pt idx="20">
                  <c:v>1980.0</c:v>
                </c:pt>
                <c:pt idx="21">
                  <c:v>1981.0</c:v>
                </c:pt>
                <c:pt idx="22">
                  <c:v>1982.0</c:v>
                </c:pt>
                <c:pt idx="23">
                  <c:v>1983.0</c:v>
                </c:pt>
                <c:pt idx="24">
                  <c:v>1984.0</c:v>
                </c:pt>
                <c:pt idx="25">
                  <c:v>1985.0</c:v>
                </c:pt>
                <c:pt idx="26">
                  <c:v>1986.0</c:v>
                </c:pt>
                <c:pt idx="27">
                  <c:v>1987.0</c:v>
                </c:pt>
                <c:pt idx="28">
                  <c:v>1988.0</c:v>
                </c:pt>
                <c:pt idx="29">
                  <c:v>1989.0</c:v>
                </c:pt>
                <c:pt idx="30">
                  <c:v>1990.0</c:v>
                </c:pt>
                <c:pt idx="31">
                  <c:v>1991.0</c:v>
                </c:pt>
                <c:pt idx="32">
                  <c:v>1992.0</c:v>
                </c:pt>
                <c:pt idx="33">
                  <c:v>1993.0</c:v>
                </c:pt>
                <c:pt idx="34">
                  <c:v>1994.0</c:v>
                </c:pt>
                <c:pt idx="35">
                  <c:v>1995.0</c:v>
                </c:pt>
                <c:pt idx="36">
                  <c:v>1996.0</c:v>
                </c:pt>
                <c:pt idx="37">
                  <c:v>1997.0</c:v>
                </c:pt>
                <c:pt idx="38">
                  <c:v>1998.0</c:v>
                </c:pt>
                <c:pt idx="39">
                  <c:v>1999.0</c:v>
                </c:pt>
                <c:pt idx="40">
                  <c:v>2000.0</c:v>
                </c:pt>
                <c:pt idx="41">
                  <c:v>2001.0</c:v>
                </c:pt>
                <c:pt idx="42">
                  <c:v>2002.0</c:v>
                </c:pt>
                <c:pt idx="43">
                  <c:v>2003.0</c:v>
                </c:pt>
                <c:pt idx="44">
                  <c:v>2004.0</c:v>
                </c:pt>
                <c:pt idx="45">
                  <c:v>2005.0</c:v>
                </c:pt>
                <c:pt idx="46">
                  <c:v>2006.0</c:v>
                </c:pt>
                <c:pt idx="47">
                  <c:v>2007.0</c:v>
                </c:pt>
                <c:pt idx="48">
                  <c:v>2008.0</c:v>
                </c:pt>
                <c:pt idx="49">
                  <c:v>2009.0</c:v>
                </c:pt>
                <c:pt idx="50">
                  <c:v>2010.0</c:v>
                </c:pt>
              </c:numCache>
            </c:numRef>
          </c:xVal>
          <c:yVal>
            <c:numRef>
              <c:f>'Figure 2.11'!$B$16:$AZ$16</c:f>
              <c:numCache>
                <c:formatCode>General</c:formatCode>
                <c:ptCount val="51"/>
                <c:pt idx="20">
                  <c:v>0.000574465690418471</c:v>
                </c:pt>
                <c:pt idx="21">
                  <c:v>0.00191125936706804</c:v>
                </c:pt>
                <c:pt idx="22">
                  <c:v>0.00318241468844507</c:v>
                </c:pt>
                <c:pt idx="23">
                  <c:v>0.00466450528060562</c:v>
                </c:pt>
                <c:pt idx="24">
                  <c:v>0.00686444429619662</c:v>
                </c:pt>
                <c:pt idx="25">
                  <c:v>0.0157519841442264</c:v>
                </c:pt>
                <c:pt idx="26">
                  <c:v>0.0294966677593157</c:v>
                </c:pt>
                <c:pt idx="27">
                  <c:v>0.0506880589313919</c:v>
                </c:pt>
                <c:pt idx="28">
                  <c:v>0.0845628333528436</c:v>
                </c:pt>
                <c:pt idx="29">
                  <c:v>0.140685359237804</c:v>
                </c:pt>
                <c:pt idx="30">
                  <c:v>0.210884063592895</c:v>
                </c:pt>
                <c:pt idx="31">
                  <c:v>0.301151446984697</c:v>
                </c:pt>
                <c:pt idx="32">
                  <c:v>0.423305511176962</c:v>
                </c:pt>
                <c:pt idx="33">
                  <c:v>0.61347453739853</c:v>
                </c:pt>
                <c:pt idx="34">
                  <c:v>0.98288784193529</c:v>
                </c:pt>
                <c:pt idx="35">
                  <c:v>1.587253391810961</c:v>
                </c:pt>
                <c:pt idx="36">
                  <c:v>2.504325778205137</c:v>
                </c:pt>
                <c:pt idx="37">
                  <c:v>3.663710325347235</c:v>
                </c:pt>
                <c:pt idx="38">
                  <c:v>5.351415800942584</c:v>
                </c:pt>
                <c:pt idx="39">
                  <c:v>8.15514908598517</c:v>
                </c:pt>
                <c:pt idx="40">
                  <c:v>12.10707511922333</c:v>
                </c:pt>
                <c:pt idx="41">
                  <c:v>15.55659870941327</c:v>
                </c:pt>
                <c:pt idx="42">
                  <c:v>18.49266719301171</c:v>
                </c:pt>
                <c:pt idx="43">
                  <c:v>22.34722922811279</c:v>
                </c:pt>
                <c:pt idx="44">
                  <c:v>27.38939397869827</c:v>
                </c:pt>
                <c:pt idx="45">
                  <c:v>34.05003514374859</c:v>
                </c:pt>
                <c:pt idx="46">
                  <c:v>41.8089820972701</c:v>
                </c:pt>
                <c:pt idx="47">
                  <c:v>50.30948008572714</c:v>
                </c:pt>
                <c:pt idx="48">
                  <c:v>59.78741317040991</c:v>
                </c:pt>
                <c:pt idx="49">
                  <c:v>68.41897518160097</c:v>
                </c:pt>
                <c:pt idx="50">
                  <c:v>77.04968090766742</c:v>
                </c:pt>
              </c:numCache>
            </c:numRef>
          </c:yVal>
          <c:smooth val="1"/>
        </c:ser>
        <c:ser>
          <c:idx val="2"/>
          <c:order val="2"/>
          <c:tx>
            <c:strRef>
              <c:f>'Figure 2.11'!$A$17</c:f>
              <c:strCache>
                <c:ptCount val="1"/>
                <c:pt idx="0">
                  <c:v>Fixed Broadband Subsriptions</c:v>
                </c:pt>
              </c:strCache>
            </c:strRef>
          </c:tx>
          <c:spPr>
            <a:ln>
              <a:solidFill>
                <a:schemeClr val="accent4"/>
              </a:solidFill>
            </a:ln>
          </c:spPr>
          <c:marker>
            <c:symbol val="none"/>
          </c:marker>
          <c:xVal>
            <c:numRef>
              <c:f>'Figure 2.11'!$B$14:$AZ$14</c:f>
              <c:numCache>
                <c:formatCode>General</c:formatCode>
                <c:ptCount val="51"/>
                <c:pt idx="0">
                  <c:v>1960.0</c:v>
                </c:pt>
                <c:pt idx="1">
                  <c:v>1961.0</c:v>
                </c:pt>
                <c:pt idx="2">
                  <c:v>1962.0</c:v>
                </c:pt>
                <c:pt idx="3">
                  <c:v>1963.0</c:v>
                </c:pt>
                <c:pt idx="4">
                  <c:v>1964.0</c:v>
                </c:pt>
                <c:pt idx="5">
                  <c:v>1965.0</c:v>
                </c:pt>
                <c:pt idx="6">
                  <c:v>1966.0</c:v>
                </c:pt>
                <c:pt idx="7">
                  <c:v>1967.0</c:v>
                </c:pt>
                <c:pt idx="8">
                  <c:v>1968.0</c:v>
                </c:pt>
                <c:pt idx="9">
                  <c:v>1969.0</c:v>
                </c:pt>
                <c:pt idx="10">
                  <c:v>1970.0</c:v>
                </c:pt>
                <c:pt idx="11">
                  <c:v>1971.0</c:v>
                </c:pt>
                <c:pt idx="12">
                  <c:v>1972.0</c:v>
                </c:pt>
                <c:pt idx="13">
                  <c:v>1973.0</c:v>
                </c:pt>
                <c:pt idx="14">
                  <c:v>1974.0</c:v>
                </c:pt>
                <c:pt idx="15">
                  <c:v>1975.0</c:v>
                </c:pt>
                <c:pt idx="16">
                  <c:v>1976.0</c:v>
                </c:pt>
                <c:pt idx="17">
                  <c:v>1977.0</c:v>
                </c:pt>
                <c:pt idx="18">
                  <c:v>1978.0</c:v>
                </c:pt>
                <c:pt idx="19">
                  <c:v>1979.0</c:v>
                </c:pt>
                <c:pt idx="20">
                  <c:v>1980.0</c:v>
                </c:pt>
                <c:pt idx="21">
                  <c:v>1981.0</c:v>
                </c:pt>
                <c:pt idx="22">
                  <c:v>1982.0</c:v>
                </c:pt>
                <c:pt idx="23">
                  <c:v>1983.0</c:v>
                </c:pt>
                <c:pt idx="24">
                  <c:v>1984.0</c:v>
                </c:pt>
                <c:pt idx="25">
                  <c:v>1985.0</c:v>
                </c:pt>
                <c:pt idx="26">
                  <c:v>1986.0</c:v>
                </c:pt>
                <c:pt idx="27">
                  <c:v>1987.0</c:v>
                </c:pt>
                <c:pt idx="28">
                  <c:v>1988.0</c:v>
                </c:pt>
                <c:pt idx="29">
                  <c:v>1989.0</c:v>
                </c:pt>
                <c:pt idx="30">
                  <c:v>1990.0</c:v>
                </c:pt>
                <c:pt idx="31">
                  <c:v>1991.0</c:v>
                </c:pt>
                <c:pt idx="32">
                  <c:v>1992.0</c:v>
                </c:pt>
                <c:pt idx="33">
                  <c:v>1993.0</c:v>
                </c:pt>
                <c:pt idx="34">
                  <c:v>1994.0</c:v>
                </c:pt>
                <c:pt idx="35">
                  <c:v>1995.0</c:v>
                </c:pt>
                <c:pt idx="36">
                  <c:v>1996.0</c:v>
                </c:pt>
                <c:pt idx="37">
                  <c:v>1997.0</c:v>
                </c:pt>
                <c:pt idx="38">
                  <c:v>1998.0</c:v>
                </c:pt>
                <c:pt idx="39">
                  <c:v>1999.0</c:v>
                </c:pt>
                <c:pt idx="40">
                  <c:v>2000.0</c:v>
                </c:pt>
                <c:pt idx="41">
                  <c:v>2001.0</c:v>
                </c:pt>
                <c:pt idx="42">
                  <c:v>2002.0</c:v>
                </c:pt>
                <c:pt idx="43">
                  <c:v>2003.0</c:v>
                </c:pt>
                <c:pt idx="44">
                  <c:v>2004.0</c:v>
                </c:pt>
                <c:pt idx="45">
                  <c:v>2005.0</c:v>
                </c:pt>
                <c:pt idx="46">
                  <c:v>2006.0</c:v>
                </c:pt>
                <c:pt idx="47">
                  <c:v>2007.0</c:v>
                </c:pt>
                <c:pt idx="48">
                  <c:v>2008.0</c:v>
                </c:pt>
                <c:pt idx="49">
                  <c:v>2009.0</c:v>
                </c:pt>
                <c:pt idx="50">
                  <c:v>2010.0</c:v>
                </c:pt>
              </c:numCache>
            </c:numRef>
          </c:xVal>
          <c:yVal>
            <c:numRef>
              <c:f>'Figure 2.11'!$B$17:$AZ$17</c:f>
              <c:numCache>
                <c:formatCode>General</c:formatCode>
                <c:ptCount val="51"/>
                <c:pt idx="38">
                  <c:v>0.0173655332690608</c:v>
                </c:pt>
                <c:pt idx="39">
                  <c:v>0.0784892413573594</c:v>
                </c:pt>
                <c:pt idx="40">
                  <c:v>0.26306298085649</c:v>
                </c:pt>
                <c:pt idx="41">
                  <c:v>0.591432843044545</c:v>
                </c:pt>
                <c:pt idx="42">
                  <c:v>1.040873350107578</c:v>
                </c:pt>
                <c:pt idx="43">
                  <c:v>1.619024119766494</c:v>
                </c:pt>
                <c:pt idx="44">
                  <c:v>2.451038156518853</c:v>
                </c:pt>
                <c:pt idx="45">
                  <c:v>3.329392437501307</c:v>
                </c:pt>
                <c:pt idx="46">
                  <c:v>4.328865317741378</c:v>
                </c:pt>
                <c:pt idx="47">
                  <c:v>5.306068390607903</c:v>
                </c:pt>
                <c:pt idx="48">
                  <c:v>6.14615942216111</c:v>
                </c:pt>
                <c:pt idx="49">
                  <c:v>6.97589238462728</c:v>
                </c:pt>
                <c:pt idx="50">
                  <c:v>7.95260572148214</c:v>
                </c:pt>
              </c:numCache>
            </c:numRef>
          </c:yVal>
          <c:smooth val="1"/>
        </c:ser>
        <c:ser>
          <c:idx val="3"/>
          <c:order val="3"/>
          <c:tx>
            <c:strRef>
              <c:f>'Figure 2.11'!$A$18</c:f>
              <c:strCache>
                <c:ptCount val="1"/>
                <c:pt idx="0">
                  <c:v>Mobile Broadband Subscriptions</c:v>
                </c:pt>
              </c:strCache>
            </c:strRef>
          </c:tx>
          <c:spPr>
            <a:ln>
              <a:solidFill>
                <a:schemeClr val="accent1"/>
              </a:solidFill>
            </a:ln>
          </c:spPr>
          <c:marker>
            <c:symbol val="none"/>
          </c:marker>
          <c:xVal>
            <c:numRef>
              <c:f>'Figure 2.11'!$B$14:$AZ$14</c:f>
              <c:numCache>
                <c:formatCode>General</c:formatCode>
                <c:ptCount val="51"/>
                <c:pt idx="0">
                  <c:v>1960.0</c:v>
                </c:pt>
                <c:pt idx="1">
                  <c:v>1961.0</c:v>
                </c:pt>
                <c:pt idx="2">
                  <c:v>1962.0</c:v>
                </c:pt>
                <c:pt idx="3">
                  <c:v>1963.0</c:v>
                </c:pt>
                <c:pt idx="4">
                  <c:v>1964.0</c:v>
                </c:pt>
                <c:pt idx="5">
                  <c:v>1965.0</c:v>
                </c:pt>
                <c:pt idx="6">
                  <c:v>1966.0</c:v>
                </c:pt>
                <c:pt idx="7">
                  <c:v>1967.0</c:v>
                </c:pt>
                <c:pt idx="8">
                  <c:v>1968.0</c:v>
                </c:pt>
                <c:pt idx="9">
                  <c:v>1969.0</c:v>
                </c:pt>
                <c:pt idx="10">
                  <c:v>1970.0</c:v>
                </c:pt>
                <c:pt idx="11">
                  <c:v>1971.0</c:v>
                </c:pt>
                <c:pt idx="12">
                  <c:v>1972.0</c:v>
                </c:pt>
                <c:pt idx="13">
                  <c:v>1973.0</c:v>
                </c:pt>
                <c:pt idx="14">
                  <c:v>1974.0</c:v>
                </c:pt>
                <c:pt idx="15">
                  <c:v>1975.0</c:v>
                </c:pt>
                <c:pt idx="16">
                  <c:v>1976.0</c:v>
                </c:pt>
                <c:pt idx="17">
                  <c:v>1977.0</c:v>
                </c:pt>
                <c:pt idx="18">
                  <c:v>1978.0</c:v>
                </c:pt>
                <c:pt idx="19">
                  <c:v>1979.0</c:v>
                </c:pt>
                <c:pt idx="20">
                  <c:v>1980.0</c:v>
                </c:pt>
                <c:pt idx="21">
                  <c:v>1981.0</c:v>
                </c:pt>
                <c:pt idx="22">
                  <c:v>1982.0</c:v>
                </c:pt>
                <c:pt idx="23">
                  <c:v>1983.0</c:v>
                </c:pt>
                <c:pt idx="24">
                  <c:v>1984.0</c:v>
                </c:pt>
                <c:pt idx="25">
                  <c:v>1985.0</c:v>
                </c:pt>
                <c:pt idx="26">
                  <c:v>1986.0</c:v>
                </c:pt>
                <c:pt idx="27">
                  <c:v>1987.0</c:v>
                </c:pt>
                <c:pt idx="28">
                  <c:v>1988.0</c:v>
                </c:pt>
                <c:pt idx="29">
                  <c:v>1989.0</c:v>
                </c:pt>
                <c:pt idx="30">
                  <c:v>1990.0</c:v>
                </c:pt>
                <c:pt idx="31">
                  <c:v>1991.0</c:v>
                </c:pt>
                <c:pt idx="32">
                  <c:v>1992.0</c:v>
                </c:pt>
                <c:pt idx="33">
                  <c:v>1993.0</c:v>
                </c:pt>
                <c:pt idx="34">
                  <c:v>1994.0</c:v>
                </c:pt>
                <c:pt idx="35">
                  <c:v>1995.0</c:v>
                </c:pt>
                <c:pt idx="36">
                  <c:v>1996.0</c:v>
                </c:pt>
                <c:pt idx="37">
                  <c:v>1997.0</c:v>
                </c:pt>
                <c:pt idx="38">
                  <c:v>1998.0</c:v>
                </c:pt>
                <c:pt idx="39">
                  <c:v>1999.0</c:v>
                </c:pt>
                <c:pt idx="40">
                  <c:v>2000.0</c:v>
                </c:pt>
                <c:pt idx="41">
                  <c:v>2001.0</c:v>
                </c:pt>
                <c:pt idx="42">
                  <c:v>2002.0</c:v>
                </c:pt>
                <c:pt idx="43">
                  <c:v>2003.0</c:v>
                </c:pt>
                <c:pt idx="44">
                  <c:v>2004.0</c:v>
                </c:pt>
                <c:pt idx="45">
                  <c:v>2005.0</c:v>
                </c:pt>
                <c:pt idx="46">
                  <c:v>2006.0</c:v>
                </c:pt>
                <c:pt idx="47">
                  <c:v>2007.0</c:v>
                </c:pt>
                <c:pt idx="48">
                  <c:v>2008.0</c:v>
                </c:pt>
                <c:pt idx="49">
                  <c:v>2009.0</c:v>
                </c:pt>
                <c:pt idx="50">
                  <c:v>2010.0</c:v>
                </c:pt>
              </c:numCache>
            </c:numRef>
          </c:xVal>
          <c:yVal>
            <c:numRef>
              <c:f>'Figure 2.11'!$B$18:$AZ$18</c:f>
              <c:numCache>
                <c:formatCode>General</c:formatCode>
                <c:ptCount val="51"/>
                <c:pt idx="41">
                  <c:v>0.000457150620256649</c:v>
                </c:pt>
                <c:pt idx="42">
                  <c:v>0.00557166142039758</c:v>
                </c:pt>
                <c:pt idx="43">
                  <c:v>0.126574863177147</c:v>
                </c:pt>
                <c:pt idx="44">
                  <c:v>0.5016224977225</c:v>
                </c:pt>
                <c:pt idx="45">
                  <c:v>1.180336688827454</c:v>
                </c:pt>
                <c:pt idx="46">
                  <c:v>2.509815036228637</c:v>
                </c:pt>
                <c:pt idx="47">
                  <c:v>4.472328478246973</c:v>
                </c:pt>
                <c:pt idx="48">
                  <c:v>6.730150946670323</c:v>
                </c:pt>
                <c:pt idx="49">
                  <c:v>9.92364981926894</c:v>
                </c:pt>
              </c:numCache>
            </c:numRef>
          </c:yVal>
          <c:smooth val="1"/>
        </c:ser>
        <c:axId val="811645816"/>
        <c:axId val="811653000"/>
      </c:scatterChart>
      <c:valAx>
        <c:axId val="811645816"/>
        <c:scaling>
          <c:orientation val="minMax"/>
          <c:max val="2010.0"/>
          <c:min val="1975.0"/>
        </c:scaling>
        <c:axPos val="b"/>
        <c:title>
          <c:tx>
            <c:rich>
              <a:bodyPr/>
              <a:lstStyle/>
              <a:p>
                <a:pPr>
                  <a:defRPr/>
                </a:pPr>
                <a:r>
                  <a:rPr lang="en-US"/>
                  <a:t>Year</a:t>
                </a:r>
              </a:p>
            </c:rich>
          </c:tx>
          <c:layout>
            <c:manualLayout>
              <c:xMode val="edge"/>
              <c:yMode val="edge"/>
              <c:x val="0.50587974526585"/>
              <c:y val="0.820044511911711"/>
            </c:manualLayout>
          </c:layout>
        </c:title>
        <c:numFmt formatCode="General" sourceLinked="1"/>
        <c:tickLblPos val="nextTo"/>
        <c:crossAx val="811653000"/>
        <c:crosses val="autoZero"/>
        <c:crossBetween val="midCat"/>
      </c:valAx>
      <c:valAx>
        <c:axId val="811653000"/>
        <c:scaling>
          <c:orientation val="minMax"/>
          <c:max val="80.0"/>
          <c:min val="0.0"/>
        </c:scaling>
        <c:axPos val="l"/>
        <c:majorGridlines/>
        <c:title>
          <c:tx>
            <c:rich>
              <a:bodyPr rot="-5400000" vert="horz"/>
              <a:lstStyle/>
              <a:p>
                <a:pPr>
                  <a:defRPr/>
                </a:pPr>
                <a:r>
                  <a:rPr lang="en-US"/>
                  <a:t>Lines/subscriptions per 100 persons</a:t>
                </a:r>
              </a:p>
            </c:rich>
          </c:tx>
          <c:layout>
            <c:manualLayout>
              <c:xMode val="edge"/>
              <c:yMode val="edge"/>
              <c:x val="0.0230569948186528"/>
              <c:y val="0.0932182819252855"/>
            </c:manualLayout>
          </c:layout>
        </c:title>
        <c:numFmt formatCode="0" sourceLinked="0"/>
        <c:tickLblPos val="nextTo"/>
        <c:crossAx val="811645816"/>
        <c:crosses val="autoZero"/>
        <c:crossBetween val="midCat"/>
      </c:valAx>
    </c:plotArea>
    <c:legend>
      <c:legendPos val="b"/>
      <c:layout>
        <c:manualLayout>
          <c:xMode val="edge"/>
          <c:yMode val="edge"/>
          <c:x val="0.00157466715624277"/>
          <c:y val="0.878582331648727"/>
          <c:w val="0.976065380607892"/>
          <c:h val="0.103478489372722"/>
        </c:manualLayout>
      </c:layout>
    </c:legend>
    <c:plotVisOnly val="1"/>
    <c:dispBlanksAs val="gap"/>
  </c:chart>
  <c:txPr>
    <a:bodyPr/>
    <a:lstStyle/>
    <a:p>
      <a:pPr>
        <a:defRPr b="0">
          <a:latin typeface="Times New Roman"/>
          <a:cs typeface="Times New Roman"/>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style val="2"/>
  <c:chart>
    <c:autoTitleDeleted val="1"/>
    <c:plotArea>
      <c:layout/>
      <c:scatterChart>
        <c:scatterStyle val="smoothMarker"/>
        <c:ser>
          <c:idx val="0"/>
          <c:order val="0"/>
          <c:tx>
            <c:strRef>
              <c:f>'Figure 2.12'!$A$20</c:f>
              <c:strCache>
                <c:ptCount val="1"/>
                <c:pt idx="0">
                  <c:v>Low-income</c:v>
                </c:pt>
              </c:strCache>
            </c:strRef>
          </c:tx>
          <c:spPr>
            <a:ln>
              <a:solidFill>
                <a:schemeClr val="accent4"/>
              </a:solidFill>
            </a:ln>
          </c:spPr>
          <c:marker>
            <c:symbol val="none"/>
          </c:marker>
          <c:xVal>
            <c:numRef>
              <c:f>'Figure 2.12'!$B$19:$I$19</c:f>
              <c:numCache>
                <c:formatCode>General</c:formatCode>
                <c:ptCount val="8"/>
                <c:pt idx="0">
                  <c:v>1975.0</c:v>
                </c:pt>
                <c:pt idx="1">
                  <c:v>1980.0</c:v>
                </c:pt>
                <c:pt idx="2">
                  <c:v>1985.0</c:v>
                </c:pt>
                <c:pt idx="3">
                  <c:v>1990.0</c:v>
                </c:pt>
                <c:pt idx="4">
                  <c:v>1995.0</c:v>
                </c:pt>
                <c:pt idx="5">
                  <c:v>2000.0</c:v>
                </c:pt>
                <c:pt idx="6">
                  <c:v>2005.0</c:v>
                </c:pt>
                <c:pt idx="7">
                  <c:v>2010.0</c:v>
                </c:pt>
              </c:numCache>
            </c:numRef>
          </c:xVal>
          <c:yVal>
            <c:numRef>
              <c:f>'Figure 2.12'!$B$20:$I$20</c:f>
              <c:numCache>
                <c:formatCode>0.00</c:formatCode>
                <c:ptCount val="8"/>
                <c:pt idx="0">
                  <c:v>0.190755581459554</c:v>
                </c:pt>
                <c:pt idx="1">
                  <c:v>0.240568301685634</c:v>
                </c:pt>
                <c:pt idx="2">
                  <c:v>0.297920413563216</c:v>
                </c:pt>
                <c:pt idx="3">
                  <c:v>0.364222806894649</c:v>
                </c:pt>
                <c:pt idx="4">
                  <c:v>0.411445501418267</c:v>
                </c:pt>
                <c:pt idx="5">
                  <c:v>0.529493473370284</c:v>
                </c:pt>
                <c:pt idx="6">
                  <c:v>0.763947011122784</c:v>
                </c:pt>
                <c:pt idx="7">
                  <c:v>1.097963290898576</c:v>
                </c:pt>
              </c:numCache>
            </c:numRef>
          </c:yVal>
          <c:smooth val="1"/>
        </c:ser>
        <c:ser>
          <c:idx val="1"/>
          <c:order val="1"/>
          <c:tx>
            <c:strRef>
              <c:f>'Figure 2.12'!$A$21</c:f>
              <c:strCache>
                <c:ptCount val="1"/>
                <c:pt idx="0">
                  <c:v>Lower-middle-income</c:v>
                </c:pt>
              </c:strCache>
            </c:strRef>
          </c:tx>
          <c:marker>
            <c:symbol val="none"/>
          </c:marker>
          <c:xVal>
            <c:numRef>
              <c:f>'Figure 2.12'!$B$19:$I$19</c:f>
              <c:numCache>
                <c:formatCode>General</c:formatCode>
                <c:ptCount val="8"/>
                <c:pt idx="0">
                  <c:v>1975.0</c:v>
                </c:pt>
                <c:pt idx="1">
                  <c:v>1980.0</c:v>
                </c:pt>
                <c:pt idx="2">
                  <c:v>1985.0</c:v>
                </c:pt>
                <c:pt idx="3">
                  <c:v>1990.0</c:v>
                </c:pt>
                <c:pt idx="4">
                  <c:v>1995.0</c:v>
                </c:pt>
                <c:pt idx="5">
                  <c:v>2000.0</c:v>
                </c:pt>
                <c:pt idx="6">
                  <c:v>2005.0</c:v>
                </c:pt>
                <c:pt idx="7">
                  <c:v>2010.0</c:v>
                </c:pt>
              </c:numCache>
            </c:numRef>
          </c:xVal>
          <c:yVal>
            <c:numRef>
              <c:f>'Figure 2.12'!$B$21:$I$21</c:f>
              <c:numCache>
                <c:formatCode>0.00</c:formatCode>
                <c:ptCount val="8"/>
                <c:pt idx="0">
                  <c:v>0.59626408860013</c:v>
                </c:pt>
                <c:pt idx="1">
                  <c:v>0.763023179627229</c:v>
                </c:pt>
                <c:pt idx="2">
                  <c:v>0.997957431169379</c:v>
                </c:pt>
                <c:pt idx="3">
                  <c:v>1.317935869368424</c:v>
                </c:pt>
                <c:pt idx="4">
                  <c:v>2.058461403571893</c:v>
                </c:pt>
                <c:pt idx="5">
                  <c:v>3.632725603632294</c:v>
                </c:pt>
                <c:pt idx="6">
                  <c:v>5.60934950846984</c:v>
                </c:pt>
                <c:pt idx="7">
                  <c:v>6.580465116345356</c:v>
                </c:pt>
              </c:numCache>
            </c:numRef>
          </c:yVal>
          <c:smooth val="1"/>
        </c:ser>
        <c:ser>
          <c:idx val="2"/>
          <c:order val="2"/>
          <c:tx>
            <c:strRef>
              <c:f>'Figure 2.12'!$A$22</c:f>
              <c:strCache>
                <c:ptCount val="1"/>
                <c:pt idx="0">
                  <c:v>Upper-middle-income</c:v>
                </c:pt>
              </c:strCache>
            </c:strRef>
          </c:tx>
          <c:marker>
            <c:symbol val="none"/>
          </c:marker>
          <c:xVal>
            <c:numRef>
              <c:f>'Figure 2.12'!$B$19:$I$19</c:f>
              <c:numCache>
                <c:formatCode>General</c:formatCode>
                <c:ptCount val="8"/>
                <c:pt idx="0">
                  <c:v>1975.0</c:v>
                </c:pt>
                <c:pt idx="1">
                  <c:v>1980.0</c:v>
                </c:pt>
                <c:pt idx="2">
                  <c:v>1985.0</c:v>
                </c:pt>
                <c:pt idx="3">
                  <c:v>1990.0</c:v>
                </c:pt>
                <c:pt idx="4">
                  <c:v>1995.0</c:v>
                </c:pt>
                <c:pt idx="5">
                  <c:v>2000.0</c:v>
                </c:pt>
                <c:pt idx="6">
                  <c:v>2005.0</c:v>
                </c:pt>
                <c:pt idx="7">
                  <c:v>2010.0</c:v>
                </c:pt>
              </c:numCache>
            </c:numRef>
          </c:xVal>
          <c:yVal>
            <c:numRef>
              <c:f>'Figure 2.12'!$B$22:$I$22</c:f>
              <c:numCache>
                <c:formatCode>0.00</c:formatCode>
                <c:ptCount val="8"/>
                <c:pt idx="0">
                  <c:v>1.406419104586743</c:v>
                </c:pt>
                <c:pt idx="1">
                  <c:v>2.040861181365158</c:v>
                </c:pt>
                <c:pt idx="2">
                  <c:v>2.79333673836925</c:v>
                </c:pt>
                <c:pt idx="3">
                  <c:v>3.92253379074726</c:v>
                </c:pt>
                <c:pt idx="4">
                  <c:v>6.937215735822917</c:v>
                </c:pt>
                <c:pt idx="5">
                  <c:v>13.68476315318388</c:v>
                </c:pt>
                <c:pt idx="6">
                  <c:v>23.73748240543064</c:v>
                </c:pt>
                <c:pt idx="7">
                  <c:v>20.94274475819702</c:v>
                </c:pt>
              </c:numCache>
            </c:numRef>
          </c:yVal>
          <c:smooth val="1"/>
        </c:ser>
        <c:ser>
          <c:idx val="3"/>
          <c:order val="3"/>
          <c:tx>
            <c:strRef>
              <c:f>'Figure 2.12'!$A$23</c:f>
              <c:strCache>
                <c:ptCount val="1"/>
                <c:pt idx="0">
                  <c:v>High-income</c:v>
                </c:pt>
              </c:strCache>
            </c:strRef>
          </c:tx>
          <c:spPr>
            <a:ln>
              <a:solidFill>
                <a:schemeClr val="accent1"/>
              </a:solidFill>
            </a:ln>
          </c:spPr>
          <c:marker>
            <c:symbol val="none"/>
          </c:marker>
          <c:xVal>
            <c:numRef>
              <c:f>'Figure 2.12'!$B$19:$I$19</c:f>
              <c:numCache>
                <c:formatCode>General</c:formatCode>
                <c:ptCount val="8"/>
                <c:pt idx="0">
                  <c:v>1975.0</c:v>
                </c:pt>
                <c:pt idx="1">
                  <c:v>1980.0</c:v>
                </c:pt>
                <c:pt idx="2">
                  <c:v>1985.0</c:v>
                </c:pt>
                <c:pt idx="3">
                  <c:v>1990.0</c:v>
                </c:pt>
                <c:pt idx="4">
                  <c:v>1995.0</c:v>
                </c:pt>
                <c:pt idx="5">
                  <c:v>2000.0</c:v>
                </c:pt>
                <c:pt idx="6">
                  <c:v>2005.0</c:v>
                </c:pt>
                <c:pt idx="7">
                  <c:v>2010.0</c:v>
                </c:pt>
              </c:numCache>
            </c:numRef>
          </c:xVal>
          <c:yVal>
            <c:numRef>
              <c:f>'Figure 2.12'!$B$23:$I$23</c:f>
              <c:numCache>
                <c:formatCode>0.00</c:formatCode>
                <c:ptCount val="8"/>
                <c:pt idx="0">
                  <c:v>23.03988423021633</c:v>
                </c:pt>
                <c:pt idx="1">
                  <c:v>29.14613312013059</c:v>
                </c:pt>
                <c:pt idx="2">
                  <c:v>35.2726348549006</c:v>
                </c:pt>
                <c:pt idx="3">
                  <c:v>41.94831277379645</c:v>
                </c:pt>
                <c:pt idx="4">
                  <c:v>48.52884939051344</c:v>
                </c:pt>
                <c:pt idx="5">
                  <c:v>55.15819467719734</c:v>
                </c:pt>
                <c:pt idx="6">
                  <c:v>51.10247310604645</c:v>
                </c:pt>
                <c:pt idx="7">
                  <c:v>43.77679437145511</c:v>
                </c:pt>
              </c:numCache>
            </c:numRef>
          </c:yVal>
          <c:smooth val="1"/>
        </c:ser>
        <c:ser>
          <c:idx val="4"/>
          <c:order val="4"/>
          <c:tx>
            <c:strRef>
              <c:f>'Figure 2.12'!$A$24</c:f>
              <c:strCache>
                <c:ptCount val="1"/>
                <c:pt idx="0">
                  <c:v>World</c:v>
                </c:pt>
              </c:strCache>
            </c:strRef>
          </c:tx>
          <c:spPr>
            <a:ln>
              <a:solidFill>
                <a:schemeClr val="accent2">
                  <a:lumMod val="60000"/>
                  <a:lumOff val="40000"/>
                </a:schemeClr>
              </a:solidFill>
            </a:ln>
          </c:spPr>
          <c:marker>
            <c:symbol val="none"/>
          </c:marker>
          <c:xVal>
            <c:numRef>
              <c:f>'Figure 2.12'!$B$19:$I$19</c:f>
              <c:numCache>
                <c:formatCode>General</c:formatCode>
                <c:ptCount val="8"/>
                <c:pt idx="0">
                  <c:v>1975.0</c:v>
                </c:pt>
                <c:pt idx="1">
                  <c:v>1980.0</c:v>
                </c:pt>
                <c:pt idx="2">
                  <c:v>1985.0</c:v>
                </c:pt>
                <c:pt idx="3">
                  <c:v>1990.0</c:v>
                </c:pt>
                <c:pt idx="4">
                  <c:v>1995.0</c:v>
                </c:pt>
                <c:pt idx="5">
                  <c:v>2000.0</c:v>
                </c:pt>
                <c:pt idx="6">
                  <c:v>2005.0</c:v>
                </c:pt>
                <c:pt idx="7">
                  <c:v>2010.0</c:v>
                </c:pt>
              </c:numCache>
            </c:numRef>
          </c:xVal>
          <c:yVal>
            <c:numRef>
              <c:f>'Figure 2.12'!$B$24:$I$24</c:f>
              <c:numCache>
                <c:formatCode>0.00</c:formatCode>
                <c:ptCount val="8"/>
                <c:pt idx="0">
                  <c:v>5.720571357857675</c:v>
                </c:pt>
                <c:pt idx="1">
                  <c:v>7.053927725664848</c:v>
                </c:pt>
                <c:pt idx="2">
                  <c:v>8.330743768871118</c:v>
                </c:pt>
                <c:pt idx="3">
                  <c:v>9.7849549583024</c:v>
                </c:pt>
                <c:pt idx="4">
                  <c:v>12.07110702610875</c:v>
                </c:pt>
                <c:pt idx="5">
                  <c:v>15.9875401823494</c:v>
                </c:pt>
                <c:pt idx="6">
                  <c:v>19.38740928189089</c:v>
                </c:pt>
                <c:pt idx="7">
                  <c:v>17.20513546603773</c:v>
                </c:pt>
              </c:numCache>
            </c:numRef>
          </c:yVal>
          <c:smooth val="1"/>
        </c:ser>
        <c:axId val="811690520"/>
        <c:axId val="811697832"/>
      </c:scatterChart>
      <c:valAx>
        <c:axId val="811690520"/>
        <c:scaling>
          <c:orientation val="minMax"/>
          <c:max val="2010.0"/>
          <c:min val="1975.0"/>
        </c:scaling>
        <c:axPos val="b"/>
        <c:title>
          <c:tx>
            <c:rich>
              <a:bodyPr/>
              <a:lstStyle/>
              <a:p>
                <a:pPr>
                  <a:defRPr/>
                </a:pPr>
                <a:r>
                  <a:rPr lang="en-US"/>
                  <a:t>Year</a:t>
                </a:r>
              </a:p>
            </c:rich>
          </c:tx>
        </c:title>
        <c:numFmt formatCode="General" sourceLinked="1"/>
        <c:tickLblPos val="nextTo"/>
        <c:crossAx val="811697832"/>
        <c:crosses val="autoZero"/>
        <c:crossBetween val="midCat"/>
      </c:valAx>
      <c:valAx>
        <c:axId val="811697832"/>
        <c:scaling>
          <c:orientation val="minMax"/>
        </c:scaling>
        <c:axPos val="l"/>
        <c:majorGridlines/>
        <c:title>
          <c:tx>
            <c:rich>
              <a:bodyPr rot="-5400000" vert="horz"/>
              <a:lstStyle/>
              <a:p>
                <a:pPr>
                  <a:defRPr/>
                </a:pPr>
                <a:r>
                  <a:rPr lang="en-US"/>
                  <a:t>Fixed telephone lines per 100 persons</a:t>
                </a:r>
              </a:p>
            </c:rich>
          </c:tx>
        </c:title>
        <c:numFmt formatCode="0" sourceLinked="0"/>
        <c:tickLblPos val="nextTo"/>
        <c:crossAx val="811690520"/>
        <c:crosses val="autoZero"/>
        <c:crossBetween val="midCat"/>
      </c:valAx>
    </c:plotArea>
    <c:legend>
      <c:legendPos val="b"/>
    </c:legend>
    <c:plotVisOnly val="1"/>
    <c:dispBlanksAs val="gap"/>
  </c:chart>
  <c:txPr>
    <a:bodyPr/>
    <a:lstStyle/>
    <a:p>
      <a:pPr>
        <a:defRPr b="0">
          <a:latin typeface="Times New Roman"/>
          <a:cs typeface="Times New Roman"/>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style val="2"/>
  <c:chart>
    <c:autoTitleDeleted val="1"/>
    <c:plotArea>
      <c:layout>
        <c:manualLayout>
          <c:layoutTarget val="inner"/>
          <c:xMode val="edge"/>
          <c:yMode val="edge"/>
          <c:x val="0.121996208807232"/>
          <c:y val="0.0384951881014873"/>
          <c:w val="0.834601013414993"/>
          <c:h val="0.731231115795565"/>
        </c:manualLayout>
      </c:layout>
      <c:scatterChart>
        <c:scatterStyle val="smoothMarker"/>
        <c:ser>
          <c:idx val="0"/>
          <c:order val="0"/>
          <c:tx>
            <c:strRef>
              <c:f>'Figure 2.13'!$A$20</c:f>
              <c:strCache>
                <c:ptCount val="1"/>
                <c:pt idx="0">
                  <c:v>Low-income</c:v>
                </c:pt>
              </c:strCache>
            </c:strRef>
          </c:tx>
          <c:spPr>
            <a:ln>
              <a:solidFill>
                <a:schemeClr val="accent4"/>
              </a:solidFill>
            </a:ln>
          </c:spPr>
          <c:marker>
            <c:symbol val="none"/>
          </c:marker>
          <c:xVal>
            <c:numRef>
              <c:f>'Figure 2.13'!$B$19:$L$19</c:f>
              <c:numCache>
                <c:formatCode>General</c:formatCode>
                <c:ptCount val="11"/>
                <c:pt idx="0">
                  <c:v>1990.0</c:v>
                </c:pt>
                <c:pt idx="1">
                  <c:v>1992.0</c:v>
                </c:pt>
                <c:pt idx="2">
                  <c:v>1994.0</c:v>
                </c:pt>
                <c:pt idx="3">
                  <c:v>1996.0</c:v>
                </c:pt>
                <c:pt idx="4">
                  <c:v>1998.0</c:v>
                </c:pt>
                <c:pt idx="5">
                  <c:v>2000.0</c:v>
                </c:pt>
                <c:pt idx="6">
                  <c:v>2002.0</c:v>
                </c:pt>
                <c:pt idx="7">
                  <c:v>2004.0</c:v>
                </c:pt>
                <c:pt idx="8">
                  <c:v>2006.0</c:v>
                </c:pt>
                <c:pt idx="9">
                  <c:v>2008.0</c:v>
                </c:pt>
                <c:pt idx="10">
                  <c:v>2010.0</c:v>
                </c:pt>
              </c:numCache>
            </c:numRef>
          </c:xVal>
          <c:yVal>
            <c:numRef>
              <c:f>'Figure 2.13'!$B$20:$L$20</c:f>
              <c:numCache>
                <c:formatCode>0.00</c:formatCode>
                <c:ptCount val="11"/>
                <c:pt idx="0">
                  <c:v>0.0</c:v>
                </c:pt>
                <c:pt idx="1">
                  <c:v>0.000590601497539339</c:v>
                </c:pt>
                <c:pt idx="2">
                  <c:v>0.00416296728767142</c:v>
                </c:pt>
                <c:pt idx="3">
                  <c:v>0.0123149709530801</c:v>
                </c:pt>
                <c:pt idx="4">
                  <c:v>0.0559612106650329</c:v>
                </c:pt>
                <c:pt idx="5">
                  <c:v>0.255288104086387</c:v>
                </c:pt>
                <c:pt idx="6">
                  <c:v>0.953067577333858</c:v>
                </c:pt>
                <c:pt idx="7">
                  <c:v>2.544048415818223</c:v>
                </c:pt>
                <c:pt idx="8">
                  <c:v>8.521950591210013</c:v>
                </c:pt>
                <c:pt idx="9">
                  <c:v>20.29320201617278</c:v>
                </c:pt>
                <c:pt idx="10">
                  <c:v>30.01366887019892</c:v>
                </c:pt>
              </c:numCache>
            </c:numRef>
          </c:yVal>
          <c:smooth val="1"/>
        </c:ser>
        <c:ser>
          <c:idx val="1"/>
          <c:order val="1"/>
          <c:tx>
            <c:strRef>
              <c:f>'Figure 2.13'!$A$21</c:f>
              <c:strCache>
                <c:ptCount val="1"/>
                <c:pt idx="0">
                  <c:v>Lower-middle-income</c:v>
                </c:pt>
              </c:strCache>
            </c:strRef>
          </c:tx>
          <c:marker>
            <c:symbol val="none"/>
          </c:marker>
          <c:xVal>
            <c:numRef>
              <c:f>'Figure 2.13'!$B$19:$L$19</c:f>
              <c:numCache>
                <c:formatCode>General</c:formatCode>
                <c:ptCount val="11"/>
                <c:pt idx="0">
                  <c:v>1990.0</c:v>
                </c:pt>
                <c:pt idx="1">
                  <c:v>1992.0</c:v>
                </c:pt>
                <c:pt idx="2">
                  <c:v>1994.0</c:v>
                </c:pt>
                <c:pt idx="3">
                  <c:v>1996.0</c:v>
                </c:pt>
                <c:pt idx="4">
                  <c:v>1998.0</c:v>
                </c:pt>
                <c:pt idx="5">
                  <c:v>2000.0</c:v>
                </c:pt>
                <c:pt idx="6">
                  <c:v>2002.0</c:v>
                </c:pt>
                <c:pt idx="7">
                  <c:v>2004.0</c:v>
                </c:pt>
                <c:pt idx="8">
                  <c:v>2006.0</c:v>
                </c:pt>
                <c:pt idx="9">
                  <c:v>2008.0</c:v>
                </c:pt>
                <c:pt idx="10">
                  <c:v>2010.0</c:v>
                </c:pt>
              </c:numCache>
            </c:numRef>
          </c:xVal>
          <c:yVal>
            <c:numRef>
              <c:f>'Figure 2.13'!$B$21:$L$21</c:f>
              <c:numCache>
                <c:formatCode>0.00</c:formatCode>
                <c:ptCount val="11"/>
                <c:pt idx="0">
                  <c:v>0.00150289068014925</c:v>
                </c:pt>
                <c:pt idx="1">
                  <c:v>0.00693644631369032</c:v>
                </c:pt>
                <c:pt idx="2">
                  <c:v>0.0215610879806498</c:v>
                </c:pt>
                <c:pt idx="3">
                  <c:v>0.122144244410468</c:v>
                </c:pt>
                <c:pt idx="4">
                  <c:v>0.302332661509727</c:v>
                </c:pt>
                <c:pt idx="5">
                  <c:v>1.19498168176098</c:v>
                </c:pt>
                <c:pt idx="6">
                  <c:v>3.337068365742321</c:v>
                </c:pt>
                <c:pt idx="7">
                  <c:v>8.648265506606398</c:v>
                </c:pt>
                <c:pt idx="8">
                  <c:v>22.1193177355345</c:v>
                </c:pt>
                <c:pt idx="9">
                  <c:v>43.9261382322963</c:v>
                </c:pt>
                <c:pt idx="10">
                  <c:v>66.75047174094658</c:v>
                </c:pt>
              </c:numCache>
            </c:numRef>
          </c:yVal>
          <c:smooth val="1"/>
        </c:ser>
        <c:ser>
          <c:idx val="2"/>
          <c:order val="2"/>
          <c:tx>
            <c:strRef>
              <c:f>'Figure 2.13'!$A$22</c:f>
              <c:strCache>
                <c:ptCount val="1"/>
                <c:pt idx="0">
                  <c:v>Upper-middle-income</c:v>
                </c:pt>
              </c:strCache>
            </c:strRef>
          </c:tx>
          <c:marker>
            <c:symbol val="none"/>
          </c:marker>
          <c:xVal>
            <c:numRef>
              <c:f>'Figure 2.13'!$B$19:$L$19</c:f>
              <c:numCache>
                <c:formatCode>General</c:formatCode>
                <c:ptCount val="11"/>
                <c:pt idx="0">
                  <c:v>1990.0</c:v>
                </c:pt>
                <c:pt idx="1">
                  <c:v>1992.0</c:v>
                </c:pt>
                <c:pt idx="2">
                  <c:v>1994.0</c:v>
                </c:pt>
                <c:pt idx="3">
                  <c:v>1996.0</c:v>
                </c:pt>
                <c:pt idx="4">
                  <c:v>1998.0</c:v>
                </c:pt>
                <c:pt idx="5">
                  <c:v>2000.0</c:v>
                </c:pt>
                <c:pt idx="6">
                  <c:v>2002.0</c:v>
                </c:pt>
                <c:pt idx="7">
                  <c:v>2004.0</c:v>
                </c:pt>
                <c:pt idx="8">
                  <c:v>2006.0</c:v>
                </c:pt>
                <c:pt idx="9">
                  <c:v>2008.0</c:v>
                </c:pt>
                <c:pt idx="10">
                  <c:v>2010.0</c:v>
                </c:pt>
              </c:numCache>
            </c:numRef>
          </c:xVal>
          <c:yVal>
            <c:numRef>
              <c:f>'Figure 2.13'!$B$22:$L$22</c:f>
              <c:numCache>
                <c:formatCode>0.00</c:formatCode>
                <c:ptCount val="11"/>
                <c:pt idx="0">
                  <c:v>0.0156690205934894</c:v>
                </c:pt>
                <c:pt idx="1">
                  <c:v>0.0621361882977399</c:v>
                </c:pt>
                <c:pt idx="2">
                  <c:v>0.257120395331737</c:v>
                </c:pt>
                <c:pt idx="3">
                  <c:v>0.860371824610749</c:v>
                </c:pt>
                <c:pt idx="4">
                  <c:v>2.592740967735699</c:v>
                </c:pt>
                <c:pt idx="5">
                  <c:v>8.257448226989774</c:v>
                </c:pt>
                <c:pt idx="6">
                  <c:v>17.01979909236679</c:v>
                </c:pt>
                <c:pt idx="7">
                  <c:v>30.39934333309838</c:v>
                </c:pt>
                <c:pt idx="8">
                  <c:v>48.29409988715835</c:v>
                </c:pt>
                <c:pt idx="9">
                  <c:v>67.2014252580405</c:v>
                </c:pt>
                <c:pt idx="10">
                  <c:v>85.27137977062414</c:v>
                </c:pt>
              </c:numCache>
            </c:numRef>
          </c:yVal>
          <c:smooth val="1"/>
        </c:ser>
        <c:ser>
          <c:idx val="3"/>
          <c:order val="3"/>
          <c:tx>
            <c:strRef>
              <c:f>'Figure 2.13'!$A$23</c:f>
              <c:strCache>
                <c:ptCount val="1"/>
                <c:pt idx="0">
                  <c:v>High-income</c:v>
                </c:pt>
              </c:strCache>
            </c:strRef>
          </c:tx>
          <c:spPr>
            <a:ln>
              <a:solidFill>
                <a:schemeClr val="accent1"/>
              </a:solidFill>
            </a:ln>
          </c:spPr>
          <c:marker>
            <c:symbol val="none"/>
          </c:marker>
          <c:xVal>
            <c:numRef>
              <c:f>'Figure 2.13'!$B$19:$L$19</c:f>
              <c:numCache>
                <c:formatCode>General</c:formatCode>
                <c:ptCount val="11"/>
                <c:pt idx="0">
                  <c:v>1990.0</c:v>
                </c:pt>
                <c:pt idx="1">
                  <c:v>1992.0</c:v>
                </c:pt>
                <c:pt idx="2">
                  <c:v>1994.0</c:v>
                </c:pt>
                <c:pt idx="3">
                  <c:v>1996.0</c:v>
                </c:pt>
                <c:pt idx="4">
                  <c:v>1998.0</c:v>
                </c:pt>
                <c:pt idx="5">
                  <c:v>2000.0</c:v>
                </c:pt>
                <c:pt idx="6">
                  <c:v>2002.0</c:v>
                </c:pt>
                <c:pt idx="7">
                  <c:v>2004.0</c:v>
                </c:pt>
                <c:pt idx="8">
                  <c:v>2006.0</c:v>
                </c:pt>
                <c:pt idx="9">
                  <c:v>2008.0</c:v>
                </c:pt>
                <c:pt idx="10">
                  <c:v>2010.0</c:v>
                </c:pt>
              </c:numCache>
            </c:numRef>
          </c:xVal>
          <c:yVal>
            <c:numRef>
              <c:f>'Figure 2.13'!$B$23:$L$23</c:f>
              <c:numCache>
                <c:formatCode>0.00</c:formatCode>
                <c:ptCount val="11"/>
                <c:pt idx="0">
                  <c:v>1.102787086058448</c:v>
                </c:pt>
                <c:pt idx="1">
                  <c:v>2.180688039661894</c:v>
                </c:pt>
                <c:pt idx="2">
                  <c:v>4.887244805868656</c:v>
                </c:pt>
                <c:pt idx="3">
                  <c:v>12.05328519636515</c:v>
                </c:pt>
                <c:pt idx="4">
                  <c:v>24.42343990401118</c:v>
                </c:pt>
                <c:pt idx="5">
                  <c:v>49.79228740717951</c:v>
                </c:pt>
                <c:pt idx="6">
                  <c:v>64.10757199581712</c:v>
                </c:pt>
                <c:pt idx="7">
                  <c:v>76.57375615874631</c:v>
                </c:pt>
                <c:pt idx="8">
                  <c:v>92.45285942239762</c:v>
                </c:pt>
                <c:pt idx="9">
                  <c:v>105.9019627537767</c:v>
                </c:pt>
                <c:pt idx="10">
                  <c:v>116.1383197113279</c:v>
                </c:pt>
              </c:numCache>
            </c:numRef>
          </c:yVal>
          <c:smooth val="1"/>
        </c:ser>
        <c:ser>
          <c:idx val="4"/>
          <c:order val="4"/>
          <c:tx>
            <c:strRef>
              <c:f>'Figure 2.13'!$A$24</c:f>
              <c:strCache>
                <c:ptCount val="1"/>
                <c:pt idx="0">
                  <c:v>World</c:v>
                </c:pt>
              </c:strCache>
            </c:strRef>
          </c:tx>
          <c:spPr>
            <a:ln>
              <a:solidFill>
                <a:schemeClr val="accent2">
                  <a:lumMod val="60000"/>
                  <a:lumOff val="40000"/>
                </a:schemeClr>
              </a:solidFill>
            </a:ln>
          </c:spPr>
          <c:marker>
            <c:symbol val="none"/>
          </c:marker>
          <c:xVal>
            <c:numRef>
              <c:f>'Figure 2.13'!$B$19:$L$19</c:f>
              <c:numCache>
                <c:formatCode>General</c:formatCode>
                <c:ptCount val="11"/>
                <c:pt idx="0">
                  <c:v>1990.0</c:v>
                </c:pt>
                <c:pt idx="1">
                  <c:v>1992.0</c:v>
                </c:pt>
                <c:pt idx="2">
                  <c:v>1994.0</c:v>
                </c:pt>
                <c:pt idx="3">
                  <c:v>1996.0</c:v>
                </c:pt>
                <c:pt idx="4">
                  <c:v>1998.0</c:v>
                </c:pt>
                <c:pt idx="5">
                  <c:v>2000.0</c:v>
                </c:pt>
                <c:pt idx="6">
                  <c:v>2002.0</c:v>
                </c:pt>
                <c:pt idx="7">
                  <c:v>2004.0</c:v>
                </c:pt>
                <c:pt idx="8">
                  <c:v>2006.0</c:v>
                </c:pt>
                <c:pt idx="9">
                  <c:v>2008.0</c:v>
                </c:pt>
                <c:pt idx="10">
                  <c:v>2010.0</c:v>
                </c:pt>
              </c:numCache>
            </c:numRef>
          </c:xVal>
          <c:yVal>
            <c:numRef>
              <c:f>'Figure 2.13'!$B$24:$L$24</c:f>
              <c:numCache>
                <c:formatCode>0.00</c:formatCode>
                <c:ptCount val="11"/>
                <c:pt idx="0">
                  <c:v>0.210884063592895</c:v>
                </c:pt>
                <c:pt idx="1">
                  <c:v>0.423305511176962</c:v>
                </c:pt>
                <c:pt idx="2">
                  <c:v>0.98288784193529</c:v>
                </c:pt>
                <c:pt idx="3">
                  <c:v>2.50432577820514</c:v>
                </c:pt>
                <c:pt idx="4">
                  <c:v>5.351415800942584</c:v>
                </c:pt>
                <c:pt idx="5">
                  <c:v>12.10707511922334</c:v>
                </c:pt>
                <c:pt idx="6">
                  <c:v>18.49266719301171</c:v>
                </c:pt>
                <c:pt idx="7">
                  <c:v>27.38939397869827</c:v>
                </c:pt>
                <c:pt idx="8">
                  <c:v>41.8089820972701</c:v>
                </c:pt>
                <c:pt idx="9">
                  <c:v>59.78741317041001</c:v>
                </c:pt>
                <c:pt idx="10">
                  <c:v>77.04968090766736</c:v>
                </c:pt>
              </c:numCache>
            </c:numRef>
          </c:yVal>
          <c:smooth val="1"/>
        </c:ser>
        <c:axId val="811736552"/>
        <c:axId val="811743736"/>
      </c:scatterChart>
      <c:valAx>
        <c:axId val="811736552"/>
        <c:scaling>
          <c:orientation val="minMax"/>
          <c:max val="2010.0"/>
          <c:min val="1990.0"/>
        </c:scaling>
        <c:axPos val="b"/>
        <c:title>
          <c:tx>
            <c:rich>
              <a:bodyPr/>
              <a:lstStyle/>
              <a:p>
                <a:pPr>
                  <a:defRPr/>
                </a:pPr>
                <a:r>
                  <a:rPr lang="en-US"/>
                  <a:t>Year</a:t>
                </a:r>
              </a:p>
            </c:rich>
          </c:tx>
        </c:title>
        <c:numFmt formatCode="General" sourceLinked="1"/>
        <c:tickLblPos val="nextTo"/>
        <c:crossAx val="811743736"/>
        <c:crosses val="autoZero"/>
        <c:crossBetween val="midCat"/>
      </c:valAx>
      <c:valAx>
        <c:axId val="811743736"/>
        <c:scaling>
          <c:orientation val="minMax"/>
          <c:max val="130.0"/>
          <c:min val="0.0"/>
        </c:scaling>
        <c:axPos val="l"/>
        <c:majorGridlines/>
        <c:title>
          <c:tx>
            <c:rich>
              <a:bodyPr rot="-5400000" vert="horz"/>
              <a:lstStyle/>
              <a:p>
                <a:pPr>
                  <a:defRPr/>
                </a:pPr>
                <a:r>
                  <a:rPr lang="en-US"/>
                  <a:t>Mobile telephone subscriptions per 100 persons</a:t>
                </a:r>
              </a:p>
            </c:rich>
          </c:tx>
        </c:title>
        <c:numFmt formatCode="0" sourceLinked="0"/>
        <c:tickLblPos val="nextTo"/>
        <c:crossAx val="811736552"/>
        <c:crosses val="autoZero"/>
        <c:crossBetween val="midCat"/>
      </c:valAx>
    </c:plotArea>
    <c:legend>
      <c:legendPos val="b"/>
      <c:layout>
        <c:manualLayout>
          <c:xMode val="edge"/>
          <c:yMode val="edge"/>
          <c:x val="0.00837893700787401"/>
          <c:y val="0.900114452906501"/>
          <c:w val="0.960741929133858"/>
          <c:h val="0.0998855470934985"/>
        </c:manualLayout>
      </c:layout>
    </c:legend>
    <c:plotVisOnly val="1"/>
    <c:dispBlanksAs val="gap"/>
  </c:chart>
  <c:txPr>
    <a:bodyPr/>
    <a:lstStyle/>
    <a:p>
      <a:pPr>
        <a:defRPr b="0">
          <a:latin typeface="Times New Roman"/>
          <a:cs typeface="Times New Roman"/>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style val="2"/>
  <c:chart>
    <c:autoTitleDeleted val="1"/>
    <c:plotArea>
      <c:layout>
        <c:manualLayout>
          <c:layoutTarget val="inner"/>
          <c:xMode val="edge"/>
          <c:yMode val="edge"/>
          <c:x val="0.117254831782391"/>
          <c:y val="0.0401611505695294"/>
          <c:w val="0.833253588516746"/>
          <c:h val="0.733701673659177"/>
        </c:manualLayout>
      </c:layout>
      <c:scatterChart>
        <c:scatterStyle val="smoothMarker"/>
        <c:ser>
          <c:idx val="0"/>
          <c:order val="0"/>
          <c:tx>
            <c:strRef>
              <c:f>'Figure 2.14'!$A$20</c:f>
              <c:strCache>
                <c:ptCount val="1"/>
                <c:pt idx="0">
                  <c:v>Low-income</c:v>
                </c:pt>
              </c:strCache>
            </c:strRef>
          </c:tx>
          <c:spPr>
            <a:ln>
              <a:solidFill>
                <a:schemeClr val="accent4"/>
              </a:solidFill>
            </a:ln>
          </c:spPr>
          <c:marker>
            <c:symbol val="none"/>
          </c:marker>
          <c:xVal>
            <c:numRef>
              <c:f>'Figure 2.14'!$B$19:$N$19</c:f>
              <c:numCache>
                <c:formatCode>General</c:formatCode>
                <c:ptCount val="13"/>
                <c:pt idx="0">
                  <c:v>1998.0</c:v>
                </c:pt>
                <c:pt idx="1">
                  <c:v>1999.0</c:v>
                </c:pt>
                <c:pt idx="2">
                  <c:v>2000.0</c:v>
                </c:pt>
                <c:pt idx="3">
                  <c:v>2001.0</c:v>
                </c:pt>
                <c:pt idx="4">
                  <c:v>2002.0</c:v>
                </c:pt>
                <c:pt idx="5">
                  <c:v>2003.0</c:v>
                </c:pt>
                <c:pt idx="6">
                  <c:v>2004.0</c:v>
                </c:pt>
                <c:pt idx="7">
                  <c:v>2005.0</c:v>
                </c:pt>
                <c:pt idx="8">
                  <c:v>2006.0</c:v>
                </c:pt>
                <c:pt idx="9">
                  <c:v>2007.0</c:v>
                </c:pt>
                <c:pt idx="10">
                  <c:v>2008.0</c:v>
                </c:pt>
                <c:pt idx="11">
                  <c:v>2009.0</c:v>
                </c:pt>
                <c:pt idx="12">
                  <c:v>2010.0</c:v>
                </c:pt>
              </c:numCache>
            </c:numRef>
          </c:xVal>
          <c:yVal>
            <c:numRef>
              <c:f>'Figure 2.14'!$B$20:$N$20</c:f>
              <c:numCache>
                <c:formatCode>0.00</c:formatCode>
                <c:ptCount val="13"/>
                <c:pt idx="0">
                  <c:v>0.0</c:v>
                </c:pt>
                <c:pt idx="1">
                  <c:v>4.41575509093075E-5</c:v>
                </c:pt>
                <c:pt idx="2">
                  <c:v>8.69488926292825E-5</c:v>
                </c:pt>
                <c:pt idx="3">
                  <c:v>0.000128101940365293</c:v>
                </c:pt>
                <c:pt idx="4">
                  <c:v>0.000466497845943127</c:v>
                </c:pt>
                <c:pt idx="5">
                  <c:v>0.00112151100867501</c:v>
                </c:pt>
                <c:pt idx="6">
                  <c:v>0.00245021668819805</c:v>
                </c:pt>
                <c:pt idx="7">
                  <c:v>0.00343816402365625</c:v>
                </c:pt>
                <c:pt idx="8">
                  <c:v>0.011752495658769</c:v>
                </c:pt>
                <c:pt idx="9">
                  <c:v>0.0191527033071643</c:v>
                </c:pt>
                <c:pt idx="10">
                  <c:v>0.0230699872816758</c:v>
                </c:pt>
                <c:pt idx="11">
                  <c:v>0.0286422425287072</c:v>
                </c:pt>
                <c:pt idx="12">
                  <c:v>0.0502547234181142</c:v>
                </c:pt>
              </c:numCache>
            </c:numRef>
          </c:yVal>
          <c:smooth val="1"/>
        </c:ser>
        <c:ser>
          <c:idx val="1"/>
          <c:order val="1"/>
          <c:tx>
            <c:strRef>
              <c:f>'Figure 2.14'!$A$21</c:f>
              <c:strCache>
                <c:ptCount val="1"/>
                <c:pt idx="0">
                  <c:v>Lower-middle-income</c:v>
                </c:pt>
              </c:strCache>
            </c:strRef>
          </c:tx>
          <c:marker>
            <c:symbol val="none"/>
          </c:marker>
          <c:xVal>
            <c:numRef>
              <c:f>'Figure 2.14'!$B$19:$N$19</c:f>
              <c:numCache>
                <c:formatCode>General</c:formatCode>
                <c:ptCount val="13"/>
                <c:pt idx="0">
                  <c:v>1998.0</c:v>
                </c:pt>
                <c:pt idx="1">
                  <c:v>1999.0</c:v>
                </c:pt>
                <c:pt idx="2">
                  <c:v>2000.0</c:v>
                </c:pt>
                <c:pt idx="3">
                  <c:v>2001.0</c:v>
                </c:pt>
                <c:pt idx="4">
                  <c:v>2002.0</c:v>
                </c:pt>
                <c:pt idx="5">
                  <c:v>2003.0</c:v>
                </c:pt>
                <c:pt idx="6">
                  <c:v>2004.0</c:v>
                </c:pt>
                <c:pt idx="7">
                  <c:v>2005.0</c:v>
                </c:pt>
                <c:pt idx="8">
                  <c:v>2006.0</c:v>
                </c:pt>
                <c:pt idx="9">
                  <c:v>2007.0</c:v>
                </c:pt>
                <c:pt idx="10">
                  <c:v>2008.0</c:v>
                </c:pt>
                <c:pt idx="11">
                  <c:v>2009.0</c:v>
                </c:pt>
                <c:pt idx="12">
                  <c:v>2010.0</c:v>
                </c:pt>
              </c:numCache>
            </c:numRef>
          </c:xVal>
          <c:yVal>
            <c:numRef>
              <c:f>'Figure 2.14'!$B$21:$N$21</c:f>
              <c:numCache>
                <c:formatCode>0.00</c:formatCode>
                <c:ptCount val="13"/>
                <c:pt idx="0">
                  <c:v>0.0</c:v>
                </c:pt>
                <c:pt idx="1">
                  <c:v>0.000136615883655693</c:v>
                </c:pt>
                <c:pt idx="2">
                  <c:v>0.000271780298072528</c:v>
                </c:pt>
                <c:pt idx="3">
                  <c:v>0.00371808759048943</c:v>
                </c:pt>
                <c:pt idx="4">
                  <c:v>0.00948682837701323</c:v>
                </c:pt>
                <c:pt idx="5">
                  <c:v>0.0165444937909429</c:v>
                </c:pt>
                <c:pt idx="6">
                  <c:v>0.0298580637602757</c:v>
                </c:pt>
                <c:pt idx="7">
                  <c:v>0.109784250919603</c:v>
                </c:pt>
                <c:pt idx="8">
                  <c:v>0.209923246774663</c:v>
                </c:pt>
                <c:pt idx="9">
                  <c:v>0.328887136383017</c:v>
                </c:pt>
                <c:pt idx="10">
                  <c:v>0.543761376917153</c:v>
                </c:pt>
                <c:pt idx="11">
                  <c:v>0.756743584374213</c:v>
                </c:pt>
                <c:pt idx="12">
                  <c:v>1.049046546112585</c:v>
                </c:pt>
              </c:numCache>
            </c:numRef>
          </c:yVal>
          <c:smooth val="1"/>
        </c:ser>
        <c:ser>
          <c:idx val="2"/>
          <c:order val="2"/>
          <c:tx>
            <c:strRef>
              <c:f>'Figure 2.14'!$A$22</c:f>
              <c:strCache>
                <c:ptCount val="1"/>
                <c:pt idx="0">
                  <c:v>Upper-middle-income</c:v>
                </c:pt>
              </c:strCache>
            </c:strRef>
          </c:tx>
          <c:marker>
            <c:symbol val="none"/>
          </c:marker>
          <c:xVal>
            <c:numRef>
              <c:f>'Figure 2.14'!$B$19:$N$19</c:f>
              <c:numCache>
                <c:formatCode>General</c:formatCode>
                <c:ptCount val="13"/>
                <c:pt idx="0">
                  <c:v>1998.0</c:v>
                </c:pt>
                <c:pt idx="1">
                  <c:v>1999.0</c:v>
                </c:pt>
                <c:pt idx="2">
                  <c:v>2000.0</c:v>
                </c:pt>
                <c:pt idx="3">
                  <c:v>2001.0</c:v>
                </c:pt>
                <c:pt idx="4">
                  <c:v>2002.0</c:v>
                </c:pt>
                <c:pt idx="5">
                  <c:v>2003.0</c:v>
                </c:pt>
                <c:pt idx="6">
                  <c:v>2004.0</c:v>
                </c:pt>
                <c:pt idx="7">
                  <c:v>2005.0</c:v>
                </c:pt>
                <c:pt idx="8">
                  <c:v>2006.0</c:v>
                </c:pt>
                <c:pt idx="9">
                  <c:v>2007.0</c:v>
                </c:pt>
                <c:pt idx="10">
                  <c:v>2008.0</c:v>
                </c:pt>
                <c:pt idx="11">
                  <c:v>2009.0</c:v>
                </c:pt>
                <c:pt idx="12">
                  <c:v>2010.0</c:v>
                </c:pt>
              </c:numCache>
            </c:numRef>
          </c:xVal>
          <c:yVal>
            <c:numRef>
              <c:f>'Figure 2.14'!$B$22:$N$22</c:f>
              <c:numCache>
                <c:formatCode>0.00</c:formatCode>
                <c:ptCount val="13"/>
                <c:pt idx="0">
                  <c:v>7.60374681027135E-5</c:v>
                </c:pt>
                <c:pt idx="1">
                  <c:v>0.00300650154853892</c:v>
                </c:pt>
                <c:pt idx="2">
                  <c:v>0.0105020213605845</c:v>
                </c:pt>
                <c:pt idx="3">
                  <c:v>0.0433079551386702</c:v>
                </c:pt>
                <c:pt idx="4">
                  <c:v>0.214577801806678</c:v>
                </c:pt>
                <c:pt idx="5">
                  <c:v>0.632309833173444</c:v>
                </c:pt>
                <c:pt idx="6">
                  <c:v>1.413621134585437</c:v>
                </c:pt>
                <c:pt idx="7">
                  <c:v>2.147769290562582</c:v>
                </c:pt>
                <c:pt idx="8">
                  <c:v>3.096511606266921</c:v>
                </c:pt>
                <c:pt idx="9">
                  <c:v>4.295908043996699</c:v>
                </c:pt>
                <c:pt idx="10">
                  <c:v>5.63067125723285</c:v>
                </c:pt>
                <c:pt idx="11">
                  <c:v>6.962873011479422</c:v>
                </c:pt>
                <c:pt idx="12">
                  <c:v>8.499703946953314</c:v>
                </c:pt>
              </c:numCache>
            </c:numRef>
          </c:yVal>
          <c:smooth val="1"/>
        </c:ser>
        <c:ser>
          <c:idx val="3"/>
          <c:order val="3"/>
          <c:tx>
            <c:strRef>
              <c:f>'Figure 2.14'!$A$23</c:f>
              <c:strCache>
                <c:ptCount val="1"/>
                <c:pt idx="0">
                  <c:v>High-income</c:v>
                </c:pt>
              </c:strCache>
            </c:strRef>
          </c:tx>
          <c:spPr>
            <a:ln>
              <a:solidFill>
                <a:schemeClr val="accent1"/>
              </a:solidFill>
            </a:ln>
          </c:spPr>
          <c:marker>
            <c:symbol val="none"/>
          </c:marker>
          <c:xVal>
            <c:numRef>
              <c:f>'Figure 2.14'!$B$19:$N$19</c:f>
              <c:numCache>
                <c:formatCode>General</c:formatCode>
                <c:ptCount val="13"/>
                <c:pt idx="0">
                  <c:v>1998.0</c:v>
                </c:pt>
                <c:pt idx="1">
                  <c:v>1999.0</c:v>
                </c:pt>
                <c:pt idx="2">
                  <c:v>2000.0</c:v>
                </c:pt>
                <c:pt idx="3">
                  <c:v>2001.0</c:v>
                </c:pt>
                <c:pt idx="4">
                  <c:v>2002.0</c:v>
                </c:pt>
                <c:pt idx="5">
                  <c:v>2003.0</c:v>
                </c:pt>
                <c:pt idx="6">
                  <c:v>2004.0</c:v>
                </c:pt>
                <c:pt idx="7">
                  <c:v>2005.0</c:v>
                </c:pt>
                <c:pt idx="8">
                  <c:v>2006.0</c:v>
                </c:pt>
                <c:pt idx="9">
                  <c:v>2007.0</c:v>
                </c:pt>
                <c:pt idx="10">
                  <c:v>2008.0</c:v>
                </c:pt>
                <c:pt idx="11">
                  <c:v>2009.0</c:v>
                </c:pt>
                <c:pt idx="12">
                  <c:v>2010.0</c:v>
                </c:pt>
              </c:numCache>
            </c:numRef>
          </c:xVal>
          <c:yVal>
            <c:numRef>
              <c:f>'Figure 2.14'!$B$23:$N$23</c:f>
              <c:numCache>
                <c:formatCode>0.00</c:formatCode>
                <c:ptCount val="13"/>
                <c:pt idx="0">
                  <c:v>0.100094103110312</c:v>
                </c:pt>
                <c:pt idx="1">
                  <c:v>0.449321775991414</c:v>
                </c:pt>
                <c:pt idx="2">
                  <c:v>1.515377820010008</c:v>
                </c:pt>
                <c:pt idx="3">
                  <c:v>3.37770928733871</c:v>
                </c:pt>
                <c:pt idx="4">
                  <c:v>5.664144752394534</c:v>
                </c:pt>
                <c:pt idx="5">
                  <c:v>8.192522143099095</c:v>
                </c:pt>
                <c:pt idx="6">
                  <c:v>11.4493155752157</c:v>
                </c:pt>
                <c:pt idx="7">
                  <c:v>14.99329568228963</c:v>
                </c:pt>
                <c:pt idx="8">
                  <c:v>18.78540596118646</c:v>
                </c:pt>
                <c:pt idx="9">
                  <c:v>21.88495502023512</c:v>
                </c:pt>
                <c:pt idx="10">
                  <c:v>23.6959199558181</c:v>
                </c:pt>
                <c:pt idx="11">
                  <c:v>25.50396845172927</c:v>
                </c:pt>
                <c:pt idx="12">
                  <c:v>27.61348687210122</c:v>
                </c:pt>
              </c:numCache>
            </c:numRef>
          </c:yVal>
          <c:smooth val="1"/>
        </c:ser>
        <c:ser>
          <c:idx val="4"/>
          <c:order val="4"/>
          <c:tx>
            <c:strRef>
              <c:f>'Figure 2.14'!$A$24</c:f>
              <c:strCache>
                <c:ptCount val="1"/>
                <c:pt idx="0">
                  <c:v>World</c:v>
                </c:pt>
              </c:strCache>
            </c:strRef>
          </c:tx>
          <c:spPr>
            <a:ln>
              <a:solidFill>
                <a:schemeClr val="accent2">
                  <a:lumMod val="60000"/>
                  <a:lumOff val="40000"/>
                </a:schemeClr>
              </a:solidFill>
            </a:ln>
          </c:spPr>
          <c:marker>
            <c:symbol val="none"/>
          </c:marker>
          <c:xVal>
            <c:numRef>
              <c:f>'Figure 2.14'!$B$19:$N$19</c:f>
              <c:numCache>
                <c:formatCode>General</c:formatCode>
                <c:ptCount val="13"/>
                <c:pt idx="0">
                  <c:v>1998.0</c:v>
                </c:pt>
                <c:pt idx="1">
                  <c:v>1999.0</c:v>
                </c:pt>
                <c:pt idx="2">
                  <c:v>2000.0</c:v>
                </c:pt>
                <c:pt idx="3">
                  <c:v>2001.0</c:v>
                </c:pt>
                <c:pt idx="4">
                  <c:v>2002.0</c:v>
                </c:pt>
                <c:pt idx="5">
                  <c:v>2003.0</c:v>
                </c:pt>
                <c:pt idx="6">
                  <c:v>2004.0</c:v>
                </c:pt>
                <c:pt idx="7">
                  <c:v>2005.0</c:v>
                </c:pt>
                <c:pt idx="8">
                  <c:v>2006.0</c:v>
                </c:pt>
                <c:pt idx="9">
                  <c:v>2007.0</c:v>
                </c:pt>
                <c:pt idx="10">
                  <c:v>2008.0</c:v>
                </c:pt>
                <c:pt idx="11">
                  <c:v>2009.0</c:v>
                </c:pt>
                <c:pt idx="12">
                  <c:v>2010.0</c:v>
                </c:pt>
              </c:numCache>
            </c:numRef>
          </c:xVal>
          <c:yVal>
            <c:numRef>
              <c:f>'Figure 2.14'!$B$24:$N$24</c:f>
              <c:numCache>
                <c:formatCode>0.00</c:formatCode>
                <c:ptCount val="13"/>
                <c:pt idx="0">
                  <c:v>0.0173655332690608</c:v>
                </c:pt>
                <c:pt idx="1">
                  <c:v>0.0784892413573595</c:v>
                </c:pt>
                <c:pt idx="2">
                  <c:v>0.26306298085649</c:v>
                </c:pt>
                <c:pt idx="3">
                  <c:v>0.591432843044544</c:v>
                </c:pt>
                <c:pt idx="4">
                  <c:v>1.040873350107578</c:v>
                </c:pt>
                <c:pt idx="5">
                  <c:v>1.619024119766495</c:v>
                </c:pt>
                <c:pt idx="6">
                  <c:v>2.451038156518853</c:v>
                </c:pt>
                <c:pt idx="7">
                  <c:v>3.329392437501306</c:v>
                </c:pt>
                <c:pt idx="8">
                  <c:v>4.328865317741378</c:v>
                </c:pt>
                <c:pt idx="9">
                  <c:v>5.306068390607903</c:v>
                </c:pt>
                <c:pt idx="10">
                  <c:v>6.14615942216111</c:v>
                </c:pt>
                <c:pt idx="11">
                  <c:v>6.975892384627273</c:v>
                </c:pt>
                <c:pt idx="12">
                  <c:v>7.95260572148214</c:v>
                </c:pt>
              </c:numCache>
            </c:numRef>
          </c:yVal>
          <c:smooth val="1"/>
        </c:ser>
        <c:axId val="811782536"/>
        <c:axId val="811789688"/>
      </c:scatterChart>
      <c:valAx>
        <c:axId val="811782536"/>
        <c:scaling>
          <c:orientation val="minMax"/>
          <c:max val="2010.0"/>
          <c:min val="1998.0"/>
        </c:scaling>
        <c:axPos val="b"/>
        <c:title>
          <c:tx>
            <c:rich>
              <a:bodyPr/>
              <a:lstStyle/>
              <a:p>
                <a:pPr>
                  <a:defRPr/>
                </a:pPr>
                <a:r>
                  <a:rPr lang="en-US"/>
                  <a:t>Year</a:t>
                </a:r>
              </a:p>
            </c:rich>
          </c:tx>
        </c:title>
        <c:numFmt formatCode="General" sourceLinked="1"/>
        <c:tickLblPos val="nextTo"/>
        <c:crossAx val="811789688"/>
        <c:crosses val="autoZero"/>
        <c:crossBetween val="midCat"/>
      </c:valAx>
      <c:valAx>
        <c:axId val="811789688"/>
        <c:scaling>
          <c:orientation val="minMax"/>
          <c:min val="0.0"/>
        </c:scaling>
        <c:axPos val="l"/>
        <c:majorGridlines/>
        <c:title>
          <c:tx>
            <c:rich>
              <a:bodyPr rot="-5400000" vert="horz"/>
              <a:lstStyle/>
              <a:p>
                <a:pPr>
                  <a:defRPr/>
                </a:pPr>
                <a:r>
                  <a:rPr lang="en-US"/>
                  <a:t>Fixed broadband subscriptions per 100 persons</a:t>
                </a:r>
              </a:p>
            </c:rich>
          </c:tx>
        </c:title>
        <c:numFmt formatCode="0" sourceLinked="0"/>
        <c:tickLblPos val="nextTo"/>
        <c:crossAx val="811782536"/>
        <c:crosses val="autoZero"/>
        <c:crossBetween val="midCat"/>
      </c:valAx>
    </c:plotArea>
    <c:legend>
      <c:legendPos val="b"/>
      <c:layout>
        <c:manualLayout>
          <c:xMode val="edge"/>
          <c:yMode val="edge"/>
          <c:x val="0.00801812153863542"/>
          <c:y val="0.914498434088854"/>
          <c:w val="0.976786535056324"/>
          <c:h val="0.0855015659111464"/>
        </c:manualLayout>
      </c:layout>
    </c:legend>
    <c:plotVisOnly val="1"/>
    <c:dispBlanksAs val="gap"/>
  </c:chart>
  <c:txPr>
    <a:bodyPr/>
    <a:lstStyle/>
    <a:p>
      <a:pPr>
        <a:defRPr b="0">
          <a:latin typeface="Times New Roman"/>
          <a:cs typeface="Times New Roman"/>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style val="2"/>
  <c:chart>
    <c:autoTitleDeleted val="1"/>
    <c:plotArea>
      <c:layout>
        <c:manualLayout>
          <c:layoutTarget val="inner"/>
          <c:xMode val="edge"/>
          <c:yMode val="edge"/>
          <c:x val="0.112610454943132"/>
          <c:y val="0.0387119479148337"/>
          <c:w val="0.844137321376495"/>
          <c:h val="0.747305410819419"/>
        </c:manualLayout>
      </c:layout>
      <c:scatterChart>
        <c:scatterStyle val="smoothMarker"/>
        <c:ser>
          <c:idx val="0"/>
          <c:order val="0"/>
          <c:tx>
            <c:strRef>
              <c:f>'Figure 2.15'!$A$20</c:f>
              <c:strCache>
                <c:ptCount val="1"/>
                <c:pt idx="0">
                  <c:v>Low-income</c:v>
                </c:pt>
              </c:strCache>
            </c:strRef>
          </c:tx>
          <c:spPr>
            <a:ln>
              <a:solidFill>
                <a:schemeClr val="accent4"/>
              </a:solidFill>
            </a:ln>
          </c:spPr>
          <c:marker>
            <c:symbol val="none"/>
          </c:marker>
          <c:xVal>
            <c:numRef>
              <c:f>'Figure 2.15'!$B$19:$J$19</c:f>
              <c:numCache>
                <c:formatCode>General</c:formatCode>
                <c:ptCount val="9"/>
                <c:pt idx="0">
                  <c:v>2001.0</c:v>
                </c:pt>
                <c:pt idx="1">
                  <c:v>2002.0</c:v>
                </c:pt>
                <c:pt idx="2">
                  <c:v>2003.0</c:v>
                </c:pt>
                <c:pt idx="3">
                  <c:v>2004.0</c:v>
                </c:pt>
                <c:pt idx="4">
                  <c:v>2005.0</c:v>
                </c:pt>
                <c:pt idx="5">
                  <c:v>2006.0</c:v>
                </c:pt>
                <c:pt idx="6">
                  <c:v>2007.0</c:v>
                </c:pt>
                <c:pt idx="7">
                  <c:v>2008.0</c:v>
                </c:pt>
                <c:pt idx="8">
                  <c:v>2009.0</c:v>
                </c:pt>
              </c:numCache>
            </c:numRef>
          </c:xVal>
          <c:yVal>
            <c:numRef>
              <c:f>'Figure 2.15'!$B$20:$J$20</c:f>
              <c:numCache>
                <c:formatCode>0.00</c:formatCode>
                <c:ptCount val="9"/>
                <c:pt idx="0">
                  <c:v>0.0</c:v>
                </c:pt>
                <c:pt idx="1">
                  <c:v>0.0</c:v>
                </c:pt>
                <c:pt idx="2">
                  <c:v>0.0</c:v>
                </c:pt>
                <c:pt idx="3">
                  <c:v>0.000545031285808088</c:v>
                </c:pt>
                <c:pt idx="4">
                  <c:v>0.00109572747558704</c:v>
                </c:pt>
                <c:pt idx="5">
                  <c:v>0.00239815225766682</c:v>
                </c:pt>
                <c:pt idx="6">
                  <c:v>0.0160600753241699</c:v>
                </c:pt>
                <c:pt idx="7">
                  <c:v>0.0900858115579781</c:v>
                </c:pt>
                <c:pt idx="8">
                  <c:v>0.269383283302525</c:v>
                </c:pt>
              </c:numCache>
            </c:numRef>
          </c:yVal>
          <c:smooth val="1"/>
        </c:ser>
        <c:ser>
          <c:idx val="1"/>
          <c:order val="1"/>
          <c:tx>
            <c:strRef>
              <c:f>'Figure 2.15'!$A$21</c:f>
              <c:strCache>
                <c:ptCount val="1"/>
                <c:pt idx="0">
                  <c:v>Lower-middle-income</c:v>
                </c:pt>
              </c:strCache>
            </c:strRef>
          </c:tx>
          <c:marker>
            <c:symbol val="none"/>
          </c:marker>
          <c:xVal>
            <c:numRef>
              <c:f>'Figure 2.15'!$B$19:$J$19</c:f>
              <c:numCache>
                <c:formatCode>General</c:formatCode>
                <c:ptCount val="9"/>
                <c:pt idx="0">
                  <c:v>2001.0</c:v>
                </c:pt>
                <c:pt idx="1">
                  <c:v>2002.0</c:v>
                </c:pt>
                <c:pt idx="2">
                  <c:v>2003.0</c:v>
                </c:pt>
                <c:pt idx="3">
                  <c:v>2004.0</c:v>
                </c:pt>
                <c:pt idx="4">
                  <c:v>2005.0</c:v>
                </c:pt>
                <c:pt idx="5">
                  <c:v>2006.0</c:v>
                </c:pt>
                <c:pt idx="6">
                  <c:v>2007.0</c:v>
                </c:pt>
                <c:pt idx="7">
                  <c:v>2008.0</c:v>
                </c:pt>
                <c:pt idx="8">
                  <c:v>2009.0</c:v>
                </c:pt>
              </c:numCache>
            </c:numRef>
          </c:xVal>
          <c:yVal>
            <c:numRef>
              <c:f>'Figure 2.15'!$B$21:$J$21</c:f>
              <c:numCache>
                <c:formatCode>0.00</c:formatCode>
                <c:ptCount val="9"/>
                <c:pt idx="0">
                  <c:v>0.0</c:v>
                </c:pt>
                <c:pt idx="1">
                  <c:v>0.0</c:v>
                </c:pt>
                <c:pt idx="2">
                  <c:v>0.00283967017585045</c:v>
                </c:pt>
                <c:pt idx="3">
                  <c:v>0.00897172404251023</c:v>
                </c:pt>
                <c:pt idx="4">
                  <c:v>0.0258714894245784</c:v>
                </c:pt>
                <c:pt idx="5">
                  <c:v>0.113057494361789</c:v>
                </c:pt>
                <c:pt idx="6">
                  <c:v>0.303504888368366</c:v>
                </c:pt>
                <c:pt idx="7">
                  <c:v>1.054376528526052</c:v>
                </c:pt>
                <c:pt idx="8">
                  <c:v>1.77794691177144</c:v>
                </c:pt>
              </c:numCache>
            </c:numRef>
          </c:yVal>
          <c:smooth val="1"/>
        </c:ser>
        <c:ser>
          <c:idx val="2"/>
          <c:order val="2"/>
          <c:tx>
            <c:strRef>
              <c:f>'Figure 2.15'!$A$22</c:f>
              <c:strCache>
                <c:ptCount val="1"/>
                <c:pt idx="0">
                  <c:v>Upper-middle-income</c:v>
                </c:pt>
              </c:strCache>
            </c:strRef>
          </c:tx>
          <c:marker>
            <c:symbol val="none"/>
          </c:marker>
          <c:xVal>
            <c:numRef>
              <c:f>'Figure 2.15'!$B$19:$J$19</c:f>
              <c:numCache>
                <c:formatCode>General</c:formatCode>
                <c:ptCount val="9"/>
                <c:pt idx="0">
                  <c:v>2001.0</c:v>
                </c:pt>
                <c:pt idx="1">
                  <c:v>2002.0</c:v>
                </c:pt>
                <c:pt idx="2">
                  <c:v>2003.0</c:v>
                </c:pt>
                <c:pt idx="3">
                  <c:v>2004.0</c:v>
                </c:pt>
                <c:pt idx="4">
                  <c:v>2005.0</c:v>
                </c:pt>
                <c:pt idx="5">
                  <c:v>2006.0</c:v>
                </c:pt>
                <c:pt idx="6">
                  <c:v>2007.0</c:v>
                </c:pt>
                <c:pt idx="7">
                  <c:v>2008.0</c:v>
                </c:pt>
                <c:pt idx="8">
                  <c:v>2009.0</c:v>
                </c:pt>
              </c:numCache>
            </c:numRef>
          </c:xVal>
          <c:yVal>
            <c:numRef>
              <c:f>'Figure 2.15'!$B$22:$J$22</c:f>
              <c:numCache>
                <c:formatCode>0.00</c:formatCode>
                <c:ptCount val="9"/>
                <c:pt idx="0">
                  <c:v>0.0</c:v>
                </c:pt>
                <c:pt idx="1">
                  <c:v>0.0</c:v>
                </c:pt>
                <c:pt idx="2">
                  <c:v>0.00301939532854551</c:v>
                </c:pt>
                <c:pt idx="3">
                  <c:v>0.00748261527787937</c:v>
                </c:pt>
                <c:pt idx="4">
                  <c:v>0.0477919554709849</c:v>
                </c:pt>
                <c:pt idx="5">
                  <c:v>0.134573555653282</c:v>
                </c:pt>
                <c:pt idx="6">
                  <c:v>0.488857017974697</c:v>
                </c:pt>
                <c:pt idx="7">
                  <c:v>1.16019352908465</c:v>
                </c:pt>
                <c:pt idx="8">
                  <c:v>4.387749986177372</c:v>
                </c:pt>
              </c:numCache>
            </c:numRef>
          </c:yVal>
          <c:smooth val="1"/>
        </c:ser>
        <c:ser>
          <c:idx val="3"/>
          <c:order val="3"/>
          <c:tx>
            <c:strRef>
              <c:f>'Figure 2.15'!$A$23</c:f>
              <c:strCache>
                <c:ptCount val="1"/>
                <c:pt idx="0">
                  <c:v>High-income</c:v>
                </c:pt>
              </c:strCache>
            </c:strRef>
          </c:tx>
          <c:spPr>
            <a:ln>
              <a:solidFill>
                <a:schemeClr val="accent1"/>
              </a:solidFill>
            </a:ln>
          </c:spPr>
          <c:marker>
            <c:symbol val="none"/>
          </c:marker>
          <c:xVal>
            <c:numRef>
              <c:f>'Figure 2.15'!$B$19:$J$19</c:f>
              <c:numCache>
                <c:formatCode>General</c:formatCode>
                <c:ptCount val="9"/>
                <c:pt idx="0">
                  <c:v>2001.0</c:v>
                </c:pt>
                <c:pt idx="1">
                  <c:v>2002.0</c:v>
                </c:pt>
                <c:pt idx="2">
                  <c:v>2003.0</c:v>
                </c:pt>
                <c:pt idx="3">
                  <c:v>2004.0</c:v>
                </c:pt>
                <c:pt idx="4">
                  <c:v>2005.0</c:v>
                </c:pt>
                <c:pt idx="5">
                  <c:v>2006.0</c:v>
                </c:pt>
                <c:pt idx="6">
                  <c:v>2007.0</c:v>
                </c:pt>
                <c:pt idx="7">
                  <c:v>2008.0</c:v>
                </c:pt>
                <c:pt idx="8">
                  <c:v>2009.0</c:v>
                </c:pt>
              </c:numCache>
            </c:numRef>
          </c:xVal>
          <c:yVal>
            <c:numRef>
              <c:f>'Figure 2.15'!$B$23:$J$23</c:f>
              <c:numCache>
                <c:formatCode>0.00</c:formatCode>
                <c:ptCount val="9"/>
                <c:pt idx="0">
                  <c:v>0.00261846665293754</c:v>
                </c:pt>
                <c:pt idx="1">
                  <c:v>0.0320905909328221</c:v>
                </c:pt>
                <c:pt idx="2">
                  <c:v>0.72060717070594</c:v>
                </c:pt>
                <c:pt idx="3">
                  <c:v>2.884763926246246</c:v>
                </c:pt>
                <c:pt idx="4">
                  <c:v>6.747179532484722</c:v>
                </c:pt>
                <c:pt idx="5">
                  <c:v>14.2221526083669</c:v>
                </c:pt>
                <c:pt idx="6">
                  <c:v>24.68565369723031</c:v>
                </c:pt>
                <c:pt idx="7">
                  <c:v>35.08431082867775</c:v>
                </c:pt>
                <c:pt idx="8">
                  <c:v>45.6259029518589</c:v>
                </c:pt>
              </c:numCache>
            </c:numRef>
          </c:yVal>
          <c:smooth val="1"/>
        </c:ser>
        <c:ser>
          <c:idx val="4"/>
          <c:order val="4"/>
          <c:tx>
            <c:strRef>
              <c:f>'Figure 2.15'!$A$24</c:f>
              <c:strCache>
                <c:ptCount val="1"/>
                <c:pt idx="0">
                  <c:v>World</c:v>
                </c:pt>
              </c:strCache>
            </c:strRef>
          </c:tx>
          <c:spPr>
            <a:ln>
              <a:solidFill>
                <a:schemeClr val="accent2">
                  <a:lumMod val="60000"/>
                  <a:lumOff val="40000"/>
                </a:schemeClr>
              </a:solidFill>
            </a:ln>
          </c:spPr>
          <c:marker>
            <c:symbol val="none"/>
          </c:marker>
          <c:xVal>
            <c:numRef>
              <c:f>'Figure 2.15'!$B$19:$J$19</c:f>
              <c:numCache>
                <c:formatCode>General</c:formatCode>
                <c:ptCount val="9"/>
                <c:pt idx="0">
                  <c:v>2001.0</c:v>
                </c:pt>
                <c:pt idx="1">
                  <c:v>2002.0</c:v>
                </c:pt>
                <c:pt idx="2">
                  <c:v>2003.0</c:v>
                </c:pt>
                <c:pt idx="3">
                  <c:v>2004.0</c:v>
                </c:pt>
                <c:pt idx="4">
                  <c:v>2005.0</c:v>
                </c:pt>
                <c:pt idx="5">
                  <c:v>2006.0</c:v>
                </c:pt>
                <c:pt idx="6">
                  <c:v>2007.0</c:v>
                </c:pt>
                <c:pt idx="7">
                  <c:v>2008.0</c:v>
                </c:pt>
                <c:pt idx="8">
                  <c:v>2009.0</c:v>
                </c:pt>
              </c:numCache>
            </c:numRef>
          </c:xVal>
          <c:yVal>
            <c:numRef>
              <c:f>'Figure 2.15'!$B$24:$J$24</c:f>
              <c:numCache>
                <c:formatCode>0.00</c:formatCode>
                <c:ptCount val="9"/>
                <c:pt idx="0">
                  <c:v>0.000457150620256649</c:v>
                </c:pt>
                <c:pt idx="1">
                  <c:v>0.00557166142039755</c:v>
                </c:pt>
                <c:pt idx="2">
                  <c:v>0.126574863177147</c:v>
                </c:pt>
                <c:pt idx="3">
                  <c:v>0.501622497722501</c:v>
                </c:pt>
                <c:pt idx="4">
                  <c:v>1.180336688827454</c:v>
                </c:pt>
                <c:pt idx="5">
                  <c:v>2.509815036228642</c:v>
                </c:pt>
                <c:pt idx="6">
                  <c:v>4.472328478246971</c:v>
                </c:pt>
                <c:pt idx="7">
                  <c:v>6.730150946670331</c:v>
                </c:pt>
                <c:pt idx="8">
                  <c:v>9.92364981926889</c:v>
                </c:pt>
              </c:numCache>
            </c:numRef>
          </c:yVal>
          <c:smooth val="1"/>
        </c:ser>
        <c:axId val="811830696"/>
        <c:axId val="811837912"/>
      </c:scatterChart>
      <c:valAx>
        <c:axId val="811830696"/>
        <c:scaling>
          <c:orientation val="minMax"/>
          <c:max val="2009.0"/>
          <c:min val="2001.0"/>
        </c:scaling>
        <c:axPos val="b"/>
        <c:title>
          <c:tx>
            <c:rich>
              <a:bodyPr/>
              <a:lstStyle/>
              <a:p>
                <a:pPr>
                  <a:defRPr/>
                </a:pPr>
                <a:r>
                  <a:rPr lang="en-US"/>
                  <a:t>Year</a:t>
                </a:r>
              </a:p>
            </c:rich>
          </c:tx>
        </c:title>
        <c:numFmt formatCode="General" sourceLinked="1"/>
        <c:tickLblPos val="nextTo"/>
        <c:crossAx val="811837912"/>
        <c:crosses val="autoZero"/>
        <c:crossBetween val="midCat"/>
      </c:valAx>
      <c:valAx>
        <c:axId val="811837912"/>
        <c:scaling>
          <c:orientation val="minMax"/>
          <c:max val="45.0"/>
          <c:min val="0.0"/>
        </c:scaling>
        <c:axPos val="l"/>
        <c:majorGridlines/>
        <c:title>
          <c:tx>
            <c:rich>
              <a:bodyPr rot="-5400000" vert="horz"/>
              <a:lstStyle/>
              <a:p>
                <a:pPr>
                  <a:defRPr/>
                </a:pPr>
                <a:r>
                  <a:rPr lang="en-US"/>
                  <a:t>Mobile broadband subscriptions per 100 persons</a:t>
                </a:r>
              </a:p>
            </c:rich>
          </c:tx>
        </c:title>
        <c:numFmt formatCode="0" sourceLinked="0"/>
        <c:tickLblPos val="nextTo"/>
        <c:crossAx val="811830696"/>
        <c:crosses val="autoZero"/>
        <c:crossBetween val="midCat"/>
      </c:valAx>
    </c:plotArea>
    <c:legend>
      <c:legendPos val="b"/>
      <c:layout>
        <c:manualLayout>
          <c:xMode val="edge"/>
          <c:yMode val="edge"/>
          <c:x val="0.00801812153863542"/>
          <c:y val="0.903387657938107"/>
          <c:w val="0.974394190558716"/>
          <c:h val="0.0966123420618934"/>
        </c:manualLayout>
      </c:layout>
    </c:legend>
    <c:plotVisOnly val="1"/>
    <c:dispBlanksAs val="gap"/>
  </c:chart>
  <c:txPr>
    <a:bodyPr/>
    <a:lstStyle/>
    <a:p>
      <a:pPr>
        <a:defRPr b="0">
          <a:latin typeface="Times New Roman"/>
          <a:cs typeface="Times New Roman"/>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132660995500562"/>
          <c:y val="0.0570410975119372"/>
          <c:w val="0.857289967660292"/>
          <c:h val="0.670018049017331"/>
        </c:manualLayout>
      </c:layout>
      <c:barChart>
        <c:barDir val="col"/>
        <c:grouping val="stacked"/>
        <c:ser>
          <c:idx val="0"/>
          <c:order val="0"/>
          <c:tx>
            <c:strRef>
              <c:f>'Figure 3.1'!$J$3</c:f>
              <c:strCache>
                <c:ptCount val="1"/>
                <c:pt idx="0">
                  <c:v>Infrastructure quantity</c:v>
                </c:pt>
              </c:strCache>
            </c:strRef>
          </c:tx>
          <c:spPr>
            <a:solidFill>
              <a:srgbClr val="3366FF"/>
            </a:solidFill>
            <a:ln w="38100">
              <a:solidFill>
                <a:srgbClr val="0000FF"/>
              </a:solidFill>
              <a:prstDash val="solid"/>
            </a:ln>
          </c:spPr>
          <c:cat>
            <c:strRef>
              <c:f>'Figure 3.1'!$I$4:$I$9</c:f>
              <c:strCache>
                <c:ptCount val="6"/>
                <c:pt idx="0">
                  <c:v>World</c:v>
                </c:pt>
                <c:pt idx="1">
                  <c:v>Western Europe</c:v>
                </c:pt>
                <c:pt idx="2">
                  <c:v>East Asia</c:v>
                </c:pt>
                <c:pt idx="3">
                  <c:v>South Asia</c:v>
                </c:pt>
                <c:pt idx="4">
                  <c:v>Middle East &amp; North Africa</c:v>
                </c:pt>
                <c:pt idx="5">
                  <c:v>Sub-Saharan Africa</c:v>
                </c:pt>
              </c:strCache>
            </c:strRef>
          </c:cat>
          <c:val>
            <c:numRef>
              <c:f>'Figure 3.1'!$J$4:$J$9</c:f>
              <c:numCache>
                <c:formatCode>0.0</c:formatCode>
                <c:ptCount val="6"/>
                <c:pt idx="0">
                  <c:v>1.080607869116371</c:v>
                </c:pt>
                <c:pt idx="1">
                  <c:v>0.816351505054547</c:v>
                </c:pt>
                <c:pt idx="2">
                  <c:v>1.79764256803222</c:v>
                </c:pt>
                <c:pt idx="3">
                  <c:v>1.621262060947948</c:v>
                </c:pt>
                <c:pt idx="4">
                  <c:v>0.75216616020013</c:v>
                </c:pt>
                <c:pt idx="5">
                  <c:v>1.176983720503131</c:v>
                </c:pt>
              </c:numCache>
            </c:numRef>
          </c:val>
        </c:ser>
        <c:ser>
          <c:idx val="1"/>
          <c:order val="1"/>
          <c:tx>
            <c:strRef>
              <c:f>'Figure 3.1'!$K$3</c:f>
              <c:strCache>
                <c:ptCount val="1"/>
                <c:pt idx="0">
                  <c:v>Infrastructure quality</c:v>
                </c:pt>
              </c:strCache>
            </c:strRef>
          </c:tx>
          <c:spPr>
            <a:solidFill>
              <a:srgbClr val="CCFFFF"/>
            </a:solidFill>
            <a:ln w="38100">
              <a:solidFill>
                <a:srgbClr val="0000FF"/>
              </a:solidFill>
              <a:prstDash val="solid"/>
            </a:ln>
          </c:spPr>
          <c:cat>
            <c:strRef>
              <c:f>'Figure 3.1'!$I$4:$I$9</c:f>
              <c:strCache>
                <c:ptCount val="6"/>
                <c:pt idx="0">
                  <c:v>World</c:v>
                </c:pt>
                <c:pt idx="1">
                  <c:v>Western Europe</c:v>
                </c:pt>
                <c:pt idx="2">
                  <c:v>East Asia</c:v>
                </c:pt>
                <c:pt idx="3">
                  <c:v>South Asia</c:v>
                </c:pt>
                <c:pt idx="4">
                  <c:v>Middle East &amp; North Africa</c:v>
                </c:pt>
                <c:pt idx="5">
                  <c:v>Sub-Saharan Africa</c:v>
                </c:pt>
              </c:strCache>
            </c:strRef>
          </c:cat>
          <c:val>
            <c:numRef>
              <c:f>'Figure 3.1'!$K$4:$K$9</c:f>
              <c:numCache>
                <c:formatCode>0.0</c:formatCode>
                <c:ptCount val="6"/>
                <c:pt idx="0">
                  <c:v>0.508301990333417</c:v>
                </c:pt>
                <c:pt idx="1">
                  <c:v>0.280852571192818</c:v>
                </c:pt>
                <c:pt idx="2">
                  <c:v>0.325751905667392</c:v>
                </c:pt>
                <c:pt idx="3">
                  <c:v>1.087623707587917</c:v>
                </c:pt>
                <c:pt idx="4">
                  <c:v>0.538883845898483</c:v>
                </c:pt>
                <c:pt idx="5">
                  <c:v>-0.490465578310376</c:v>
                </c:pt>
              </c:numCache>
            </c:numRef>
          </c:val>
        </c:ser>
        <c:overlap val="100"/>
        <c:axId val="811858648"/>
        <c:axId val="811881832"/>
      </c:barChart>
      <c:catAx>
        <c:axId val="811858648"/>
        <c:scaling>
          <c:orientation val="minMax"/>
        </c:scaling>
        <c:axPos val="b"/>
        <c:numFmt formatCode="General" sourceLinked="1"/>
        <c:tickLblPos val="low"/>
        <c:spPr>
          <a:ln w="3175">
            <a:solidFill>
              <a:srgbClr val="000000"/>
            </a:solidFill>
            <a:prstDash val="solid"/>
          </a:ln>
        </c:spPr>
        <c:txPr>
          <a:bodyPr rot="0" vert="horz"/>
          <a:lstStyle/>
          <a:p>
            <a:pPr>
              <a:defRPr sz="1250" b="0" i="0" u="none" strike="noStrike" baseline="0">
                <a:solidFill>
                  <a:srgbClr val="000000"/>
                </a:solidFill>
                <a:latin typeface="Garamond"/>
                <a:ea typeface="Garamond"/>
                <a:cs typeface="Garamond"/>
              </a:defRPr>
            </a:pPr>
            <a:endParaRPr lang="en-US"/>
          </a:p>
        </c:txPr>
        <c:crossAx val="811881832"/>
        <c:crosses val="autoZero"/>
        <c:auto val="1"/>
        <c:lblAlgn val="ctr"/>
        <c:lblOffset val="100"/>
        <c:tickLblSkip val="1"/>
        <c:tickMarkSkip val="1"/>
      </c:catAx>
      <c:valAx>
        <c:axId val="811881832"/>
        <c:scaling>
          <c:orientation val="minMax"/>
        </c:scaling>
        <c:axPos val="l"/>
        <c:title>
          <c:tx>
            <c:rich>
              <a:bodyPr/>
              <a:lstStyle/>
              <a:p>
                <a:pPr>
                  <a:defRPr sz="1250" b="1" i="0" u="none" strike="noStrike" baseline="0">
                    <a:solidFill>
                      <a:srgbClr val="000000"/>
                    </a:solidFill>
                    <a:latin typeface="Garamond"/>
                    <a:ea typeface="Garamond"/>
                    <a:cs typeface="Garamond"/>
                  </a:defRPr>
                </a:pPr>
                <a:r>
                  <a:rPr lang="en-US"/>
                  <a:t>Changes in growth per capita (%)</a:t>
                </a:r>
              </a:p>
            </c:rich>
          </c:tx>
          <c:layout>
            <c:manualLayout>
              <c:xMode val="edge"/>
              <c:yMode val="edge"/>
              <c:x val="0.00570776892008343"/>
              <c:y val="0.215686649967013"/>
            </c:manualLayout>
          </c:layout>
          <c:spPr>
            <a:noFill/>
            <a:ln w="25400">
              <a:noFill/>
            </a:ln>
          </c:spPr>
        </c:title>
        <c:numFmt formatCode="0.0" sourceLinked="0"/>
        <c:tickLblPos val="nextTo"/>
        <c:spPr>
          <a:ln w="3175">
            <a:solidFill>
              <a:srgbClr val="000000"/>
            </a:solidFill>
            <a:prstDash val="solid"/>
          </a:ln>
        </c:spPr>
        <c:txPr>
          <a:bodyPr rot="0" vert="horz"/>
          <a:lstStyle/>
          <a:p>
            <a:pPr>
              <a:defRPr sz="1350" b="0" i="0" u="none" strike="noStrike" baseline="0">
                <a:solidFill>
                  <a:srgbClr val="000000"/>
                </a:solidFill>
                <a:latin typeface="Garamond"/>
                <a:ea typeface="Garamond"/>
                <a:cs typeface="Garamond"/>
              </a:defRPr>
            </a:pPr>
            <a:endParaRPr lang="en-US"/>
          </a:p>
        </c:txPr>
        <c:crossAx val="811858648"/>
        <c:crosses val="autoZero"/>
        <c:crossBetween val="between"/>
      </c:valAx>
      <c:spPr>
        <a:noFill/>
        <a:ln w="25400">
          <a:noFill/>
        </a:ln>
      </c:spPr>
    </c:plotArea>
    <c:legend>
      <c:legendPos val="b"/>
      <c:layout>
        <c:manualLayout>
          <c:xMode val="edge"/>
          <c:yMode val="edge"/>
          <c:x val="0.19292258949882"/>
          <c:y val="0.937613040352468"/>
          <c:w val="0.611872828232944"/>
          <c:h val="0.0499109603229451"/>
        </c:manualLayout>
      </c:layout>
      <c:spPr>
        <a:solidFill>
          <a:srgbClr val="FFFFFF"/>
        </a:solidFill>
        <a:ln w="3175">
          <a:noFill/>
          <a:prstDash val="solid"/>
        </a:ln>
      </c:spPr>
      <c:txPr>
        <a:bodyPr/>
        <a:lstStyle/>
        <a:p>
          <a:pPr>
            <a:defRPr sz="1150" b="0" i="0" u="none" strike="noStrike" baseline="0">
              <a:solidFill>
                <a:srgbClr val="000000"/>
              </a:solidFill>
              <a:latin typeface="Garamond"/>
              <a:ea typeface="Garamond"/>
              <a:cs typeface="Garamond"/>
            </a:defRPr>
          </a:pPr>
          <a:endParaRPr lang="en-US"/>
        </a:p>
      </c:txPr>
    </c:legend>
    <c:plotVisOnly val="1"/>
    <c:dispBlanksAs val="gap"/>
  </c:chart>
  <c:spPr>
    <a:solidFill>
      <a:srgbClr val="FFFFFF"/>
    </a:solidFill>
    <a:ln w="3175">
      <a:solidFill>
        <a:srgbClr val="000000"/>
      </a:solidFill>
      <a:prstDash val="solid"/>
    </a:ln>
  </c:spPr>
  <c:txPr>
    <a:bodyPr/>
    <a:lstStyle/>
    <a:p>
      <a:pPr>
        <a:defRPr sz="1475"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8"/>
  <c:chart>
    <c:autoTitleDeleted val="1"/>
    <c:plotArea>
      <c:layout/>
      <c:pieChart>
        <c:varyColors val="1"/>
        <c:ser>
          <c:idx val="0"/>
          <c:order val="0"/>
          <c:tx>
            <c:strRef>
              <c:f>'Figure 2.1'!$J$17</c:f>
              <c:strCache>
                <c:ptCount val="1"/>
                <c:pt idx="0">
                  <c:v>1975</c:v>
                </c:pt>
              </c:strCache>
            </c:strRef>
          </c:tx>
          <c:cat>
            <c:strRef>
              <c:f>'Figure 2.1'!$H$18:$H$24</c:f>
              <c:strCache>
                <c:ptCount val="7"/>
                <c:pt idx="0">
                  <c:v>East Asia and Pacific</c:v>
                </c:pt>
                <c:pt idx="1">
                  <c:v>Europe and Central Asia</c:v>
                </c:pt>
                <c:pt idx="2">
                  <c:v>Latin America and the Caribbean</c:v>
                </c:pt>
                <c:pt idx="3">
                  <c:v>Middle East and North Africa</c:v>
                </c:pt>
                <c:pt idx="4">
                  <c:v>South Asia</c:v>
                </c:pt>
                <c:pt idx="5">
                  <c:v>Sub-Saharan Africa</c:v>
                </c:pt>
                <c:pt idx="6">
                  <c:v>High-income countries</c:v>
                </c:pt>
              </c:strCache>
            </c:strRef>
          </c:cat>
          <c:val>
            <c:numRef>
              <c:f>'Figure 2.1'!$J$18:$J$24</c:f>
              <c:numCache>
                <c:formatCode>0.00%</c:formatCode>
                <c:ptCount val="7"/>
                <c:pt idx="0">
                  <c:v>0.0532</c:v>
                </c:pt>
                <c:pt idx="1">
                  <c:v>0.0875</c:v>
                </c:pt>
                <c:pt idx="2">
                  <c:v>0.1151</c:v>
                </c:pt>
                <c:pt idx="3">
                  <c:v>0.0127</c:v>
                </c:pt>
                <c:pt idx="4">
                  <c:v>0.0635</c:v>
                </c:pt>
                <c:pt idx="5">
                  <c:v>0.0579</c:v>
                </c:pt>
                <c:pt idx="6">
                  <c:v>0.6101</c:v>
                </c:pt>
              </c:numCache>
            </c:numRef>
          </c:val>
        </c:ser>
        <c:firstSliceAng val="0"/>
      </c:pieChart>
    </c:plotArea>
    <c:legend>
      <c:legendPos val="t"/>
      <c:layout>
        <c:manualLayout>
          <c:xMode val="edge"/>
          <c:yMode val="edge"/>
          <c:x val="0.0"/>
          <c:y val="0.0"/>
          <c:w val="0.992079951544518"/>
          <c:h val="0.113221444928946"/>
        </c:manualLayout>
      </c:layout>
      <c:txPr>
        <a:bodyPr/>
        <a:lstStyle/>
        <a:p>
          <a:pPr>
            <a:defRPr>
              <a:latin typeface="Times New Roman"/>
              <a:cs typeface="Times New Roman"/>
            </a:defRPr>
          </a:pPr>
          <a:endParaRPr lang="en-US"/>
        </a:p>
      </c:txPr>
    </c:legend>
    <c:plotVisOnly val="1"/>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0980626227108232"/>
          <c:y val="0.0283216783216783"/>
          <c:w val="0.888128843964982"/>
          <c:h val="0.687509773690876"/>
        </c:manualLayout>
      </c:layout>
      <c:barChart>
        <c:barDir val="col"/>
        <c:grouping val="stacked"/>
        <c:ser>
          <c:idx val="0"/>
          <c:order val="0"/>
          <c:tx>
            <c:strRef>
              <c:f>'Figure 3.2'!$J$3</c:f>
              <c:strCache>
                <c:ptCount val="1"/>
                <c:pt idx="0">
                  <c:v>Infrastructure quantity</c:v>
                </c:pt>
              </c:strCache>
            </c:strRef>
          </c:tx>
          <c:spPr>
            <a:solidFill>
              <a:srgbClr val="3366FF"/>
            </a:solidFill>
            <a:ln w="38100">
              <a:solidFill>
                <a:srgbClr val="0000FF"/>
              </a:solidFill>
              <a:prstDash val="solid"/>
            </a:ln>
          </c:spPr>
          <c:cat>
            <c:strRef>
              <c:f>'Figure 3.2'!$I$4:$I$9</c:f>
              <c:strCache>
                <c:ptCount val="6"/>
                <c:pt idx="0">
                  <c:v>World</c:v>
                </c:pt>
                <c:pt idx="1">
                  <c:v>Western Europe</c:v>
                </c:pt>
                <c:pt idx="2">
                  <c:v>East Asia</c:v>
                </c:pt>
                <c:pt idx="3">
                  <c:v>South Asia</c:v>
                </c:pt>
                <c:pt idx="4">
                  <c:v>Middle East &amp; North Africa</c:v>
                </c:pt>
                <c:pt idx="5">
                  <c:v>Sub-Saharan Africa</c:v>
                </c:pt>
              </c:strCache>
            </c:strRef>
          </c:cat>
          <c:val>
            <c:numRef>
              <c:f>'Figure 3.2'!$J$4:$J$9</c:f>
              <c:numCache>
                <c:formatCode>0.00</c:formatCode>
                <c:ptCount val="6"/>
                <c:pt idx="0">
                  <c:v>-2.392434517969561</c:v>
                </c:pt>
                <c:pt idx="1">
                  <c:v>-1.807378583209793</c:v>
                </c:pt>
                <c:pt idx="2">
                  <c:v>-3.979928569508294</c:v>
                </c:pt>
                <c:pt idx="3">
                  <c:v>-3.589427236410986</c:v>
                </c:pt>
                <c:pt idx="4">
                  <c:v>-1.665274089094778</c:v>
                </c:pt>
                <c:pt idx="5">
                  <c:v>-2.605807861016684</c:v>
                </c:pt>
              </c:numCache>
            </c:numRef>
          </c:val>
        </c:ser>
        <c:ser>
          <c:idx val="1"/>
          <c:order val="1"/>
          <c:tx>
            <c:strRef>
              <c:f>'Figure 3.2'!$K$3</c:f>
              <c:strCache>
                <c:ptCount val="1"/>
                <c:pt idx="0">
                  <c:v>Infrastructure quality</c:v>
                </c:pt>
              </c:strCache>
            </c:strRef>
          </c:tx>
          <c:spPr>
            <a:solidFill>
              <a:srgbClr val="CCFFFF"/>
            </a:solidFill>
            <a:ln w="38100">
              <a:solidFill>
                <a:srgbClr val="0000FF"/>
              </a:solidFill>
              <a:prstDash val="solid"/>
            </a:ln>
          </c:spPr>
          <c:cat>
            <c:strRef>
              <c:f>'Figure 3.2'!$I$4:$I$9</c:f>
              <c:strCache>
                <c:ptCount val="6"/>
                <c:pt idx="0">
                  <c:v>World</c:v>
                </c:pt>
                <c:pt idx="1">
                  <c:v>Western Europe</c:v>
                </c:pt>
                <c:pt idx="2">
                  <c:v>East Asia</c:v>
                </c:pt>
                <c:pt idx="3">
                  <c:v>South Asia</c:v>
                </c:pt>
                <c:pt idx="4">
                  <c:v>Middle East &amp; North Africa</c:v>
                </c:pt>
                <c:pt idx="5">
                  <c:v>Sub-Saharan Africa</c:v>
                </c:pt>
              </c:strCache>
            </c:strRef>
          </c:cat>
          <c:val>
            <c:numRef>
              <c:f>'Figure 3.2'!$K$4:$K$9</c:f>
              <c:numCache>
                <c:formatCode>0.00</c:formatCode>
                <c:ptCount val="6"/>
                <c:pt idx="0">
                  <c:v>-1.065988036781653</c:v>
                </c:pt>
                <c:pt idx="1">
                  <c:v>-0.554476377616879</c:v>
                </c:pt>
                <c:pt idx="2">
                  <c:v>-0.64311939851263</c:v>
                </c:pt>
                <c:pt idx="3">
                  <c:v>-2.147253454124721</c:v>
                </c:pt>
                <c:pt idx="4">
                  <c:v>-1.063897551519672</c:v>
                </c:pt>
                <c:pt idx="5">
                  <c:v>0.972269138652677</c:v>
                </c:pt>
              </c:numCache>
            </c:numRef>
          </c:val>
        </c:ser>
        <c:overlap val="100"/>
        <c:axId val="765883400"/>
        <c:axId val="765920440"/>
      </c:barChart>
      <c:catAx>
        <c:axId val="765883400"/>
        <c:scaling>
          <c:orientation val="minMax"/>
        </c:scaling>
        <c:axPos val="b"/>
        <c:numFmt formatCode="General" sourceLinked="1"/>
        <c:tickLblPos val="low"/>
        <c:spPr>
          <a:ln w="3175">
            <a:solidFill>
              <a:srgbClr val="000000"/>
            </a:solidFill>
            <a:prstDash val="solid"/>
          </a:ln>
        </c:spPr>
        <c:txPr>
          <a:bodyPr rot="0" vert="horz"/>
          <a:lstStyle/>
          <a:p>
            <a:pPr>
              <a:defRPr sz="1250" b="0" i="0" u="none" strike="noStrike" baseline="0">
                <a:solidFill>
                  <a:srgbClr val="000000"/>
                </a:solidFill>
                <a:latin typeface="Garamond"/>
                <a:ea typeface="Garamond"/>
                <a:cs typeface="Garamond"/>
              </a:defRPr>
            </a:pPr>
            <a:endParaRPr lang="en-US"/>
          </a:p>
        </c:txPr>
        <c:crossAx val="765920440"/>
        <c:crosses val="autoZero"/>
        <c:auto val="1"/>
        <c:lblAlgn val="ctr"/>
        <c:lblOffset val="100"/>
        <c:tickLblSkip val="1"/>
        <c:tickMarkSkip val="1"/>
      </c:catAx>
      <c:valAx>
        <c:axId val="765920440"/>
        <c:scaling>
          <c:orientation val="minMax"/>
        </c:scaling>
        <c:axPos val="l"/>
        <c:title>
          <c:tx>
            <c:rich>
              <a:bodyPr/>
              <a:lstStyle/>
              <a:p>
                <a:pPr>
                  <a:defRPr sz="1250" b="1" i="0" u="none" strike="noStrike" baseline="0">
                    <a:solidFill>
                      <a:srgbClr val="000000"/>
                    </a:solidFill>
                    <a:latin typeface="Garamond"/>
                    <a:ea typeface="Garamond"/>
                    <a:cs typeface="Garamond"/>
                  </a:defRPr>
                </a:pPr>
                <a:r>
                  <a:rPr lang="en-US"/>
                  <a:t>Changes in the Gini coefficient</a:t>
                </a:r>
              </a:p>
            </c:rich>
          </c:tx>
          <c:layout>
            <c:manualLayout>
              <c:xMode val="edge"/>
              <c:yMode val="edge"/>
              <c:x val="0.00570776892008343"/>
              <c:y val="0.231729458642245"/>
            </c:manualLayout>
          </c:layout>
          <c:spPr>
            <a:noFill/>
            <a:ln w="25400">
              <a:noFill/>
            </a:ln>
          </c:spPr>
        </c:title>
        <c:numFmt formatCode="0" sourceLinked="0"/>
        <c:tickLblPos val="nextTo"/>
        <c:spPr>
          <a:ln w="3175">
            <a:solidFill>
              <a:srgbClr val="000000"/>
            </a:solidFill>
            <a:prstDash val="solid"/>
          </a:ln>
        </c:spPr>
        <c:txPr>
          <a:bodyPr rot="0" vert="horz"/>
          <a:lstStyle/>
          <a:p>
            <a:pPr>
              <a:defRPr sz="1350" b="0" i="0" u="none" strike="noStrike" baseline="0">
                <a:solidFill>
                  <a:srgbClr val="000000"/>
                </a:solidFill>
                <a:latin typeface="Garamond"/>
                <a:ea typeface="Garamond"/>
                <a:cs typeface="Garamond"/>
              </a:defRPr>
            </a:pPr>
            <a:endParaRPr lang="en-US"/>
          </a:p>
        </c:txPr>
        <c:crossAx val="765883400"/>
        <c:crosses val="autoZero"/>
        <c:crossBetween val="between"/>
      </c:valAx>
      <c:spPr>
        <a:noFill/>
        <a:ln w="25400">
          <a:noFill/>
        </a:ln>
      </c:spPr>
    </c:plotArea>
    <c:legend>
      <c:legendPos val="b"/>
      <c:layout>
        <c:manualLayout>
          <c:xMode val="edge"/>
          <c:yMode val="edge"/>
          <c:x val="0.204338127338987"/>
          <c:y val="0.937613040352468"/>
          <c:w val="0.611872828232944"/>
          <c:h val="0.0499109603229451"/>
        </c:manualLayout>
      </c:layout>
      <c:spPr>
        <a:solidFill>
          <a:srgbClr val="FFFFFF"/>
        </a:solidFill>
        <a:ln w="3175">
          <a:noFill/>
          <a:prstDash val="solid"/>
        </a:ln>
      </c:spPr>
      <c:txPr>
        <a:bodyPr/>
        <a:lstStyle/>
        <a:p>
          <a:pPr>
            <a:defRPr sz="1150" b="0" i="0" u="none" strike="noStrike" baseline="0">
              <a:solidFill>
                <a:srgbClr val="000000"/>
              </a:solidFill>
              <a:latin typeface="Garamond"/>
              <a:ea typeface="Garamond"/>
              <a:cs typeface="Garamond"/>
            </a:defRPr>
          </a:pPr>
          <a:endParaRPr lang="en-US"/>
        </a:p>
      </c:txPr>
    </c:legend>
    <c:plotVisOnly val="1"/>
    <c:dispBlanksAs val="gap"/>
  </c:chart>
  <c:spPr>
    <a:solidFill>
      <a:srgbClr val="FFFFFF"/>
    </a:solidFill>
    <a:ln w="3175">
      <a:solidFill>
        <a:srgbClr val="000000"/>
      </a:solidFill>
      <a:prstDash val="solid"/>
    </a:ln>
  </c:spPr>
  <c:txPr>
    <a:bodyPr/>
    <a:lstStyle/>
    <a:p>
      <a:pPr>
        <a:defRPr sz="1475" b="0" i="0" u="none" strike="noStrike" baseline="0">
          <a:solidFill>
            <a:srgbClr val="000000"/>
          </a:solidFill>
          <a:latin typeface="Arial"/>
          <a:ea typeface="Arial"/>
          <a:cs typeface="Arial"/>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120189639222942"/>
          <c:y val="0.129221047711502"/>
          <c:w val="0.843917668825162"/>
          <c:h val="0.703465405865363"/>
        </c:manualLayout>
      </c:layout>
      <c:scatterChart>
        <c:scatterStyle val="lineMarker"/>
        <c:ser>
          <c:idx val="0"/>
          <c:order val="0"/>
          <c:tx>
            <c:v>2000</c:v>
          </c:tx>
          <c:spPr>
            <a:ln w="28575">
              <a:noFill/>
            </a:ln>
          </c:spPr>
          <c:trendline>
            <c:spPr>
              <a:ln w="25400"/>
            </c:spPr>
            <c:trendlineType val="log"/>
          </c:trendline>
          <c:xVal>
            <c:numRef>
              <c:f>'Figure 4.7'!$C$4:$C$186</c:f>
              <c:numCache>
                <c:formatCode>General</c:formatCode>
                <c:ptCount val="183"/>
                <c:pt idx="1">
                  <c:v>4.805296999999999</c:v>
                </c:pt>
                <c:pt idx="2">
                  <c:v>6.086945</c:v>
                </c:pt>
                <c:pt idx="3">
                  <c:v>2.569025</c:v>
                </c:pt>
                <c:pt idx="4">
                  <c:v>10.280173</c:v>
                </c:pt>
                <c:pt idx="5">
                  <c:v>2.294126</c:v>
                </c:pt>
                <c:pt idx="6">
                  <c:v>29.763284</c:v>
                </c:pt>
                <c:pt idx="7">
                  <c:v>31.697177</c:v>
                </c:pt>
                <c:pt idx="8">
                  <c:v>2.489974</c:v>
                </c:pt>
                <c:pt idx="9">
                  <c:v>21.309894</c:v>
                </c:pt>
                <c:pt idx="10">
                  <c:v>23.294171</c:v>
                </c:pt>
                <c:pt idx="11">
                  <c:v>0.8928</c:v>
                </c:pt>
                <c:pt idx="12">
                  <c:v>18.871766</c:v>
                </c:pt>
                <c:pt idx="13">
                  <c:v>5.897569999999998</c:v>
                </c:pt>
                <c:pt idx="14">
                  <c:v>30.370828</c:v>
                </c:pt>
                <c:pt idx="15">
                  <c:v>5.620664</c:v>
                </c:pt>
                <c:pt idx="16">
                  <c:v>1.2787</c:v>
                </c:pt>
                <c:pt idx="17">
                  <c:v>2.749328</c:v>
                </c:pt>
                <c:pt idx="18">
                  <c:v>3.399574</c:v>
                </c:pt>
                <c:pt idx="19">
                  <c:v>5.009259</c:v>
                </c:pt>
                <c:pt idx="20">
                  <c:v>9.736148</c:v>
                </c:pt>
                <c:pt idx="21">
                  <c:v>7.920501</c:v>
                </c:pt>
                <c:pt idx="22">
                  <c:v>47.542687</c:v>
                </c:pt>
                <c:pt idx="23">
                  <c:v>7.213433</c:v>
                </c:pt>
                <c:pt idx="24">
                  <c:v>0.9121</c:v>
                </c:pt>
                <c:pt idx="25">
                  <c:v>0.348179</c:v>
                </c:pt>
                <c:pt idx="26">
                  <c:v>1.010104</c:v>
                </c:pt>
                <c:pt idx="27">
                  <c:v>1.831378</c:v>
                </c:pt>
                <c:pt idx="28">
                  <c:v>32.446787</c:v>
                </c:pt>
                <c:pt idx="29">
                  <c:v>2.271965</c:v>
                </c:pt>
                <c:pt idx="30">
                  <c:v>0.756737</c:v>
                </c:pt>
                <c:pt idx="31">
                  <c:v>0.734432</c:v>
                </c:pt>
                <c:pt idx="32">
                  <c:v>10.470161</c:v>
                </c:pt>
                <c:pt idx="33">
                  <c:v>2.66747</c:v>
                </c:pt>
                <c:pt idx="34">
                  <c:v>6.617413999999996</c:v>
                </c:pt>
                <c:pt idx="35">
                  <c:v>1.092509</c:v>
                </c:pt>
                <c:pt idx="36">
                  <c:v>0.254061</c:v>
                </c:pt>
                <c:pt idx="37">
                  <c:v>3.222958</c:v>
                </c:pt>
                <c:pt idx="38">
                  <c:v>8.113020000000001</c:v>
                </c:pt>
                <c:pt idx="39">
                  <c:v>1.737365</c:v>
                </c:pt>
                <c:pt idx="40">
                  <c:v>12.368109</c:v>
                </c:pt>
                <c:pt idx="42">
                  <c:v>22.73657</c:v>
                </c:pt>
                <c:pt idx="43">
                  <c:v>16.885673</c:v>
                </c:pt>
                <c:pt idx="44">
                  <c:v>31.666028</c:v>
                </c:pt>
                <c:pt idx="45">
                  <c:v>1.761376</c:v>
                </c:pt>
                <c:pt idx="46">
                  <c:v>5.629231</c:v>
                </c:pt>
                <c:pt idx="47">
                  <c:v>5.48934</c:v>
                </c:pt>
                <c:pt idx="48">
                  <c:v>3.992291</c:v>
                </c:pt>
                <c:pt idx="49">
                  <c:v>5.183415999999998</c:v>
                </c:pt>
                <c:pt idx="50">
                  <c:v>8.542071</c:v>
                </c:pt>
                <c:pt idx="51">
                  <c:v>0.686429</c:v>
                </c:pt>
                <c:pt idx="52">
                  <c:v>10.936756</c:v>
                </c:pt>
                <c:pt idx="53">
                  <c:v>0.527814</c:v>
                </c:pt>
                <c:pt idx="54">
                  <c:v>3.934764</c:v>
                </c:pt>
                <c:pt idx="55">
                  <c:v>27.320457</c:v>
                </c:pt>
                <c:pt idx="56">
                  <c:v>28.403298</c:v>
                </c:pt>
                <c:pt idx="57">
                  <c:v>13.271236</c:v>
                </c:pt>
                <c:pt idx="58">
                  <c:v>1.08744</c:v>
                </c:pt>
                <c:pt idx="59">
                  <c:v>2.452704999999999</c:v>
                </c:pt>
                <c:pt idx="60">
                  <c:v>30.543136</c:v>
                </c:pt>
                <c:pt idx="61">
                  <c:v>1.04692</c:v>
                </c:pt>
                <c:pt idx="62">
                  <c:v>20.51805</c:v>
                </c:pt>
                <c:pt idx="63">
                  <c:v>7.250828</c:v>
                </c:pt>
                <c:pt idx="64">
                  <c:v>3.962084</c:v>
                </c:pt>
                <c:pt idx="65">
                  <c:v>0.882616</c:v>
                </c:pt>
                <c:pt idx="66">
                  <c:v>1.123828</c:v>
                </c:pt>
                <c:pt idx="67">
                  <c:v>2.416081999999998</c:v>
                </c:pt>
                <c:pt idx="68">
                  <c:v>1.1367</c:v>
                </c:pt>
                <c:pt idx="69">
                  <c:v>2.882398</c:v>
                </c:pt>
                <c:pt idx="70">
                  <c:v>29.785094</c:v>
                </c:pt>
                <c:pt idx="71">
                  <c:v>13.583171</c:v>
                </c:pt>
                <c:pt idx="72">
                  <c:v>29.892431</c:v>
                </c:pt>
                <c:pt idx="73">
                  <c:v>1.769204</c:v>
                </c:pt>
                <c:pt idx="74">
                  <c:v>2.72673</c:v>
                </c:pt>
                <c:pt idx="75">
                  <c:v>7.667425999999999</c:v>
                </c:pt>
                <c:pt idx="76">
                  <c:v>4.468224</c:v>
                </c:pt>
                <c:pt idx="77">
                  <c:v>32.303942</c:v>
                </c:pt>
                <c:pt idx="78">
                  <c:v>23.172663</c:v>
                </c:pt>
                <c:pt idx="79">
                  <c:v>27.713548</c:v>
                </c:pt>
                <c:pt idx="80">
                  <c:v>6.533347</c:v>
                </c:pt>
                <c:pt idx="81">
                  <c:v>28.612806</c:v>
                </c:pt>
                <c:pt idx="82">
                  <c:v>3.590518</c:v>
                </c:pt>
                <c:pt idx="83">
                  <c:v>5.405777</c:v>
                </c:pt>
                <c:pt idx="84">
                  <c:v>1.275651</c:v>
                </c:pt>
                <c:pt idx="86">
                  <c:v>18.730425</c:v>
                </c:pt>
                <c:pt idx="87">
                  <c:v>33.993799</c:v>
                </c:pt>
                <c:pt idx="88">
                  <c:v>1.501672</c:v>
                </c:pt>
                <c:pt idx="89">
                  <c:v>1.326571</c:v>
                </c:pt>
                <c:pt idx="90">
                  <c:v>8.530998</c:v>
                </c:pt>
                <c:pt idx="91">
                  <c:v>8.563004</c:v>
                </c:pt>
                <c:pt idx="92">
                  <c:v>1.117933</c:v>
                </c:pt>
                <c:pt idx="93">
                  <c:v>0.481205</c:v>
                </c:pt>
                <c:pt idx="94">
                  <c:v>12.350746</c:v>
                </c:pt>
                <c:pt idx="95">
                  <c:v>9.51637</c:v>
                </c:pt>
                <c:pt idx="96">
                  <c:v>61.0594</c:v>
                </c:pt>
                <c:pt idx="97">
                  <c:v>7.221372</c:v>
                </c:pt>
                <c:pt idx="98">
                  <c:v>0.908903</c:v>
                </c:pt>
                <c:pt idx="99">
                  <c:v>0.633252</c:v>
                </c:pt>
                <c:pt idx="100">
                  <c:v>10.270658</c:v>
                </c:pt>
                <c:pt idx="101">
                  <c:v>3.469454999999999</c:v>
                </c:pt>
                <c:pt idx="102">
                  <c:v>0.814554</c:v>
                </c:pt>
                <c:pt idx="103">
                  <c:v>20.526385</c:v>
                </c:pt>
                <c:pt idx="104">
                  <c:v>1.573531</c:v>
                </c:pt>
                <c:pt idx="105">
                  <c:v>9.153885</c:v>
                </c:pt>
                <c:pt idx="106">
                  <c:v>12.094527</c:v>
                </c:pt>
                <c:pt idx="107">
                  <c:v>2.958527</c:v>
                </c:pt>
                <c:pt idx="108">
                  <c:v>1.657253</c:v>
                </c:pt>
                <c:pt idx="109">
                  <c:v>2.036884</c:v>
                </c:pt>
                <c:pt idx="110">
                  <c:v>6.802469</c:v>
                </c:pt>
                <c:pt idx="111">
                  <c:v>2.911264999999998</c:v>
                </c:pt>
                <c:pt idx="112">
                  <c:v>0.504768</c:v>
                </c:pt>
                <c:pt idx="113">
                  <c:v>0.51838</c:v>
                </c:pt>
                <c:pt idx="114">
                  <c:v>4.665890999999996</c:v>
                </c:pt>
                <c:pt idx="115">
                  <c:v>0.904621</c:v>
                </c:pt>
                <c:pt idx="116">
                  <c:v>33.690964</c:v>
                </c:pt>
                <c:pt idx="117">
                  <c:v>22.396579</c:v>
                </c:pt>
                <c:pt idx="118">
                  <c:v>2.126447</c:v>
                </c:pt>
                <c:pt idx="119">
                  <c:v>0.591176</c:v>
                </c:pt>
                <c:pt idx="120">
                  <c:v>1.455673</c:v>
                </c:pt>
                <c:pt idx="121">
                  <c:v>43.642118</c:v>
                </c:pt>
                <c:pt idx="122">
                  <c:v>17.903381</c:v>
                </c:pt>
                <c:pt idx="123">
                  <c:v>1.931348</c:v>
                </c:pt>
                <c:pt idx="125">
                  <c:v>8.146614</c:v>
                </c:pt>
                <c:pt idx="126">
                  <c:v>1.947362</c:v>
                </c:pt>
                <c:pt idx="127">
                  <c:v>3.789065</c:v>
                </c:pt>
                <c:pt idx="128">
                  <c:v>5.512706000000001</c:v>
                </c:pt>
                <c:pt idx="129">
                  <c:v>2.586971</c:v>
                </c:pt>
                <c:pt idx="130">
                  <c:v>11.753385</c:v>
                </c:pt>
                <c:pt idx="131">
                  <c:v>21.10242</c:v>
                </c:pt>
                <c:pt idx="133">
                  <c:v>62.110674</c:v>
                </c:pt>
                <c:pt idx="134">
                  <c:v>6.836586</c:v>
                </c:pt>
                <c:pt idx="135">
                  <c:v>8.612658</c:v>
                </c:pt>
                <c:pt idx="136">
                  <c:v>0.672591</c:v>
                </c:pt>
                <c:pt idx="137">
                  <c:v>3.059245999999998</c:v>
                </c:pt>
                <c:pt idx="138">
                  <c:v>1.123919</c:v>
                </c:pt>
                <c:pt idx="139">
                  <c:v>19.731917</c:v>
                </c:pt>
                <c:pt idx="140">
                  <c:v>1.464166</c:v>
                </c:pt>
                <c:pt idx="141">
                  <c:v>6.560550999999998</c:v>
                </c:pt>
                <c:pt idx="142">
                  <c:v>0.415728</c:v>
                </c:pt>
                <c:pt idx="143">
                  <c:v>36.792843</c:v>
                </c:pt>
                <c:pt idx="144">
                  <c:v>12.71805</c:v>
                </c:pt>
                <c:pt idx="145">
                  <c:v>19.72187</c:v>
                </c:pt>
                <c:pt idx="146">
                  <c:v>2.224597</c:v>
                </c:pt>
                <c:pt idx="148">
                  <c:v>7.640996999999998</c:v>
                </c:pt>
                <c:pt idx="149">
                  <c:v>25.128829</c:v>
                </c:pt>
                <c:pt idx="150">
                  <c:v>3.067751</c:v>
                </c:pt>
                <c:pt idx="151">
                  <c:v>8.338611</c:v>
                </c:pt>
                <c:pt idx="152">
                  <c:v>6.056106</c:v>
                </c:pt>
                <c:pt idx="153">
                  <c:v>1.325142</c:v>
                </c:pt>
                <c:pt idx="154">
                  <c:v>4.976891</c:v>
                </c:pt>
                <c:pt idx="155">
                  <c:v>4.032414999999998</c:v>
                </c:pt>
                <c:pt idx="156">
                  <c:v>29.155711</c:v>
                </c:pt>
                <c:pt idx="157">
                  <c:v>34.713371</c:v>
                </c:pt>
                <c:pt idx="158">
                  <c:v>3.725293</c:v>
                </c:pt>
                <c:pt idx="159">
                  <c:v>22.834575</c:v>
                </c:pt>
                <c:pt idx="160">
                  <c:v>1.002362</c:v>
                </c:pt>
                <c:pt idx="161">
                  <c:v>0.865793</c:v>
                </c:pt>
                <c:pt idx="162">
                  <c:v>5.568103999999998</c:v>
                </c:pt>
                <c:pt idx="163">
                  <c:v>0.87356</c:v>
                </c:pt>
                <c:pt idx="164">
                  <c:v>0.792236</c:v>
                </c:pt>
                <c:pt idx="165">
                  <c:v>3.845674999999999</c:v>
                </c:pt>
                <c:pt idx="166">
                  <c:v>13.869964</c:v>
                </c:pt>
                <c:pt idx="167">
                  <c:v>5.444364999999999</c:v>
                </c:pt>
                <c:pt idx="168">
                  <c:v>9.408889</c:v>
                </c:pt>
                <c:pt idx="169">
                  <c:v>2.322198</c:v>
                </c:pt>
                <c:pt idx="170">
                  <c:v>0.765413</c:v>
                </c:pt>
                <c:pt idx="171">
                  <c:v>3.696438</c:v>
                </c:pt>
                <c:pt idx="172">
                  <c:v>44.640924</c:v>
                </c:pt>
                <c:pt idx="173">
                  <c:v>29.587971</c:v>
                </c:pt>
                <c:pt idx="174">
                  <c:v>39.577634</c:v>
                </c:pt>
                <c:pt idx="175">
                  <c:v>9.608985</c:v>
                </c:pt>
                <c:pt idx="176">
                  <c:v>1.632331</c:v>
                </c:pt>
                <c:pt idx="177">
                  <c:v>3.820451</c:v>
                </c:pt>
                <c:pt idx="178">
                  <c:v>9.564472</c:v>
                </c:pt>
                <c:pt idx="179">
                  <c:v>1.597117</c:v>
                </c:pt>
                <c:pt idx="180">
                  <c:v>2.062293</c:v>
                </c:pt>
                <c:pt idx="181">
                  <c:v>1.000797</c:v>
                </c:pt>
              </c:numCache>
            </c:numRef>
          </c:xVal>
          <c:yVal>
            <c:numRef>
              <c:f>'Figure 4.7'!$D$4:$D$186</c:f>
              <c:numCache>
                <c:formatCode>General</c:formatCode>
                <c:ptCount val="183"/>
                <c:pt idx="0">
                  <c:v>0.0</c:v>
                </c:pt>
                <c:pt idx="1">
                  <c:v>0.9698</c:v>
                </c:pt>
                <c:pt idx="2">
                  <c:v>0.28165</c:v>
                </c:pt>
                <c:pt idx="3">
                  <c:v>0.1853</c:v>
                </c:pt>
                <c:pt idx="4">
                  <c:v>17.5679</c:v>
                </c:pt>
                <c:pt idx="5">
                  <c:v>0.56845</c:v>
                </c:pt>
                <c:pt idx="6">
                  <c:v>44.6767</c:v>
                </c:pt>
                <c:pt idx="7">
                  <c:v>76.41749</c:v>
                </c:pt>
                <c:pt idx="8">
                  <c:v>5.18326</c:v>
                </c:pt>
                <c:pt idx="9">
                  <c:v>10.59093</c:v>
                </c:pt>
                <c:pt idx="10">
                  <c:v>32.23586</c:v>
                </c:pt>
                <c:pt idx="11">
                  <c:v>0.21529</c:v>
                </c:pt>
                <c:pt idx="12">
                  <c:v>10.64143</c:v>
                </c:pt>
                <c:pt idx="13">
                  <c:v>0.49069</c:v>
                </c:pt>
                <c:pt idx="14">
                  <c:v>55.31815</c:v>
                </c:pt>
                <c:pt idx="15">
                  <c:v>6.71106</c:v>
                </c:pt>
                <c:pt idx="16">
                  <c:v>0.85114</c:v>
                </c:pt>
                <c:pt idx="17">
                  <c:v>0.0</c:v>
                </c:pt>
                <c:pt idx="18">
                  <c:v>7.01339</c:v>
                </c:pt>
                <c:pt idx="19">
                  <c:v>2.52825</c:v>
                </c:pt>
                <c:pt idx="20">
                  <c:v>12.63933</c:v>
                </c:pt>
                <c:pt idx="21">
                  <c:v>13.29403</c:v>
                </c:pt>
                <c:pt idx="22">
                  <c:v>29.04879</c:v>
                </c:pt>
                <c:pt idx="23">
                  <c:v>9.2179</c:v>
                </c:pt>
                <c:pt idx="24">
                  <c:v>0.20534</c:v>
                </c:pt>
                <c:pt idx="25">
                  <c:v>0.25603</c:v>
                </c:pt>
                <c:pt idx="26">
                  <c:v>1.04883</c:v>
                </c:pt>
                <c:pt idx="27">
                  <c:v>0.65874</c:v>
                </c:pt>
                <c:pt idx="28">
                  <c:v>28.45696</c:v>
                </c:pt>
                <c:pt idx="29">
                  <c:v>4.512189999999998</c:v>
                </c:pt>
                <c:pt idx="30">
                  <c:v>0.13418</c:v>
                </c:pt>
                <c:pt idx="31">
                  <c:v>0.06689</c:v>
                </c:pt>
                <c:pt idx="32">
                  <c:v>22.05943</c:v>
                </c:pt>
                <c:pt idx="33">
                  <c:v>6.71806</c:v>
                </c:pt>
                <c:pt idx="34">
                  <c:v>5.67546</c:v>
                </c:pt>
                <c:pt idx="35">
                  <c:v>0.0</c:v>
                </c:pt>
                <c:pt idx="36">
                  <c:v>0.03023</c:v>
                </c:pt>
                <c:pt idx="37">
                  <c:v>2.2323</c:v>
                </c:pt>
                <c:pt idx="38">
                  <c:v>5.39945</c:v>
                </c:pt>
                <c:pt idx="39">
                  <c:v>2.852259999999998</c:v>
                </c:pt>
                <c:pt idx="40">
                  <c:v>22.92737</c:v>
                </c:pt>
                <c:pt idx="41">
                  <c:v>0.05886</c:v>
                </c:pt>
                <c:pt idx="42">
                  <c:v>23.14485</c:v>
                </c:pt>
                <c:pt idx="43">
                  <c:v>42.42952</c:v>
                </c:pt>
                <c:pt idx="44">
                  <c:v>62.99375</c:v>
                </c:pt>
                <c:pt idx="45">
                  <c:v>0.03142</c:v>
                </c:pt>
                <c:pt idx="46">
                  <c:v>8.210359999999997</c:v>
                </c:pt>
                <c:pt idx="47">
                  <c:v>3.90613</c:v>
                </c:pt>
                <c:pt idx="48">
                  <c:v>2.01025</c:v>
                </c:pt>
                <c:pt idx="49">
                  <c:v>12.51835</c:v>
                </c:pt>
                <c:pt idx="50">
                  <c:v>0.96084</c:v>
                </c:pt>
                <c:pt idx="51">
                  <c:v>0.0</c:v>
                </c:pt>
                <c:pt idx="52">
                  <c:v>40.63472</c:v>
                </c:pt>
                <c:pt idx="53">
                  <c:v>0.02708</c:v>
                </c:pt>
                <c:pt idx="54">
                  <c:v>6.78277</c:v>
                </c:pt>
                <c:pt idx="55">
                  <c:v>72.07342999999998</c:v>
                </c:pt>
                <c:pt idx="56">
                  <c:v>49.20143</c:v>
                </c:pt>
                <c:pt idx="57">
                  <c:v>9.71444</c:v>
                </c:pt>
                <c:pt idx="58">
                  <c:v>0.43174</c:v>
                </c:pt>
                <c:pt idx="59">
                  <c:v>4.10347</c:v>
                </c:pt>
                <c:pt idx="60">
                  <c:v>58.53378</c:v>
                </c:pt>
                <c:pt idx="61">
                  <c:v>0.67854</c:v>
                </c:pt>
                <c:pt idx="62">
                  <c:v>53.99532</c:v>
                </c:pt>
                <c:pt idx="63">
                  <c:v>4.23554</c:v>
                </c:pt>
                <c:pt idx="64">
                  <c:v>7.625019999999997</c:v>
                </c:pt>
                <c:pt idx="65">
                  <c:v>0.50467</c:v>
                </c:pt>
                <c:pt idx="66">
                  <c:v>0.0</c:v>
                </c:pt>
                <c:pt idx="67">
                  <c:v>5.43308</c:v>
                </c:pt>
                <c:pt idx="68">
                  <c:v>0.63618</c:v>
                </c:pt>
                <c:pt idx="69">
                  <c:v>2.49706</c:v>
                </c:pt>
                <c:pt idx="70">
                  <c:v>80.30504999999998</c:v>
                </c:pt>
                <c:pt idx="71">
                  <c:v>30.12845</c:v>
                </c:pt>
                <c:pt idx="72">
                  <c:v>76.41834</c:v>
                </c:pt>
                <c:pt idx="73">
                  <c:v>0.33942</c:v>
                </c:pt>
                <c:pt idx="74">
                  <c:v>1.7195</c:v>
                </c:pt>
                <c:pt idx="75">
                  <c:v>1.47316</c:v>
                </c:pt>
                <c:pt idx="76">
                  <c:v>0.0</c:v>
                </c:pt>
                <c:pt idx="77">
                  <c:v>64.69880000000001</c:v>
                </c:pt>
                <c:pt idx="78">
                  <c:v>73.15103000000001</c:v>
                </c:pt>
                <c:pt idx="79">
                  <c:v>74.13357000000001</c:v>
                </c:pt>
                <c:pt idx="80">
                  <c:v>14.21387</c:v>
                </c:pt>
                <c:pt idx="81">
                  <c:v>53.12139</c:v>
                </c:pt>
                <c:pt idx="82">
                  <c:v>8.05762</c:v>
                </c:pt>
                <c:pt idx="83">
                  <c:v>1.31914</c:v>
                </c:pt>
                <c:pt idx="84">
                  <c:v>0.40764</c:v>
                </c:pt>
                <c:pt idx="85">
                  <c:v>0.0</c:v>
                </c:pt>
                <c:pt idx="86">
                  <c:v>58.31221</c:v>
                </c:pt>
                <c:pt idx="87">
                  <c:v>24.52615</c:v>
                </c:pt>
                <c:pt idx="88">
                  <c:v>0.18164</c:v>
                </c:pt>
                <c:pt idx="89">
                  <c:v>0.2385</c:v>
                </c:pt>
                <c:pt idx="90">
                  <c:v>16.82502</c:v>
                </c:pt>
                <c:pt idx="91">
                  <c:v>19.85395</c:v>
                </c:pt>
                <c:pt idx="92">
                  <c:v>1.09986</c:v>
                </c:pt>
                <c:pt idx="93">
                  <c:v>0.05268</c:v>
                </c:pt>
                <c:pt idx="94">
                  <c:v>0.76464</c:v>
                </c:pt>
                <c:pt idx="95">
                  <c:v>14.97131</c:v>
                </c:pt>
                <c:pt idx="96">
                  <c:v>69.63956</c:v>
                </c:pt>
                <c:pt idx="97">
                  <c:v>5.76121</c:v>
                </c:pt>
                <c:pt idx="98">
                  <c:v>0.41065</c:v>
                </c:pt>
                <c:pt idx="99">
                  <c:v>0.43638</c:v>
                </c:pt>
                <c:pt idx="100">
                  <c:v>21.87388</c:v>
                </c:pt>
                <c:pt idx="101">
                  <c:v>2.79539</c:v>
                </c:pt>
                <c:pt idx="102">
                  <c:v>0.09206</c:v>
                </c:pt>
                <c:pt idx="103">
                  <c:v>28.79674</c:v>
                </c:pt>
                <c:pt idx="104">
                  <c:v>0.57894</c:v>
                </c:pt>
                <c:pt idx="105">
                  <c:v>15.04983</c:v>
                </c:pt>
                <c:pt idx="106">
                  <c:v>14.08357</c:v>
                </c:pt>
                <c:pt idx="107">
                  <c:v>0.0</c:v>
                </c:pt>
                <c:pt idx="108">
                  <c:v>3.38468</c:v>
                </c:pt>
                <c:pt idx="109">
                  <c:v>6.4113</c:v>
                </c:pt>
                <c:pt idx="111">
                  <c:v>8.133850000000001</c:v>
                </c:pt>
                <c:pt idx="112">
                  <c:v>0.28057</c:v>
                </c:pt>
                <c:pt idx="113">
                  <c:v>0.0298</c:v>
                </c:pt>
                <c:pt idx="114">
                  <c:v>4.32526</c:v>
                </c:pt>
                <c:pt idx="115">
                  <c:v>0.04191</c:v>
                </c:pt>
                <c:pt idx="116">
                  <c:v>67.80003000000001</c:v>
                </c:pt>
                <c:pt idx="117">
                  <c:v>39.96856</c:v>
                </c:pt>
                <c:pt idx="118">
                  <c:v>1.77965</c:v>
                </c:pt>
                <c:pt idx="119">
                  <c:v>0.01882</c:v>
                </c:pt>
                <c:pt idx="120">
                  <c:v>0.02425</c:v>
                </c:pt>
                <c:pt idx="121">
                  <c:v>71.79027</c:v>
                </c:pt>
                <c:pt idx="122">
                  <c:v>7.154959999999997</c:v>
                </c:pt>
                <c:pt idx="123">
                  <c:v>0.21207</c:v>
                </c:pt>
                <c:pt idx="124">
                  <c:v>0.22122</c:v>
                </c:pt>
                <c:pt idx="125">
                  <c:v>13.88307</c:v>
                </c:pt>
                <c:pt idx="126">
                  <c:v>0.15914</c:v>
                </c:pt>
                <c:pt idx="127">
                  <c:v>15.36079</c:v>
                </c:pt>
                <c:pt idx="128">
                  <c:v>4.92562</c:v>
                </c:pt>
                <c:pt idx="129">
                  <c:v>8.34868</c:v>
                </c:pt>
                <c:pt idx="130">
                  <c:v>17.61506</c:v>
                </c:pt>
                <c:pt idx="131">
                  <c:v>64.48158</c:v>
                </c:pt>
                <c:pt idx="132">
                  <c:v>34.55629</c:v>
                </c:pt>
                <c:pt idx="133">
                  <c:v>20.4509</c:v>
                </c:pt>
                <c:pt idx="134">
                  <c:v>11.26098</c:v>
                </c:pt>
                <c:pt idx="135">
                  <c:v>2.22353</c:v>
                </c:pt>
                <c:pt idx="136">
                  <c:v>0.48158</c:v>
                </c:pt>
                <c:pt idx="137">
                  <c:v>1.41604</c:v>
                </c:pt>
                <c:pt idx="138">
                  <c:v>0.0</c:v>
                </c:pt>
                <c:pt idx="139">
                  <c:v>6.863869999999999</c:v>
                </c:pt>
                <c:pt idx="140">
                  <c:v>2.6326</c:v>
                </c:pt>
                <c:pt idx="142">
                  <c:v>0.28819</c:v>
                </c:pt>
                <c:pt idx="143">
                  <c:v>70.09925</c:v>
                </c:pt>
                <c:pt idx="144">
                  <c:v>23.0115</c:v>
                </c:pt>
                <c:pt idx="145">
                  <c:v>61.22682</c:v>
                </c:pt>
                <c:pt idx="146">
                  <c:v>0.2816</c:v>
                </c:pt>
                <c:pt idx="147">
                  <c:v>1.08122</c:v>
                </c:pt>
                <c:pt idx="148">
                  <c:v>18.63032</c:v>
                </c:pt>
                <c:pt idx="149">
                  <c:v>60.22832</c:v>
                </c:pt>
                <c:pt idx="150">
                  <c:v>2.29501</c:v>
                </c:pt>
                <c:pt idx="151">
                  <c:v>1.59126</c:v>
                </c:pt>
                <c:pt idx="152">
                  <c:v>2.18832</c:v>
                </c:pt>
                <c:pt idx="153">
                  <c:v>0.06728</c:v>
                </c:pt>
                <c:pt idx="154">
                  <c:v>8.79262</c:v>
                </c:pt>
                <c:pt idx="155">
                  <c:v>3.10199</c:v>
                </c:pt>
                <c:pt idx="156">
                  <c:v>71.92088</c:v>
                </c:pt>
                <c:pt idx="157">
                  <c:v>64.71231</c:v>
                </c:pt>
                <c:pt idx="158">
                  <c:v>0.18763</c:v>
                </c:pt>
                <c:pt idx="159">
                  <c:v>81.48166</c:v>
                </c:pt>
                <c:pt idx="160">
                  <c:v>0.01879</c:v>
                </c:pt>
                <c:pt idx="161">
                  <c:v>0.32469</c:v>
                </c:pt>
                <c:pt idx="162">
                  <c:v>4.83889</c:v>
                </c:pt>
                <c:pt idx="164">
                  <c:v>1.04308</c:v>
                </c:pt>
                <c:pt idx="165">
                  <c:v>0.1838</c:v>
                </c:pt>
                <c:pt idx="166">
                  <c:v>12.5273</c:v>
                </c:pt>
                <c:pt idx="167">
                  <c:v>1.26019</c:v>
                </c:pt>
                <c:pt idx="168">
                  <c:v>25.35588</c:v>
                </c:pt>
                <c:pt idx="169">
                  <c:v>0.16661</c:v>
                </c:pt>
                <c:pt idx="170">
                  <c:v>0.52415</c:v>
                </c:pt>
                <c:pt idx="171">
                  <c:v>1.67415</c:v>
                </c:pt>
                <c:pt idx="172">
                  <c:v>47.07827</c:v>
                </c:pt>
                <c:pt idx="173">
                  <c:v>73.80493</c:v>
                </c:pt>
                <c:pt idx="174">
                  <c:v>38.75379</c:v>
                </c:pt>
                <c:pt idx="175">
                  <c:v>12.37658</c:v>
                </c:pt>
                <c:pt idx="176">
                  <c:v>0.21444</c:v>
                </c:pt>
                <c:pt idx="177">
                  <c:v>0.19722</c:v>
                </c:pt>
                <c:pt idx="178">
                  <c:v>22.37187</c:v>
                </c:pt>
                <c:pt idx="179">
                  <c:v>1.00124</c:v>
                </c:pt>
                <c:pt idx="180">
                  <c:v>0.18079</c:v>
                </c:pt>
                <c:pt idx="181">
                  <c:v>0.969</c:v>
                </c:pt>
                <c:pt idx="182">
                  <c:v>2.12991</c:v>
                </c:pt>
              </c:numCache>
            </c:numRef>
          </c:yVal>
        </c:ser>
        <c:ser>
          <c:idx val="1"/>
          <c:order val="1"/>
          <c:tx>
            <c:v>2005</c:v>
          </c:tx>
          <c:spPr>
            <a:ln w="28575">
              <a:noFill/>
            </a:ln>
          </c:spPr>
          <c:trendline>
            <c:spPr>
              <a:ln w="25400"/>
            </c:spPr>
            <c:trendlineType val="log"/>
          </c:trendline>
          <c:xVal>
            <c:numRef>
              <c:f>'Figure 4.7'!$C$187:$C$369</c:f>
              <c:numCache>
                <c:formatCode>General</c:formatCode>
                <c:ptCount val="183"/>
                <c:pt idx="0">
                  <c:v>0.834878</c:v>
                </c:pt>
                <c:pt idx="1">
                  <c:v>6.161608</c:v>
                </c:pt>
                <c:pt idx="2">
                  <c:v>7.175964</c:v>
                </c:pt>
                <c:pt idx="3">
                  <c:v>3.611493</c:v>
                </c:pt>
                <c:pt idx="4">
                  <c:v>10.8193</c:v>
                </c:pt>
                <c:pt idx="5">
                  <c:v>4.097814999999997</c:v>
                </c:pt>
                <c:pt idx="6">
                  <c:v>32.698435</c:v>
                </c:pt>
                <c:pt idx="7">
                  <c:v>33.376793</c:v>
                </c:pt>
                <c:pt idx="8">
                  <c:v>4.496144</c:v>
                </c:pt>
                <c:pt idx="9">
                  <c:v>24.877401</c:v>
                </c:pt>
                <c:pt idx="10">
                  <c:v>27.961803</c:v>
                </c:pt>
                <c:pt idx="11">
                  <c:v>1.069266</c:v>
                </c:pt>
                <c:pt idx="12">
                  <c:v>19.18864</c:v>
                </c:pt>
                <c:pt idx="13">
                  <c:v>8.540816000000001</c:v>
                </c:pt>
                <c:pt idx="14">
                  <c:v>32.126661</c:v>
                </c:pt>
                <c:pt idx="15">
                  <c:v>6.254341999999998</c:v>
                </c:pt>
                <c:pt idx="16">
                  <c:v>1.309034</c:v>
                </c:pt>
                <c:pt idx="17">
                  <c:v>3.470667</c:v>
                </c:pt>
                <c:pt idx="18">
                  <c:v>3.757493</c:v>
                </c:pt>
                <c:pt idx="19">
                  <c:v>6.232316</c:v>
                </c:pt>
                <c:pt idx="20">
                  <c:v>11.772069</c:v>
                </c:pt>
                <c:pt idx="21">
                  <c:v>8.505417</c:v>
                </c:pt>
                <c:pt idx="22">
                  <c:v>47.468344</c:v>
                </c:pt>
                <c:pt idx="23">
                  <c:v>9.807272999999998</c:v>
                </c:pt>
                <c:pt idx="24">
                  <c:v>1.040053</c:v>
                </c:pt>
                <c:pt idx="25">
                  <c:v>0.340183</c:v>
                </c:pt>
                <c:pt idx="26">
                  <c:v>1.452709</c:v>
                </c:pt>
                <c:pt idx="27">
                  <c:v>1.955684</c:v>
                </c:pt>
                <c:pt idx="28">
                  <c:v>35.033423</c:v>
                </c:pt>
                <c:pt idx="29">
                  <c:v>2.675832</c:v>
                </c:pt>
                <c:pt idx="30">
                  <c:v>0.658306</c:v>
                </c:pt>
                <c:pt idx="31">
                  <c:v>1.342032</c:v>
                </c:pt>
                <c:pt idx="32">
                  <c:v>12.171537</c:v>
                </c:pt>
                <c:pt idx="33">
                  <c:v>4.114573999999997</c:v>
                </c:pt>
                <c:pt idx="34">
                  <c:v>7.305009</c:v>
                </c:pt>
                <c:pt idx="35">
                  <c:v>1.127254</c:v>
                </c:pt>
                <c:pt idx="36">
                  <c:v>0.265948</c:v>
                </c:pt>
                <c:pt idx="37">
                  <c:v>3.496502</c:v>
                </c:pt>
                <c:pt idx="38">
                  <c:v>9.001955000000001</c:v>
                </c:pt>
                <c:pt idx="39">
                  <c:v>1.560056</c:v>
                </c:pt>
                <c:pt idx="40">
                  <c:v>15.32876</c:v>
                </c:pt>
                <c:pt idx="42">
                  <c:v>24.403119</c:v>
                </c:pt>
                <c:pt idx="43">
                  <c:v>20.362303</c:v>
                </c:pt>
                <c:pt idx="44">
                  <c:v>33.214406</c:v>
                </c:pt>
                <c:pt idx="45">
                  <c:v>1.848073</c:v>
                </c:pt>
                <c:pt idx="46">
                  <c:v>6.200221</c:v>
                </c:pt>
                <c:pt idx="47">
                  <c:v>6.73606</c:v>
                </c:pt>
                <c:pt idx="48">
                  <c:v>4.318851</c:v>
                </c:pt>
                <c:pt idx="49">
                  <c:v>5.686733</c:v>
                </c:pt>
                <c:pt idx="50">
                  <c:v>24.769878</c:v>
                </c:pt>
                <c:pt idx="51">
                  <c:v>0.637612</c:v>
                </c:pt>
                <c:pt idx="52">
                  <c:v>16.547924</c:v>
                </c:pt>
                <c:pt idx="53">
                  <c:v>0.632686</c:v>
                </c:pt>
                <c:pt idx="54">
                  <c:v>4.294621</c:v>
                </c:pt>
                <c:pt idx="55">
                  <c:v>30.684125</c:v>
                </c:pt>
                <c:pt idx="56">
                  <c:v>29.80872</c:v>
                </c:pt>
                <c:pt idx="57">
                  <c:v>13.028521</c:v>
                </c:pt>
                <c:pt idx="58">
                  <c:v>1.141777</c:v>
                </c:pt>
                <c:pt idx="59">
                  <c:v>3.610483</c:v>
                </c:pt>
                <c:pt idx="60">
                  <c:v>31.363522</c:v>
                </c:pt>
                <c:pt idx="61">
                  <c:v>1.192836</c:v>
                </c:pt>
                <c:pt idx="62">
                  <c:v>24.640491</c:v>
                </c:pt>
                <c:pt idx="63">
                  <c:v>7.984909999999998</c:v>
                </c:pt>
                <c:pt idx="64">
                  <c:v>4.063955999999997</c:v>
                </c:pt>
                <c:pt idx="65">
                  <c:v>0.951996</c:v>
                </c:pt>
                <c:pt idx="66">
                  <c:v>0.973325</c:v>
                </c:pt>
                <c:pt idx="67">
                  <c:v>2.477942</c:v>
                </c:pt>
                <c:pt idx="68">
                  <c:v>1.016411</c:v>
                </c:pt>
                <c:pt idx="69">
                  <c:v>3.270465</c:v>
                </c:pt>
                <c:pt idx="70">
                  <c:v>35.677919</c:v>
                </c:pt>
                <c:pt idx="71">
                  <c:v>16.955157</c:v>
                </c:pt>
                <c:pt idx="72">
                  <c:v>34.92056</c:v>
                </c:pt>
                <c:pt idx="73">
                  <c:v>2.299763</c:v>
                </c:pt>
                <c:pt idx="74">
                  <c:v>3.216815</c:v>
                </c:pt>
                <c:pt idx="75">
                  <c:v>9.314383</c:v>
                </c:pt>
                <c:pt idx="76">
                  <c:v>2.897142</c:v>
                </c:pt>
                <c:pt idx="77">
                  <c:v>38.577825</c:v>
                </c:pt>
                <c:pt idx="78">
                  <c:v>23.390112</c:v>
                </c:pt>
                <c:pt idx="79">
                  <c:v>28.144014</c:v>
                </c:pt>
                <c:pt idx="80">
                  <c:v>7.027443999999998</c:v>
                </c:pt>
                <c:pt idx="81">
                  <c:v>30.310341</c:v>
                </c:pt>
                <c:pt idx="82">
                  <c:v>4.334477</c:v>
                </c:pt>
                <c:pt idx="83">
                  <c:v>8.699115000000001</c:v>
                </c:pt>
                <c:pt idx="84">
                  <c:v>1.338796</c:v>
                </c:pt>
                <c:pt idx="86">
                  <c:v>22.78327</c:v>
                </c:pt>
                <c:pt idx="87">
                  <c:v>43.560222</c:v>
                </c:pt>
                <c:pt idx="88">
                  <c:v>1.727733</c:v>
                </c:pt>
                <c:pt idx="89">
                  <c:v>1.651303</c:v>
                </c:pt>
                <c:pt idx="90">
                  <c:v>13.03786</c:v>
                </c:pt>
                <c:pt idx="91">
                  <c:v>9.517167000000001</c:v>
                </c:pt>
                <c:pt idx="92">
                  <c:v>1.201185</c:v>
                </c:pt>
                <c:pt idx="93">
                  <c:v>0.322844</c:v>
                </c:pt>
                <c:pt idx="94">
                  <c:v>13.653026</c:v>
                </c:pt>
                <c:pt idx="95">
                  <c:v>14.194392</c:v>
                </c:pt>
                <c:pt idx="96">
                  <c:v>68.319186</c:v>
                </c:pt>
                <c:pt idx="97">
                  <c:v>7.656397</c:v>
                </c:pt>
                <c:pt idx="98">
                  <c:v>0.882075</c:v>
                </c:pt>
                <c:pt idx="99">
                  <c:v>0.605551</c:v>
                </c:pt>
                <c:pt idx="100">
                  <c:v>11.754533</c:v>
                </c:pt>
                <c:pt idx="101">
                  <c:v>4.035175000000001</c:v>
                </c:pt>
                <c:pt idx="102">
                  <c:v>0.985009</c:v>
                </c:pt>
                <c:pt idx="103">
                  <c:v>20.958048</c:v>
                </c:pt>
                <c:pt idx="104">
                  <c:v>1.671901</c:v>
                </c:pt>
                <c:pt idx="105">
                  <c:v>10.157507</c:v>
                </c:pt>
                <c:pt idx="106">
                  <c:v>12.592504</c:v>
                </c:pt>
                <c:pt idx="107">
                  <c:v>2.971877999999998</c:v>
                </c:pt>
                <c:pt idx="108">
                  <c:v>2.361947999999999</c:v>
                </c:pt>
                <c:pt idx="109">
                  <c:v>2.612815999999997</c:v>
                </c:pt>
                <c:pt idx="110">
                  <c:v>8.264674999999998</c:v>
                </c:pt>
                <c:pt idx="111">
                  <c:v>3.496677999999998</c:v>
                </c:pt>
                <c:pt idx="112">
                  <c:v>0.667455</c:v>
                </c:pt>
                <c:pt idx="113">
                  <c:v>0.859211</c:v>
                </c:pt>
                <c:pt idx="114">
                  <c:v>5.389171999999998</c:v>
                </c:pt>
                <c:pt idx="115">
                  <c:v>0.955927</c:v>
                </c:pt>
                <c:pt idx="116">
                  <c:v>35.104526</c:v>
                </c:pt>
                <c:pt idx="117">
                  <c:v>25.304866</c:v>
                </c:pt>
                <c:pt idx="118">
                  <c:v>2.322341</c:v>
                </c:pt>
                <c:pt idx="119">
                  <c:v>0.604808</c:v>
                </c:pt>
                <c:pt idx="120">
                  <c:v>1.736546</c:v>
                </c:pt>
                <c:pt idx="121">
                  <c:v>47.305479</c:v>
                </c:pt>
                <c:pt idx="122">
                  <c:v>19.53334</c:v>
                </c:pt>
                <c:pt idx="123">
                  <c:v>2.18436</c:v>
                </c:pt>
                <c:pt idx="125">
                  <c:v>9.185560000000002</c:v>
                </c:pt>
                <c:pt idx="126">
                  <c:v>1.859103</c:v>
                </c:pt>
                <c:pt idx="127">
                  <c:v>3.896599</c:v>
                </c:pt>
                <c:pt idx="128">
                  <c:v>6.323361</c:v>
                </c:pt>
                <c:pt idx="129">
                  <c:v>2.926975</c:v>
                </c:pt>
                <c:pt idx="130">
                  <c:v>13.784162</c:v>
                </c:pt>
                <c:pt idx="131">
                  <c:v>21.294079</c:v>
                </c:pt>
                <c:pt idx="133">
                  <c:v>64.45237999999998</c:v>
                </c:pt>
                <c:pt idx="134">
                  <c:v>9.35947</c:v>
                </c:pt>
                <c:pt idx="135">
                  <c:v>11.852806</c:v>
                </c:pt>
                <c:pt idx="136">
                  <c:v>0.860021</c:v>
                </c:pt>
                <c:pt idx="137">
                  <c:v>3.858315</c:v>
                </c:pt>
                <c:pt idx="138">
                  <c:v>1.41649</c:v>
                </c:pt>
                <c:pt idx="139">
                  <c:v>21.219711</c:v>
                </c:pt>
                <c:pt idx="140">
                  <c:v>1.614031</c:v>
                </c:pt>
                <c:pt idx="141">
                  <c:v>8.515322</c:v>
                </c:pt>
                <c:pt idx="142">
                  <c:v>0.652874</c:v>
                </c:pt>
                <c:pt idx="143">
                  <c:v>45.374303</c:v>
                </c:pt>
                <c:pt idx="144">
                  <c:v>16.163601</c:v>
                </c:pt>
                <c:pt idx="145">
                  <c:v>23.49761</c:v>
                </c:pt>
                <c:pt idx="146">
                  <c:v>2.055467</c:v>
                </c:pt>
                <c:pt idx="148">
                  <c:v>8.596831</c:v>
                </c:pt>
                <c:pt idx="149">
                  <c:v>27.376796</c:v>
                </c:pt>
                <c:pt idx="150">
                  <c:v>3.545881</c:v>
                </c:pt>
                <c:pt idx="151">
                  <c:v>8.683269000000001</c:v>
                </c:pt>
                <c:pt idx="152">
                  <c:v>7.155225000000001</c:v>
                </c:pt>
                <c:pt idx="153">
                  <c:v>1.600978</c:v>
                </c:pt>
                <c:pt idx="154">
                  <c:v>6.06736</c:v>
                </c:pt>
                <c:pt idx="155">
                  <c:v>4.334678</c:v>
                </c:pt>
                <c:pt idx="156">
                  <c:v>32.723031</c:v>
                </c:pt>
                <c:pt idx="157">
                  <c:v>35.784085</c:v>
                </c:pt>
                <c:pt idx="158">
                  <c:v>3.954189</c:v>
                </c:pt>
                <c:pt idx="159">
                  <c:v>26.657331</c:v>
                </c:pt>
                <c:pt idx="160">
                  <c:v>1.480264</c:v>
                </c:pt>
                <c:pt idx="161">
                  <c:v>1.064575</c:v>
                </c:pt>
                <c:pt idx="162">
                  <c:v>6.750935999999997</c:v>
                </c:pt>
                <c:pt idx="163">
                  <c:v>0.713485</c:v>
                </c:pt>
                <c:pt idx="164">
                  <c:v>0.772029</c:v>
                </c:pt>
                <c:pt idx="165">
                  <c:v>4.097882999999997</c:v>
                </c:pt>
                <c:pt idx="166">
                  <c:v>20.0139</c:v>
                </c:pt>
                <c:pt idx="167">
                  <c:v>6.444813999999998</c:v>
                </c:pt>
                <c:pt idx="168">
                  <c:v>10.977293</c:v>
                </c:pt>
                <c:pt idx="169">
                  <c:v>4.668107999999997</c:v>
                </c:pt>
                <c:pt idx="170">
                  <c:v>0.901187</c:v>
                </c:pt>
                <c:pt idx="171">
                  <c:v>5.583399</c:v>
                </c:pt>
                <c:pt idx="172">
                  <c:v>48.992437</c:v>
                </c:pt>
                <c:pt idx="173">
                  <c:v>32.730654</c:v>
                </c:pt>
                <c:pt idx="174">
                  <c:v>42.53448</c:v>
                </c:pt>
                <c:pt idx="175">
                  <c:v>9.682791</c:v>
                </c:pt>
                <c:pt idx="176">
                  <c:v>2.000937</c:v>
                </c:pt>
                <c:pt idx="177">
                  <c:v>3.528909</c:v>
                </c:pt>
                <c:pt idx="178">
                  <c:v>9.924462</c:v>
                </c:pt>
                <c:pt idx="179">
                  <c:v>2.142735</c:v>
                </c:pt>
                <c:pt idx="180">
                  <c:v>2.193965</c:v>
                </c:pt>
                <c:pt idx="181">
                  <c:v>1.12695</c:v>
                </c:pt>
              </c:numCache>
            </c:numRef>
          </c:xVal>
          <c:yVal>
            <c:numRef>
              <c:f>'Figure 4.7'!$D$187:$D$369</c:f>
              <c:numCache>
                <c:formatCode>General</c:formatCode>
                <c:ptCount val="183"/>
                <c:pt idx="0">
                  <c:v>4.345509999999998</c:v>
                </c:pt>
                <c:pt idx="1">
                  <c:v>48.70596</c:v>
                </c:pt>
                <c:pt idx="2">
                  <c:v>41.53846</c:v>
                </c:pt>
                <c:pt idx="3">
                  <c:v>9.77085</c:v>
                </c:pt>
                <c:pt idx="4">
                  <c:v>57.27961</c:v>
                </c:pt>
                <c:pt idx="5">
                  <c:v>10.37341</c:v>
                </c:pt>
                <c:pt idx="6">
                  <c:v>90.27854000000001</c:v>
                </c:pt>
                <c:pt idx="7">
                  <c:v>105.25745</c:v>
                </c:pt>
                <c:pt idx="8">
                  <c:v>26.10649</c:v>
                </c:pt>
                <c:pt idx="9">
                  <c:v>71.32153</c:v>
                </c:pt>
                <c:pt idx="10">
                  <c:v>105.83548</c:v>
                </c:pt>
                <c:pt idx="11">
                  <c:v>6.40169</c:v>
                </c:pt>
                <c:pt idx="12">
                  <c:v>76.22466</c:v>
                </c:pt>
                <c:pt idx="13">
                  <c:v>41.72476</c:v>
                </c:pt>
                <c:pt idx="14">
                  <c:v>92.22683000000001</c:v>
                </c:pt>
                <c:pt idx="15">
                  <c:v>34.17015</c:v>
                </c:pt>
                <c:pt idx="16">
                  <c:v>7.810919999999998</c:v>
                </c:pt>
                <c:pt idx="17">
                  <c:v>5.46039</c:v>
                </c:pt>
                <c:pt idx="18">
                  <c:v>26.47309</c:v>
                </c:pt>
                <c:pt idx="19">
                  <c:v>42.16785</c:v>
                </c:pt>
                <c:pt idx="20">
                  <c:v>30.05758</c:v>
                </c:pt>
                <c:pt idx="21">
                  <c:v>46.35288999999999</c:v>
                </c:pt>
                <c:pt idx="22">
                  <c:v>64.13805000000001</c:v>
                </c:pt>
                <c:pt idx="23">
                  <c:v>80.69296999999998</c:v>
                </c:pt>
                <c:pt idx="24">
                  <c:v>4.462129999999998</c:v>
                </c:pt>
                <c:pt idx="25">
                  <c:v>2.10993</c:v>
                </c:pt>
                <c:pt idx="26">
                  <c:v>7.95055</c:v>
                </c:pt>
                <c:pt idx="27">
                  <c:v>12.83218</c:v>
                </c:pt>
                <c:pt idx="28">
                  <c:v>52.71004</c:v>
                </c:pt>
                <c:pt idx="29">
                  <c:v>17.28144</c:v>
                </c:pt>
                <c:pt idx="30">
                  <c:v>2.48887</c:v>
                </c:pt>
                <c:pt idx="31">
                  <c:v>2.14594</c:v>
                </c:pt>
                <c:pt idx="32">
                  <c:v>64.83713</c:v>
                </c:pt>
                <c:pt idx="33">
                  <c:v>30.08626</c:v>
                </c:pt>
                <c:pt idx="34">
                  <c:v>50.76605</c:v>
                </c:pt>
                <c:pt idx="35">
                  <c:v>2.41425</c:v>
                </c:pt>
                <c:pt idx="36">
                  <c:v>4.78243</c:v>
                </c:pt>
                <c:pt idx="37">
                  <c:v>15.79859</c:v>
                </c:pt>
                <c:pt idx="38">
                  <c:v>25.5558</c:v>
                </c:pt>
                <c:pt idx="39">
                  <c:v>13.03727</c:v>
                </c:pt>
                <c:pt idx="40">
                  <c:v>82.16370000000001</c:v>
                </c:pt>
                <c:pt idx="41">
                  <c:v>1.20429</c:v>
                </c:pt>
                <c:pt idx="42">
                  <c:v>75.78266</c:v>
                </c:pt>
                <c:pt idx="43">
                  <c:v>115.21666</c:v>
                </c:pt>
                <c:pt idx="44">
                  <c:v>100.54917</c:v>
                </c:pt>
                <c:pt idx="45">
                  <c:v>5.44963</c:v>
                </c:pt>
                <c:pt idx="46">
                  <c:v>39.11037</c:v>
                </c:pt>
                <c:pt idx="47">
                  <c:v>46.52275</c:v>
                </c:pt>
                <c:pt idx="48">
                  <c:v>18.36794</c:v>
                </c:pt>
                <c:pt idx="49">
                  <c:v>39.86031</c:v>
                </c:pt>
                <c:pt idx="50">
                  <c:v>15.94434</c:v>
                </c:pt>
                <c:pt idx="51">
                  <c:v>0.9014</c:v>
                </c:pt>
                <c:pt idx="52">
                  <c:v>107.38882</c:v>
                </c:pt>
                <c:pt idx="53">
                  <c:v>0.55293</c:v>
                </c:pt>
                <c:pt idx="54">
                  <c:v>24.92241</c:v>
                </c:pt>
                <c:pt idx="55">
                  <c:v>100.48925</c:v>
                </c:pt>
                <c:pt idx="56">
                  <c:v>78.8373</c:v>
                </c:pt>
                <c:pt idx="57">
                  <c:v>53.74439</c:v>
                </c:pt>
                <c:pt idx="58">
                  <c:v>16.45818</c:v>
                </c:pt>
                <c:pt idx="59">
                  <c:v>26.22976</c:v>
                </c:pt>
                <c:pt idx="60">
                  <c:v>96.03864</c:v>
                </c:pt>
                <c:pt idx="61">
                  <c:v>13.28367</c:v>
                </c:pt>
                <c:pt idx="62">
                  <c:v>91.74901</c:v>
                </c:pt>
                <c:pt idx="63">
                  <c:v>45.611</c:v>
                </c:pt>
                <c:pt idx="64">
                  <c:v>35.46444</c:v>
                </c:pt>
                <c:pt idx="65">
                  <c:v>2.09037</c:v>
                </c:pt>
                <c:pt idx="66">
                  <c:v>7.22566</c:v>
                </c:pt>
                <c:pt idx="67">
                  <c:v>37.70501</c:v>
                </c:pt>
                <c:pt idx="68">
                  <c:v>5.3513</c:v>
                </c:pt>
                <c:pt idx="69">
                  <c:v>18.62795</c:v>
                </c:pt>
                <c:pt idx="70">
                  <c:v>125.4689</c:v>
                </c:pt>
                <c:pt idx="71">
                  <c:v>92.39673999999998</c:v>
                </c:pt>
                <c:pt idx="72">
                  <c:v>95.40511</c:v>
                </c:pt>
                <c:pt idx="73">
                  <c:v>7.90672</c:v>
                </c:pt>
                <c:pt idx="74">
                  <c:v>20.63762</c:v>
                </c:pt>
                <c:pt idx="75">
                  <c:v>12.2046</c:v>
                </c:pt>
                <c:pt idx="76">
                  <c:v>5.603179999999998</c:v>
                </c:pt>
                <c:pt idx="77">
                  <c:v>102.69257</c:v>
                </c:pt>
                <c:pt idx="78">
                  <c:v>117.44894</c:v>
                </c:pt>
                <c:pt idx="79">
                  <c:v>121.86557</c:v>
                </c:pt>
                <c:pt idx="80">
                  <c:v>73.88965</c:v>
                </c:pt>
                <c:pt idx="81">
                  <c:v>76.33654</c:v>
                </c:pt>
                <c:pt idx="82">
                  <c:v>58.73641</c:v>
                </c:pt>
                <c:pt idx="83">
                  <c:v>35.57915</c:v>
                </c:pt>
                <c:pt idx="84">
                  <c:v>12.94967</c:v>
                </c:pt>
                <c:pt idx="85">
                  <c:v>0.0</c:v>
                </c:pt>
                <c:pt idx="86">
                  <c:v>81.50288999999998</c:v>
                </c:pt>
                <c:pt idx="87">
                  <c:v>100.57358</c:v>
                </c:pt>
                <c:pt idx="88">
                  <c:v>10.74199</c:v>
                </c:pt>
                <c:pt idx="89">
                  <c:v>11.42863</c:v>
                </c:pt>
                <c:pt idx="90">
                  <c:v>81.17888999999997</c:v>
                </c:pt>
                <c:pt idx="91">
                  <c:v>24.51762</c:v>
                </c:pt>
                <c:pt idx="92">
                  <c:v>12.09177</c:v>
                </c:pt>
                <c:pt idx="93">
                  <c:v>5.027429999999998</c:v>
                </c:pt>
                <c:pt idx="94">
                  <c:v>34.66379</c:v>
                </c:pt>
                <c:pt idx="95">
                  <c:v>127.45223</c:v>
                </c:pt>
                <c:pt idx="96">
                  <c:v>111.54929</c:v>
                </c:pt>
                <c:pt idx="97">
                  <c:v>55.49291</c:v>
                </c:pt>
                <c:pt idx="98">
                  <c:v>2.852899999999998</c:v>
                </c:pt>
                <c:pt idx="99">
                  <c:v>3.28454</c:v>
                </c:pt>
                <c:pt idx="100">
                  <c:v>74.88436999999998</c:v>
                </c:pt>
                <c:pt idx="101">
                  <c:v>68.96762</c:v>
                </c:pt>
                <c:pt idx="102">
                  <c:v>5.78285</c:v>
                </c:pt>
                <c:pt idx="103">
                  <c:v>79.15562</c:v>
                </c:pt>
                <c:pt idx="104">
                  <c:v>24.46846</c:v>
                </c:pt>
                <c:pt idx="105">
                  <c:v>52.26435</c:v>
                </c:pt>
                <c:pt idx="106">
                  <c:v>44.25909</c:v>
                </c:pt>
                <c:pt idx="107">
                  <c:v>12.88076</c:v>
                </c:pt>
                <c:pt idx="108">
                  <c:v>28.93114</c:v>
                </c:pt>
                <c:pt idx="109">
                  <c:v>21.87408</c:v>
                </c:pt>
                <c:pt idx="110">
                  <c:v>86.67403999999998</c:v>
                </c:pt>
                <c:pt idx="111">
                  <c:v>40.7759</c:v>
                </c:pt>
                <c:pt idx="112">
                  <c:v>7.24093</c:v>
                </c:pt>
                <c:pt idx="113">
                  <c:v>0.27784</c:v>
                </c:pt>
                <c:pt idx="114">
                  <c:v>21.58017</c:v>
                </c:pt>
                <c:pt idx="115">
                  <c:v>0.83321</c:v>
                </c:pt>
                <c:pt idx="116">
                  <c:v>97.10859000000001</c:v>
                </c:pt>
                <c:pt idx="117">
                  <c:v>85.38704</c:v>
                </c:pt>
                <c:pt idx="118">
                  <c:v>20.63624</c:v>
                </c:pt>
                <c:pt idx="119">
                  <c:v>2.49235</c:v>
                </c:pt>
                <c:pt idx="120">
                  <c:v>13.2932</c:v>
                </c:pt>
                <c:pt idx="121">
                  <c:v>102.83683</c:v>
                </c:pt>
                <c:pt idx="122">
                  <c:v>54.87629</c:v>
                </c:pt>
                <c:pt idx="123">
                  <c:v>8.05015</c:v>
                </c:pt>
                <c:pt idx="124">
                  <c:v>15.96318</c:v>
                </c:pt>
                <c:pt idx="125">
                  <c:v>54.00144</c:v>
                </c:pt>
                <c:pt idx="126">
                  <c:v>1.23043</c:v>
                </c:pt>
                <c:pt idx="127">
                  <c:v>31.99489</c:v>
                </c:pt>
                <c:pt idx="128">
                  <c:v>20.25982</c:v>
                </c:pt>
                <c:pt idx="129">
                  <c:v>40.65511</c:v>
                </c:pt>
                <c:pt idx="130">
                  <c:v>76.42175</c:v>
                </c:pt>
                <c:pt idx="131">
                  <c:v>108.57055</c:v>
                </c:pt>
                <c:pt idx="132">
                  <c:v>52.70948</c:v>
                </c:pt>
                <c:pt idx="133">
                  <c:v>87.30513999999998</c:v>
                </c:pt>
                <c:pt idx="134">
                  <c:v>61.337</c:v>
                </c:pt>
                <c:pt idx="135">
                  <c:v>83.4242</c:v>
                </c:pt>
                <c:pt idx="136">
                  <c:v>2.42322</c:v>
                </c:pt>
                <c:pt idx="137">
                  <c:v>13.3158</c:v>
                </c:pt>
                <c:pt idx="138">
                  <c:v>7.83177</c:v>
                </c:pt>
                <c:pt idx="139">
                  <c:v>58.9165</c:v>
                </c:pt>
                <c:pt idx="140">
                  <c:v>15.91355</c:v>
                </c:pt>
                <c:pt idx="141">
                  <c:v>71.79886</c:v>
                </c:pt>
                <c:pt idx="143">
                  <c:v>102.78015</c:v>
                </c:pt>
                <c:pt idx="144">
                  <c:v>83.84041</c:v>
                </c:pt>
                <c:pt idx="145">
                  <c:v>87.87003999999997</c:v>
                </c:pt>
                <c:pt idx="146">
                  <c:v>1.27713</c:v>
                </c:pt>
                <c:pt idx="147">
                  <c:v>5.98096</c:v>
                </c:pt>
                <c:pt idx="148">
                  <c:v>71.05666</c:v>
                </c:pt>
                <c:pt idx="149">
                  <c:v>98.38386999999998</c:v>
                </c:pt>
                <c:pt idx="150">
                  <c:v>16.94226</c:v>
                </c:pt>
                <c:pt idx="151">
                  <c:v>63.92739</c:v>
                </c:pt>
                <c:pt idx="152">
                  <c:v>64.93495</c:v>
                </c:pt>
                <c:pt idx="153">
                  <c:v>4.758979999999998</c:v>
                </c:pt>
                <c:pt idx="154">
                  <c:v>46.62283</c:v>
                </c:pt>
                <c:pt idx="155">
                  <c:v>18.10104</c:v>
                </c:pt>
                <c:pt idx="156">
                  <c:v>100.8268</c:v>
                </c:pt>
                <c:pt idx="157">
                  <c:v>92.16759</c:v>
                </c:pt>
                <c:pt idx="158">
                  <c:v>15.95964</c:v>
                </c:pt>
                <c:pt idx="159">
                  <c:v>97.54636</c:v>
                </c:pt>
                <c:pt idx="160">
                  <c:v>4.10646</c:v>
                </c:pt>
                <c:pt idx="161">
                  <c:v>7.63307</c:v>
                </c:pt>
                <c:pt idx="162">
                  <c:v>46.68253</c:v>
                </c:pt>
                <c:pt idx="163">
                  <c:v>3.27327</c:v>
                </c:pt>
                <c:pt idx="164">
                  <c:v>8.018330000000001</c:v>
                </c:pt>
                <c:pt idx="165">
                  <c:v>29.59792</c:v>
                </c:pt>
                <c:pt idx="166">
                  <c:v>70.25314</c:v>
                </c:pt>
                <c:pt idx="167">
                  <c:v>57.31094</c:v>
                </c:pt>
                <c:pt idx="168">
                  <c:v>63.99608</c:v>
                </c:pt>
                <c:pt idx="169">
                  <c:v>2.21153</c:v>
                </c:pt>
                <c:pt idx="170">
                  <c:v>4.62626</c:v>
                </c:pt>
                <c:pt idx="171">
                  <c:v>63.96204</c:v>
                </c:pt>
                <c:pt idx="172">
                  <c:v>111.42183</c:v>
                </c:pt>
                <c:pt idx="173">
                  <c:v>108.75199</c:v>
                </c:pt>
                <c:pt idx="174">
                  <c:v>68.62737999999997</c:v>
                </c:pt>
                <c:pt idx="175">
                  <c:v>34.76036</c:v>
                </c:pt>
                <c:pt idx="176">
                  <c:v>2.77484</c:v>
                </c:pt>
                <c:pt idx="177">
                  <c:v>6.01032</c:v>
                </c:pt>
                <c:pt idx="178">
                  <c:v>46.86343</c:v>
                </c:pt>
                <c:pt idx="179">
                  <c:v>11.53568</c:v>
                </c:pt>
                <c:pt idx="180">
                  <c:v>11.03007</c:v>
                </c:pt>
                <c:pt idx="181">
                  <c:v>8.28415</c:v>
                </c:pt>
                <c:pt idx="182">
                  <c:v>5.147769999999999</c:v>
                </c:pt>
              </c:numCache>
            </c:numRef>
          </c:yVal>
        </c:ser>
        <c:ser>
          <c:idx val="2"/>
          <c:order val="2"/>
          <c:tx>
            <c:v>2010</c:v>
          </c:tx>
          <c:spPr>
            <a:ln w="28575">
              <a:noFill/>
            </a:ln>
          </c:spPr>
          <c:trendline>
            <c:spPr>
              <a:ln w="25400"/>
            </c:spPr>
            <c:trendlineType val="log"/>
          </c:trendline>
          <c:xVal>
            <c:numRef>
              <c:f>'Figure 4.7'!$C$370:$C$552</c:f>
              <c:numCache>
                <c:formatCode>General</c:formatCode>
                <c:ptCount val="183"/>
                <c:pt idx="0">
                  <c:v>1.26732</c:v>
                </c:pt>
                <c:pt idx="1">
                  <c:v>7.710215</c:v>
                </c:pt>
                <c:pt idx="2">
                  <c:v>7.540661</c:v>
                </c:pt>
                <c:pt idx="3">
                  <c:v>4.826388</c:v>
                </c:pt>
                <c:pt idx="4">
                  <c:v>14.339959</c:v>
                </c:pt>
                <c:pt idx="5">
                  <c:v>4.918184999999998</c:v>
                </c:pt>
                <c:pt idx="6">
                  <c:v>34.414463</c:v>
                </c:pt>
                <c:pt idx="7">
                  <c:v>35.353032</c:v>
                </c:pt>
                <c:pt idx="8">
                  <c:v>8.985472</c:v>
                </c:pt>
                <c:pt idx="9">
                  <c:v>29.707875</c:v>
                </c:pt>
                <c:pt idx="10">
                  <c:v>31.32517</c:v>
                </c:pt>
                <c:pt idx="11">
                  <c:v>1.345326</c:v>
                </c:pt>
                <c:pt idx="12">
                  <c:v>18.049055</c:v>
                </c:pt>
                <c:pt idx="13">
                  <c:v>13.009023</c:v>
                </c:pt>
                <c:pt idx="14">
                  <c:v>33.033807</c:v>
                </c:pt>
                <c:pt idx="15">
                  <c:v>6.138962999999999</c:v>
                </c:pt>
                <c:pt idx="16">
                  <c:v>1.273994</c:v>
                </c:pt>
                <c:pt idx="17">
                  <c:v>4.955381999999997</c:v>
                </c:pt>
                <c:pt idx="18">
                  <c:v>3.980049</c:v>
                </c:pt>
                <c:pt idx="19">
                  <c:v>7.324008999999997</c:v>
                </c:pt>
                <c:pt idx="20">
                  <c:v>14.660621</c:v>
                </c:pt>
                <c:pt idx="21">
                  <c:v>10.024644</c:v>
                </c:pt>
                <c:pt idx="22">
                  <c:v>46.276835</c:v>
                </c:pt>
                <c:pt idx="23">
                  <c:v>11.625909</c:v>
                </c:pt>
                <c:pt idx="24">
                  <c:v>1.112234</c:v>
                </c:pt>
                <c:pt idx="25">
                  <c:v>0.361073</c:v>
                </c:pt>
                <c:pt idx="26">
                  <c:v>1.807024</c:v>
                </c:pt>
                <c:pt idx="27">
                  <c:v>1.94881</c:v>
                </c:pt>
                <c:pt idx="28">
                  <c:v>35.210681</c:v>
                </c:pt>
                <c:pt idx="29">
                  <c:v>3.487632</c:v>
                </c:pt>
                <c:pt idx="30">
                  <c:v>0.666054</c:v>
                </c:pt>
                <c:pt idx="31">
                  <c:v>1.110859</c:v>
                </c:pt>
                <c:pt idx="32">
                  <c:v>13.663266</c:v>
                </c:pt>
                <c:pt idx="33">
                  <c:v>6.804587999999997</c:v>
                </c:pt>
                <c:pt idx="34">
                  <c:v>8.41143</c:v>
                </c:pt>
                <c:pt idx="35">
                  <c:v>1.097152</c:v>
                </c:pt>
                <c:pt idx="36">
                  <c:v>0.31492</c:v>
                </c:pt>
                <c:pt idx="37">
                  <c:v>3.982852999999998</c:v>
                </c:pt>
                <c:pt idx="38">
                  <c:v>10.277072</c:v>
                </c:pt>
                <c:pt idx="39">
                  <c:v>1.541278</c:v>
                </c:pt>
                <c:pt idx="40">
                  <c:v>16.113537</c:v>
                </c:pt>
                <c:pt idx="42">
                  <c:v>26.02715</c:v>
                </c:pt>
                <c:pt idx="43">
                  <c:v>22.609828</c:v>
                </c:pt>
                <c:pt idx="44">
                  <c:v>32.921473</c:v>
                </c:pt>
                <c:pt idx="45">
                  <c:v>2.201211</c:v>
                </c:pt>
                <c:pt idx="46">
                  <c:v>8.418257999999997</c:v>
                </c:pt>
                <c:pt idx="47">
                  <c:v>7.42049</c:v>
                </c:pt>
                <c:pt idx="48">
                  <c:v>5.294900999999997</c:v>
                </c:pt>
                <c:pt idx="49">
                  <c:v>7.140765999999997</c:v>
                </c:pt>
                <c:pt idx="50">
                  <c:v>28.621404</c:v>
                </c:pt>
                <c:pt idx="51">
                  <c:v>0.528354</c:v>
                </c:pt>
                <c:pt idx="52">
                  <c:v>16.633411</c:v>
                </c:pt>
                <c:pt idx="53">
                  <c:v>0.892725</c:v>
                </c:pt>
                <c:pt idx="54">
                  <c:v>3.657071</c:v>
                </c:pt>
                <c:pt idx="55">
                  <c:v>31.157669</c:v>
                </c:pt>
                <c:pt idx="56">
                  <c:v>29.826523</c:v>
                </c:pt>
                <c:pt idx="57">
                  <c:v>13.838852</c:v>
                </c:pt>
                <c:pt idx="58">
                  <c:v>1.207249</c:v>
                </c:pt>
                <c:pt idx="59">
                  <c:v>4.611649</c:v>
                </c:pt>
                <c:pt idx="60">
                  <c:v>33.548613</c:v>
                </c:pt>
                <c:pt idx="61">
                  <c:v>1.478098</c:v>
                </c:pt>
                <c:pt idx="62">
                  <c:v>25.281311</c:v>
                </c:pt>
                <c:pt idx="63">
                  <c:v>7.486317</c:v>
                </c:pt>
                <c:pt idx="64">
                  <c:v>4.275527</c:v>
                </c:pt>
                <c:pt idx="65">
                  <c:v>0.907033</c:v>
                </c:pt>
                <c:pt idx="66">
                  <c:v>1.006468</c:v>
                </c:pt>
                <c:pt idx="67">
                  <c:v>3.049039</c:v>
                </c:pt>
                <c:pt idx="68">
                  <c:v>0.931639</c:v>
                </c:pt>
                <c:pt idx="69">
                  <c:v>3.537967</c:v>
                </c:pt>
                <c:pt idx="70">
                  <c:v>41.928904</c:v>
                </c:pt>
                <c:pt idx="71">
                  <c:v>17.100713</c:v>
                </c:pt>
                <c:pt idx="72">
                  <c:v>32.800088</c:v>
                </c:pt>
                <c:pt idx="73">
                  <c:v>3.254095</c:v>
                </c:pt>
                <c:pt idx="74">
                  <c:v>4.179517</c:v>
                </c:pt>
                <c:pt idx="75">
                  <c:v>10.335471</c:v>
                </c:pt>
                <c:pt idx="76">
                  <c:v>3.094285</c:v>
                </c:pt>
                <c:pt idx="77">
                  <c:v>35.900207</c:v>
                </c:pt>
                <c:pt idx="78">
                  <c:v>26.647282</c:v>
                </c:pt>
                <c:pt idx="79">
                  <c:v>26.833015</c:v>
                </c:pt>
                <c:pt idx="80">
                  <c:v>6.852667</c:v>
                </c:pt>
                <c:pt idx="81">
                  <c:v>30.910142</c:v>
                </c:pt>
                <c:pt idx="82">
                  <c:v>4.755962999999999</c:v>
                </c:pt>
                <c:pt idx="83">
                  <c:v>10.908928</c:v>
                </c:pt>
                <c:pt idx="84">
                  <c:v>1.465423</c:v>
                </c:pt>
                <c:pt idx="86">
                  <c:v>26.94044</c:v>
                </c:pt>
                <c:pt idx="87">
                  <c:v>42.609625</c:v>
                </c:pt>
                <c:pt idx="88">
                  <c:v>2.045229</c:v>
                </c:pt>
                <c:pt idx="89">
                  <c:v>2.172267</c:v>
                </c:pt>
                <c:pt idx="90">
                  <c:v>13.384246</c:v>
                </c:pt>
                <c:pt idx="91">
                  <c:v>11.57144</c:v>
                </c:pt>
                <c:pt idx="92">
                  <c:v>1.508915</c:v>
                </c:pt>
                <c:pt idx="93">
                  <c:v>0.36887</c:v>
                </c:pt>
                <c:pt idx="94">
                  <c:v>15.128579</c:v>
                </c:pt>
                <c:pt idx="95">
                  <c:v>15.210332</c:v>
                </c:pt>
                <c:pt idx="96">
                  <c:v>71.187589</c:v>
                </c:pt>
                <c:pt idx="97">
                  <c:v>8.38272</c:v>
                </c:pt>
                <c:pt idx="98">
                  <c:v>0.86691</c:v>
                </c:pt>
                <c:pt idx="99">
                  <c:v>0.709006</c:v>
                </c:pt>
                <c:pt idx="100">
                  <c:v>13.351213</c:v>
                </c:pt>
                <c:pt idx="101">
                  <c:v>5.368500999999997</c:v>
                </c:pt>
                <c:pt idx="102">
                  <c:v>0.961761</c:v>
                </c:pt>
                <c:pt idx="103">
                  <c:v>22.789767</c:v>
                </c:pt>
                <c:pt idx="104">
                  <c:v>1.779096</c:v>
                </c:pt>
                <c:pt idx="105">
                  <c:v>12.128461</c:v>
                </c:pt>
                <c:pt idx="106">
                  <c:v>12.996269</c:v>
                </c:pt>
                <c:pt idx="107">
                  <c:v>2.804053</c:v>
                </c:pt>
                <c:pt idx="108">
                  <c:v>2.770733</c:v>
                </c:pt>
                <c:pt idx="109">
                  <c:v>3.273568</c:v>
                </c:pt>
                <c:pt idx="110">
                  <c:v>10.130518</c:v>
                </c:pt>
                <c:pt idx="111">
                  <c:v>4.156993000000001</c:v>
                </c:pt>
                <c:pt idx="112">
                  <c:v>0.808694</c:v>
                </c:pt>
                <c:pt idx="113">
                  <c:v>1.129403</c:v>
                </c:pt>
                <c:pt idx="114">
                  <c:v>6.075661</c:v>
                </c:pt>
                <c:pt idx="115">
                  <c:v>1.07696</c:v>
                </c:pt>
                <c:pt idx="116">
                  <c:v>36.770689</c:v>
                </c:pt>
                <c:pt idx="117">
                  <c:v>24.511233</c:v>
                </c:pt>
                <c:pt idx="118">
                  <c:v>2.380602</c:v>
                </c:pt>
                <c:pt idx="119">
                  <c:v>0.648168</c:v>
                </c:pt>
                <c:pt idx="120">
                  <c:v>2.090633</c:v>
                </c:pt>
                <c:pt idx="121">
                  <c:v>46.911744</c:v>
                </c:pt>
                <c:pt idx="122">
                  <c:v>24.064302</c:v>
                </c:pt>
                <c:pt idx="123">
                  <c:v>2.428543</c:v>
                </c:pt>
                <c:pt idx="125">
                  <c:v>12.746507</c:v>
                </c:pt>
                <c:pt idx="126">
                  <c:v>2.15214</c:v>
                </c:pt>
                <c:pt idx="127">
                  <c:v>4.588176000000001</c:v>
                </c:pt>
                <c:pt idx="128">
                  <c:v>8.438610999999998</c:v>
                </c:pt>
                <c:pt idx="129">
                  <c:v>3.385855999999998</c:v>
                </c:pt>
                <c:pt idx="130">
                  <c:v>17.297265</c:v>
                </c:pt>
                <c:pt idx="131">
                  <c:v>21.466064</c:v>
                </c:pt>
                <c:pt idx="133">
                  <c:v>79.45393799999998</c:v>
                </c:pt>
                <c:pt idx="134">
                  <c:v>10.657195</c:v>
                </c:pt>
                <c:pt idx="135">
                  <c:v>14.13974</c:v>
                </c:pt>
                <c:pt idx="136">
                  <c:v>1.045822</c:v>
                </c:pt>
                <c:pt idx="137">
                  <c:v>3.999401999999999</c:v>
                </c:pt>
                <c:pt idx="138">
                  <c:v>1.727031</c:v>
                </c:pt>
                <c:pt idx="139">
                  <c:v>21.740378</c:v>
                </c:pt>
                <c:pt idx="140">
                  <c:v>1.719572</c:v>
                </c:pt>
                <c:pt idx="141">
                  <c:v>10.142351</c:v>
                </c:pt>
                <c:pt idx="142">
                  <c:v>0.756715</c:v>
                </c:pt>
                <c:pt idx="143">
                  <c:v>52.631228</c:v>
                </c:pt>
                <c:pt idx="144">
                  <c:v>19.974615</c:v>
                </c:pt>
                <c:pt idx="145">
                  <c:v>23.908662</c:v>
                </c:pt>
                <c:pt idx="146">
                  <c:v>2.441206</c:v>
                </c:pt>
                <c:pt idx="148">
                  <c:v>9.746474000000001</c:v>
                </c:pt>
                <c:pt idx="149">
                  <c:v>26.911509</c:v>
                </c:pt>
                <c:pt idx="150">
                  <c:v>4.683005</c:v>
                </c:pt>
                <c:pt idx="151">
                  <c:v>8.795072</c:v>
                </c:pt>
                <c:pt idx="152">
                  <c:v>8.124782</c:v>
                </c:pt>
                <c:pt idx="153">
                  <c:v>2.064293</c:v>
                </c:pt>
                <c:pt idx="154">
                  <c:v>7.285547999999999</c:v>
                </c:pt>
                <c:pt idx="155">
                  <c:v>4.629009999999998</c:v>
                </c:pt>
                <c:pt idx="156">
                  <c:v>33.740248</c:v>
                </c:pt>
                <c:pt idx="157">
                  <c:v>37.896799</c:v>
                </c:pt>
                <c:pt idx="158">
                  <c:v>4.315732</c:v>
                </c:pt>
                <c:pt idx="159">
                  <c:v>31.833417</c:v>
                </c:pt>
                <c:pt idx="160">
                  <c:v>1.882082</c:v>
                </c:pt>
                <c:pt idx="161">
                  <c:v>1.279474</c:v>
                </c:pt>
                <c:pt idx="162">
                  <c:v>7.792063</c:v>
                </c:pt>
                <c:pt idx="163">
                  <c:v>0.710558</c:v>
                </c:pt>
                <c:pt idx="164">
                  <c:v>0.774996</c:v>
                </c:pt>
                <c:pt idx="165">
                  <c:v>4.068733</c:v>
                </c:pt>
                <c:pt idx="166">
                  <c:v>23.230433</c:v>
                </c:pt>
                <c:pt idx="167">
                  <c:v>7.715185999999997</c:v>
                </c:pt>
                <c:pt idx="168">
                  <c:v>12.3257</c:v>
                </c:pt>
                <c:pt idx="169">
                  <c:v>7.044517999999997</c:v>
                </c:pt>
                <c:pt idx="170">
                  <c:v>1.055923</c:v>
                </c:pt>
                <c:pt idx="171">
                  <c:v>5.991778</c:v>
                </c:pt>
                <c:pt idx="172">
                  <c:v>51.120954</c:v>
                </c:pt>
                <c:pt idx="173">
                  <c:v>32.339594</c:v>
                </c:pt>
                <c:pt idx="174">
                  <c:v>42.556198</c:v>
                </c:pt>
                <c:pt idx="175">
                  <c:v>12.990735</c:v>
                </c:pt>
                <c:pt idx="176">
                  <c:v>2.782028</c:v>
                </c:pt>
                <c:pt idx="177">
                  <c:v>4.120804999999999</c:v>
                </c:pt>
                <c:pt idx="178">
                  <c:v>10.824368</c:v>
                </c:pt>
                <c:pt idx="179">
                  <c:v>2.811954999999998</c:v>
                </c:pt>
                <c:pt idx="180">
                  <c:v>2.350457</c:v>
                </c:pt>
                <c:pt idx="181">
                  <c:v>1.323894</c:v>
                </c:pt>
              </c:numCache>
            </c:numRef>
          </c:xVal>
          <c:yVal>
            <c:numRef>
              <c:f>'Figure 4.7'!$D$370:$D$552</c:f>
              <c:numCache>
                <c:formatCode>General</c:formatCode>
                <c:ptCount val="183"/>
                <c:pt idx="0">
                  <c:v>41.3858</c:v>
                </c:pt>
                <c:pt idx="1">
                  <c:v>141.92896</c:v>
                </c:pt>
                <c:pt idx="2">
                  <c:v>92.42126</c:v>
                </c:pt>
                <c:pt idx="3">
                  <c:v>46.68924</c:v>
                </c:pt>
                <c:pt idx="4">
                  <c:v>141.78825</c:v>
                </c:pt>
                <c:pt idx="5">
                  <c:v>125.00854</c:v>
                </c:pt>
                <c:pt idx="6">
                  <c:v>101.04011</c:v>
                </c:pt>
                <c:pt idx="7">
                  <c:v>145.83654</c:v>
                </c:pt>
                <c:pt idx="8">
                  <c:v>99.0458</c:v>
                </c:pt>
                <c:pt idx="9">
                  <c:v>124.93606</c:v>
                </c:pt>
                <c:pt idx="10">
                  <c:v>124.18422</c:v>
                </c:pt>
                <c:pt idx="11">
                  <c:v>46.16922</c:v>
                </c:pt>
                <c:pt idx="12">
                  <c:v>128.07219</c:v>
                </c:pt>
                <c:pt idx="13">
                  <c:v>107.68574</c:v>
                </c:pt>
                <c:pt idx="14">
                  <c:v>113.46122</c:v>
                </c:pt>
                <c:pt idx="15">
                  <c:v>62.31841</c:v>
                </c:pt>
                <c:pt idx="16">
                  <c:v>79.94351</c:v>
                </c:pt>
                <c:pt idx="17">
                  <c:v>54.31798999999999</c:v>
                </c:pt>
                <c:pt idx="18">
                  <c:v>72.30012</c:v>
                </c:pt>
                <c:pt idx="19">
                  <c:v>82.71568</c:v>
                </c:pt>
                <c:pt idx="20">
                  <c:v>117.76162</c:v>
                </c:pt>
                <c:pt idx="21">
                  <c:v>104.10244</c:v>
                </c:pt>
                <c:pt idx="22">
                  <c:v>109.07049</c:v>
                </c:pt>
                <c:pt idx="23">
                  <c:v>136.10208</c:v>
                </c:pt>
                <c:pt idx="24">
                  <c:v>34.65875</c:v>
                </c:pt>
                <c:pt idx="25">
                  <c:v>13.72445</c:v>
                </c:pt>
                <c:pt idx="26">
                  <c:v>57.65042</c:v>
                </c:pt>
                <c:pt idx="27">
                  <c:v>44.06705</c:v>
                </c:pt>
                <c:pt idx="28">
                  <c:v>70.66367</c:v>
                </c:pt>
                <c:pt idx="29">
                  <c:v>74.97414</c:v>
                </c:pt>
                <c:pt idx="30">
                  <c:v>22.24996</c:v>
                </c:pt>
                <c:pt idx="31">
                  <c:v>23.82899</c:v>
                </c:pt>
                <c:pt idx="32">
                  <c:v>116.00213</c:v>
                </c:pt>
                <c:pt idx="33">
                  <c:v>64.04089</c:v>
                </c:pt>
                <c:pt idx="34">
                  <c:v>96.07474999999998</c:v>
                </c:pt>
                <c:pt idx="35">
                  <c:v>22.49445</c:v>
                </c:pt>
                <c:pt idx="36">
                  <c:v>17.9189</c:v>
                </c:pt>
                <c:pt idx="37">
                  <c:v>93.9578</c:v>
                </c:pt>
                <c:pt idx="38">
                  <c:v>65.14446</c:v>
                </c:pt>
                <c:pt idx="39">
                  <c:v>76.13214000000001</c:v>
                </c:pt>
                <c:pt idx="40">
                  <c:v>144.48397</c:v>
                </c:pt>
                <c:pt idx="41">
                  <c:v>8.90937</c:v>
                </c:pt>
                <c:pt idx="42">
                  <c:v>93.69580999999998</c:v>
                </c:pt>
                <c:pt idx="43">
                  <c:v>137.16782</c:v>
                </c:pt>
                <c:pt idx="44">
                  <c:v>124.72596</c:v>
                </c:pt>
                <c:pt idx="45">
                  <c:v>18.63509</c:v>
                </c:pt>
                <c:pt idx="46">
                  <c:v>89.57888999999997</c:v>
                </c:pt>
                <c:pt idx="47">
                  <c:v>102.18456</c:v>
                </c:pt>
                <c:pt idx="48">
                  <c:v>87.10561</c:v>
                </c:pt>
                <c:pt idx="49">
                  <c:v>124.33949</c:v>
                </c:pt>
                <c:pt idx="50">
                  <c:v>57.00877</c:v>
                </c:pt>
                <c:pt idx="51">
                  <c:v>3.52658</c:v>
                </c:pt>
                <c:pt idx="52">
                  <c:v>123.23911</c:v>
                </c:pt>
                <c:pt idx="53">
                  <c:v>8.26285</c:v>
                </c:pt>
                <c:pt idx="54">
                  <c:v>81.09474</c:v>
                </c:pt>
                <c:pt idx="55">
                  <c:v>156.3972</c:v>
                </c:pt>
                <c:pt idx="56">
                  <c:v>100.65709</c:v>
                </c:pt>
                <c:pt idx="57">
                  <c:v>106.94384</c:v>
                </c:pt>
                <c:pt idx="58">
                  <c:v>85.53299</c:v>
                </c:pt>
                <c:pt idx="59">
                  <c:v>91.44708</c:v>
                </c:pt>
                <c:pt idx="60">
                  <c:v>127.04358</c:v>
                </c:pt>
                <c:pt idx="61">
                  <c:v>71.48686</c:v>
                </c:pt>
                <c:pt idx="62">
                  <c:v>108.21676</c:v>
                </c:pt>
                <c:pt idx="63">
                  <c:v>116.70926</c:v>
                </c:pt>
                <c:pt idx="64">
                  <c:v>125.56855</c:v>
                </c:pt>
                <c:pt idx="65">
                  <c:v>40.07378</c:v>
                </c:pt>
                <c:pt idx="66">
                  <c:v>39.20872</c:v>
                </c:pt>
                <c:pt idx="67">
                  <c:v>73.61195</c:v>
                </c:pt>
                <c:pt idx="68">
                  <c:v>40.02703</c:v>
                </c:pt>
                <c:pt idx="69">
                  <c:v>125.0581</c:v>
                </c:pt>
                <c:pt idx="70">
                  <c:v>195.56727</c:v>
                </c:pt>
                <c:pt idx="71">
                  <c:v>120.31501</c:v>
                </c:pt>
                <c:pt idx="72">
                  <c:v>106.54128</c:v>
                </c:pt>
                <c:pt idx="73">
                  <c:v>61.4226</c:v>
                </c:pt>
                <c:pt idx="74">
                  <c:v>91.71599</c:v>
                </c:pt>
                <c:pt idx="75">
                  <c:v>91.24873</c:v>
                </c:pt>
                <c:pt idx="76">
                  <c:v>75.77769</c:v>
                </c:pt>
                <c:pt idx="77">
                  <c:v>105.18074</c:v>
                </c:pt>
                <c:pt idx="78">
                  <c:v>133.11496</c:v>
                </c:pt>
                <c:pt idx="79">
                  <c:v>149.63457</c:v>
                </c:pt>
                <c:pt idx="80">
                  <c:v>116.08663</c:v>
                </c:pt>
                <c:pt idx="81">
                  <c:v>95.39479</c:v>
                </c:pt>
                <c:pt idx="82">
                  <c:v>106.99462</c:v>
                </c:pt>
                <c:pt idx="83">
                  <c:v>121.06674</c:v>
                </c:pt>
                <c:pt idx="84">
                  <c:v>61.63228</c:v>
                </c:pt>
                <c:pt idx="85">
                  <c:v>1.77407</c:v>
                </c:pt>
                <c:pt idx="86">
                  <c:v>105.36211</c:v>
                </c:pt>
                <c:pt idx="87">
                  <c:v>160.7757</c:v>
                </c:pt>
                <c:pt idx="88">
                  <c:v>98.89870000000001</c:v>
                </c:pt>
                <c:pt idx="89">
                  <c:v>64.56158</c:v>
                </c:pt>
                <c:pt idx="90">
                  <c:v>102.39958</c:v>
                </c:pt>
                <c:pt idx="91">
                  <c:v>68.0</c:v>
                </c:pt>
                <c:pt idx="92">
                  <c:v>45.47689</c:v>
                </c:pt>
                <c:pt idx="93">
                  <c:v>39.34051</c:v>
                </c:pt>
                <c:pt idx="94">
                  <c:v>171.51547</c:v>
                </c:pt>
                <c:pt idx="95">
                  <c:v>147.15859</c:v>
                </c:pt>
                <c:pt idx="96">
                  <c:v>143.26591</c:v>
                </c:pt>
                <c:pt idx="97">
                  <c:v>104.50663</c:v>
                </c:pt>
                <c:pt idx="98">
                  <c:v>37.22984</c:v>
                </c:pt>
                <c:pt idx="99">
                  <c:v>20.38455</c:v>
                </c:pt>
                <c:pt idx="100">
                  <c:v>119.21756</c:v>
                </c:pt>
                <c:pt idx="101">
                  <c:v>156.49714</c:v>
                </c:pt>
                <c:pt idx="102">
                  <c:v>48.40908</c:v>
                </c:pt>
                <c:pt idx="103">
                  <c:v>109.33916</c:v>
                </c:pt>
                <c:pt idx="104">
                  <c:v>79.33983000000001</c:v>
                </c:pt>
                <c:pt idx="105">
                  <c:v>91.66607999999998</c:v>
                </c:pt>
                <c:pt idx="106">
                  <c:v>80.55043000000001</c:v>
                </c:pt>
                <c:pt idx="107">
                  <c:v>24.77671</c:v>
                </c:pt>
                <c:pt idx="108">
                  <c:v>88.58532999999998</c:v>
                </c:pt>
                <c:pt idx="109">
                  <c:v>91.09104</c:v>
                </c:pt>
                <c:pt idx="110">
                  <c:v>185.27609</c:v>
                </c:pt>
                <c:pt idx="111">
                  <c:v>100.09661</c:v>
                </c:pt>
                <c:pt idx="112">
                  <c:v>30.88474</c:v>
                </c:pt>
                <c:pt idx="113">
                  <c:v>1.23845</c:v>
                </c:pt>
                <c:pt idx="114">
                  <c:v>67.20691</c:v>
                </c:pt>
                <c:pt idx="115">
                  <c:v>30.69345</c:v>
                </c:pt>
                <c:pt idx="116">
                  <c:v>115.44582</c:v>
                </c:pt>
                <c:pt idx="117">
                  <c:v>114.92316</c:v>
                </c:pt>
                <c:pt idx="118">
                  <c:v>65.14174</c:v>
                </c:pt>
                <c:pt idx="119">
                  <c:v>24.53329</c:v>
                </c:pt>
                <c:pt idx="120">
                  <c:v>55.10418</c:v>
                </c:pt>
                <c:pt idx="121">
                  <c:v>115.67775</c:v>
                </c:pt>
                <c:pt idx="122">
                  <c:v>165.54324</c:v>
                </c:pt>
                <c:pt idx="123">
                  <c:v>57.13688</c:v>
                </c:pt>
                <c:pt idx="125">
                  <c:v>184.71673</c:v>
                </c:pt>
                <c:pt idx="126">
                  <c:v>27.83616</c:v>
                </c:pt>
                <c:pt idx="127">
                  <c:v>91.73157</c:v>
                </c:pt>
                <c:pt idx="128">
                  <c:v>100.13288</c:v>
                </c:pt>
                <c:pt idx="129">
                  <c:v>85.66906</c:v>
                </c:pt>
                <c:pt idx="130">
                  <c:v>122.66512</c:v>
                </c:pt>
                <c:pt idx="131">
                  <c:v>142.33333</c:v>
                </c:pt>
                <c:pt idx="132">
                  <c:v>78.26036</c:v>
                </c:pt>
                <c:pt idx="133">
                  <c:v>132.43486</c:v>
                </c:pt>
                <c:pt idx="134">
                  <c:v>114.67735</c:v>
                </c:pt>
                <c:pt idx="135">
                  <c:v>166.26488</c:v>
                </c:pt>
                <c:pt idx="136">
                  <c:v>33.40323</c:v>
                </c:pt>
                <c:pt idx="137">
                  <c:v>91.43494</c:v>
                </c:pt>
                <c:pt idx="138">
                  <c:v>61.97029</c:v>
                </c:pt>
                <c:pt idx="139">
                  <c:v>187.86146</c:v>
                </c:pt>
                <c:pt idx="140">
                  <c:v>67.10551</c:v>
                </c:pt>
                <c:pt idx="141">
                  <c:v>129.18732</c:v>
                </c:pt>
                <c:pt idx="142">
                  <c:v>34.08586</c:v>
                </c:pt>
                <c:pt idx="143">
                  <c:v>145.18272</c:v>
                </c:pt>
                <c:pt idx="144">
                  <c:v>108.4746</c:v>
                </c:pt>
                <c:pt idx="145">
                  <c:v>104.54604</c:v>
                </c:pt>
                <c:pt idx="146">
                  <c:v>5.57467</c:v>
                </c:pt>
                <c:pt idx="147">
                  <c:v>6.94683</c:v>
                </c:pt>
                <c:pt idx="148">
                  <c:v>100.4771</c:v>
                </c:pt>
                <c:pt idx="149">
                  <c:v>111.98872</c:v>
                </c:pt>
                <c:pt idx="150">
                  <c:v>83.21838</c:v>
                </c:pt>
                <c:pt idx="151">
                  <c:v>114.19259</c:v>
                </c:pt>
                <c:pt idx="152">
                  <c:v>120.54092</c:v>
                </c:pt>
                <c:pt idx="153">
                  <c:v>40.53603</c:v>
                </c:pt>
                <c:pt idx="154">
                  <c:v>169.64143</c:v>
                </c:pt>
                <c:pt idx="155">
                  <c:v>61.77617</c:v>
                </c:pt>
                <c:pt idx="156">
                  <c:v>116.05298</c:v>
                </c:pt>
                <c:pt idx="157">
                  <c:v>124.3033</c:v>
                </c:pt>
                <c:pt idx="158">
                  <c:v>57.80922</c:v>
                </c:pt>
                <c:pt idx="159">
                  <c:v>119.91404</c:v>
                </c:pt>
                <c:pt idx="160">
                  <c:v>86.36656</c:v>
                </c:pt>
                <c:pt idx="161">
                  <c:v>46.79589</c:v>
                </c:pt>
                <c:pt idx="162">
                  <c:v>103.61958</c:v>
                </c:pt>
                <c:pt idx="163">
                  <c:v>53.41728999999999</c:v>
                </c:pt>
                <c:pt idx="164">
                  <c:v>40.68539</c:v>
                </c:pt>
                <c:pt idx="165">
                  <c:v>52.18244</c:v>
                </c:pt>
                <c:pt idx="166">
                  <c:v>141.20681</c:v>
                </c:pt>
                <c:pt idx="167">
                  <c:v>106.04213</c:v>
                </c:pt>
                <c:pt idx="168">
                  <c:v>84.904</c:v>
                </c:pt>
                <c:pt idx="169">
                  <c:v>63.41982</c:v>
                </c:pt>
                <c:pt idx="170">
                  <c:v>38.37961</c:v>
                </c:pt>
                <c:pt idx="171">
                  <c:v>118.63922</c:v>
                </c:pt>
                <c:pt idx="172">
                  <c:v>145.45354</c:v>
                </c:pt>
                <c:pt idx="173">
                  <c:v>130.75642</c:v>
                </c:pt>
                <c:pt idx="174">
                  <c:v>89.85645</c:v>
                </c:pt>
                <c:pt idx="175">
                  <c:v>131.71386</c:v>
                </c:pt>
                <c:pt idx="176">
                  <c:v>76.3426</c:v>
                </c:pt>
                <c:pt idx="177">
                  <c:v>119.04812</c:v>
                </c:pt>
                <c:pt idx="178">
                  <c:v>96.20449</c:v>
                </c:pt>
                <c:pt idx="179">
                  <c:v>175.30191</c:v>
                </c:pt>
                <c:pt idx="180">
                  <c:v>46.08666</c:v>
                </c:pt>
                <c:pt idx="181">
                  <c:v>41.6164</c:v>
                </c:pt>
                <c:pt idx="182">
                  <c:v>61.24988</c:v>
                </c:pt>
              </c:numCache>
            </c:numRef>
          </c:yVal>
        </c:ser>
        <c:axId val="812261960"/>
        <c:axId val="812268088"/>
      </c:scatterChart>
      <c:valAx>
        <c:axId val="812261960"/>
        <c:scaling>
          <c:orientation val="minMax"/>
          <c:max val="80.0"/>
        </c:scaling>
        <c:axPos val="b"/>
        <c:title>
          <c:tx>
            <c:rich>
              <a:bodyPr/>
              <a:lstStyle/>
              <a:p>
                <a:pPr>
                  <a:defRPr/>
                </a:pPr>
                <a:r>
                  <a:rPr lang="en-US"/>
                  <a:t>GDP per capita, 2000$ PPP</a:t>
                </a:r>
              </a:p>
            </c:rich>
          </c:tx>
        </c:title>
        <c:numFmt formatCode="General" sourceLinked="1"/>
        <c:tickLblPos val="nextTo"/>
        <c:crossAx val="812268088"/>
        <c:crosses val="autoZero"/>
        <c:crossBetween val="midCat"/>
      </c:valAx>
      <c:valAx>
        <c:axId val="812268088"/>
        <c:scaling>
          <c:orientation val="minMax"/>
          <c:max val="200.0"/>
          <c:min val="0.0"/>
        </c:scaling>
        <c:axPos val="l"/>
        <c:majorGridlines>
          <c:spPr>
            <a:ln>
              <a:noFill/>
            </a:ln>
          </c:spPr>
        </c:majorGridlines>
        <c:title>
          <c:tx>
            <c:rich>
              <a:bodyPr rot="-5400000" vert="horz"/>
              <a:lstStyle/>
              <a:p>
                <a:pPr>
                  <a:defRPr/>
                </a:pPr>
                <a:r>
                  <a:rPr lang="en-US"/>
                  <a:t>Mobile telephone subscriptions</a:t>
                </a:r>
              </a:p>
              <a:p>
                <a:pPr>
                  <a:defRPr/>
                </a:pPr>
                <a:r>
                  <a:rPr lang="en-US"/>
                  <a:t>per 100 persons</a:t>
                </a:r>
              </a:p>
            </c:rich>
          </c:tx>
        </c:title>
        <c:numFmt formatCode="General" sourceLinked="1"/>
        <c:tickLblPos val="nextTo"/>
        <c:crossAx val="812261960"/>
        <c:crosses val="autoZero"/>
        <c:crossBetween val="midCat"/>
      </c:valAx>
    </c:plotArea>
    <c:legend>
      <c:legendPos val="t"/>
    </c:legend>
    <c:plotVisOnly val="1"/>
    <c:dispBlanksAs val="gap"/>
  </c:chart>
  <c:txPr>
    <a:bodyPr/>
    <a:lstStyle/>
    <a:p>
      <a:pPr>
        <a:defRPr sz="1000" b="0">
          <a:latin typeface="Times New Roman"/>
          <a:cs typeface="Times New Roman"/>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11990758967629"/>
          <c:y val="0.086054315362004"/>
          <c:w val="0.844247594050744"/>
          <c:h val="0.808998158401114"/>
        </c:manualLayout>
      </c:layout>
      <c:scatterChart>
        <c:scatterStyle val="lineMarker"/>
        <c:ser>
          <c:idx val="0"/>
          <c:order val="0"/>
          <c:tx>
            <c:strRef>
              <c:f>'Figure 4.8'!$C$33</c:f>
              <c:strCache>
                <c:ptCount val="1"/>
                <c:pt idx="0">
                  <c:v>Actual Index</c:v>
                </c:pt>
              </c:strCache>
            </c:strRef>
          </c:tx>
          <c:spPr>
            <a:ln w="28575">
              <a:noFill/>
            </a:ln>
          </c:spPr>
          <c:xVal>
            <c:numRef>
              <c:f>'Figure 4.8'!$B$34:$B$216</c:f>
              <c:numCache>
                <c:formatCode>General</c:formatCode>
                <c:ptCount val="183"/>
                <c:pt idx="0">
                  <c:v>0.2793</c:v>
                </c:pt>
                <c:pt idx="1">
                  <c:v>0.3202</c:v>
                </c:pt>
                <c:pt idx="2">
                  <c:v>0.3271</c:v>
                </c:pt>
                <c:pt idx="3">
                  <c:v>0.4685</c:v>
                </c:pt>
                <c:pt idx="4">
                  <c:v>0.5748</c:v>
                </c:pt>
                <c:pt idx="5">
                  <c:v>0.5907</c:v>
                </c:pt>
                <c:pt idx="6">
                  <c:v>0.6287</c:v>
                </c:pt>
                <c:pt idx="7">
                  <c:v>0.6301</c:v>
                </c:pt>
                <c:pt idx="8">
                  <c:v>0.6711</c:v>
                </c:pt>
                <c:pt idx="9">
                  <c:v>0.6873</c:v>
                </c:pt>
                <c:pt idx="10">
                  <c:v>0.7171</c:v>
                </c:pt>
                <c:pt idx="11">
                  <c:v>0.7688</c:v>
                </c:pt>
                <c:pt idx="12">
                  <c:v>0.7917</c:v>
                </c:pt>
                <c:pt idx="13">
                  <c:v>0.8044</c:v>
                </c:pt>
                <c:pt idx="14">
                  <c:v>0.8262</c:v>
                </c:pt>
                <c:pt idx="15">
                  <c:v>0.8529</c:v>
                </c:pt>
                <c:pt idx="16">
                  <c:v>0.8925</c:v>
                </c:pt>
                <c:pt idx="17">
                  <c:v>0.9274</c:v>
                </c:pt>
                <c:pt idx="18">
                  <c:v>0.9364</c:v>
                </c:pt>
                <c:pt idx="19">
                  <c:v>0.955</c:v>
                </c:pt>
                <c:pt idx="20">
                  <c:v>0.973</c:v>
                </c:pt>
                <c:pt idx="21">
                  <c:v>0.9851</c:v>
                </c:pt>
                <c:pt idx="22">
                  <c:v>0.9863</c:v>
                </c:pt>
                <c:pt idx="23">
                  <c:v>1.0016</c:v>
                </c:pt>
                <c:pt idx="24">
                  <c:v>1.0706</c:v>
                </c:pt>
                <c:pt idx="25">
                  <c:v>1.1239</c:v>
                </c:pt>
                <c:pt idx="26">
                  <c:v>1.1298</c:v>
                </c:pt>
                <c:pt idx="27">
                  <c:v>1.1346</c:v>
                </c:pt>
                <c:pt idx="28">
                  <c:v>1.174</c:v>
                </c:pt>
                <c:pt idx="29">
                  <c:v>1.193</c:v>
                </c:pt>
                <c:pt idx="30">
                  <c:v>1.2216</c:v>
                </c:pt>
                <c:pt idx="31">
                  <c:v>1.2995</c:v>
                </c:pt>
                <c:pt idx="32">
                  <c:v>1.3108</c:v>
                </c:pt>
                <c:pt idx="33">
                  <c:v>1.3381</c:v>
                </c:pt>
                <c:pt idx="34">
                  <c:v>1.3668</c:v>
                </c:pt>
                <c:pt idx="35">
                  <c:v>1.5249</c:v>
                </c:pt>
                <c:pt idx="36">
                  <c:v>1.5315</c:v>
                </c:pt>
                <c:pt idx="37">
                  <c:v>1.5777</c:v>
                </c:pt>
                <c:pt idx="38">
                  <c:v>1.6025</c:v>
                </c:pt>
                <c:pt idx="39">
                  <c:v>1.669</c:v>
                </c:pt>
                <c:pt idx="40">
                  <c:v>1.6962</c:v>
                </c:pt>
                <c:pt idx="41">
                  <c:v>1.7282</c:v>
                </c:pt>
                <c:pt idx="42">
                  <c:v>1.8137</c:v>
                </c:pt>
                <c:pt idx="43">
                  <c:v>1.8306</c:v>
                </c:pt>
                <c:pt idx="44">
                  <c:v>1.854</c:v>
                </c:pt>
                <c:pt idx="45">
                  <c:v>1.9085</c:v>
                </c:pt>
                <c:pt idx="46">
                  <c:v>1.9264</c:v>
                </c:pt>
                <c:pt idx="47">
                  <c:v>1.952</c:v>
                </c:pt>
                <c:pt idx="48">
                  <c:v>2.0844</c:v>
                </c:pt>
                <c:pt idx="49">
                  <c:v>2.1111</c:v>
                </c:pt>
                <c:pt idx="50">
                  <c:v>2.1536</c:v>
                </c:pt>
                <c:pt idx="51">
                  <c:v>2.1649</c:v>
                </c:pt>
                <c:pt idx="52">
                  <c:v>2.4571</c:v>
                </c:pt>
                <c:pt idx="53">
                  <c:v>2.4671</c:v>
                </c:pt>
                <c:pt idx="54">
                  <c:v>2.4866</c:v>
                </c:pt>
                <c:pt idx="55">
                  <c:v>2.4936</c:v>
                </c:pt>
                <c:pt idx="56">
                  <c:v>2.5156</c:v>
                </c:pt>
                <c:pt idx="57">
                  <c:v>2.7039</c:v>
                </c:pt>
                <c:pt idx="58">
                  <c:v>2.744</c:v>
                </c:pt>
                <c:pt idx="59">
                  <c:v>2.8857</c:v>
                </c:pt>
                <c:pt idx="60">
                  <c:v>2.903</c:v>
                </c:pt>
                <c:pt idx="61">
                  <c:v>3.0026</c:v>
                </c:pt>
                <c:pt idx="62">
                  <c:v>3.0928</c:v>
                </c:pt>
                <c:pt idx="63">
                  <c:v>3.1375</c:v>
                </c:pt>
                <c:pt idx="64">
                  <c:v>3.2431</c:v>
                </c:pt>
                <c:pt idx="65">
                  <c:v>3.2729</c:v>
                </c:pt>
                <c:pt idx="66">
                  <c:v>3.5295</c:v>
                </c:pt>
                <c:pt idx="67">
                  <c:v>3.532</c:v>
                </c:pt>
                <c:pt idx="68">
                  <c:v>3.5467</c:v>
                </c:pt>
                <c:pt idx="69">
                  <c:v>3.6081</c:v>
                </c:pt>
                <c:pt idx="70">
                  <c:v>3.6543</c:v>
                </c:pt>
                <c:pt idx="71">
                  <c:v>3.6864</c:v>
                </c:pt>
                <c:pt idx="72">
                  <c:v>3.7064</c:v>
                </c:pt>
                <c:pt idx="73">
                  <c:v>3.7915</c:v>
                </c:pt>
                <c:pt idx="74">
                  <c:v>3.8272</c:v>
                </c:pt>
                <c:pt idx="75">
                  <c:v>4.0688</c:v>
                </c:pt>
                <c:pt idx="76">
                  <c:v>4.0896</c:v>
                </c:pt>
                <c:pt idx="77">
                  <c:v>4.105</c:v>
                </c:pt>
                <c:pt idx="78">
                  <c:v>4.152899999999998</c:v>
                </c:pt>
                <c:pt idx="79">
                  <c:v>4.2176</c:v>
                </c:pt>
                <c:pt idx="80">
                  <c:v>4.28</c:v>
                </c:pt>
                <c:pt idx="81">
                  <c:v>4.3614</c:v>
                </c:pt>
                <c:pt idx="82">
                  <c:v>4.394399999999998</c:v>
                </c:pt>
                <c:pt idx="83">
                  <c:v>4.695499999999998</c:v>
                </c:pt>
                <c:pt idx="84">
                  <c:v>4.7608</c:v>
                </c:pt>
                <c:pt idx="85">
                  <c:v>5.313499999999999</c:v>
                </c:pt>
                <c:pt idx="86">
                  <c:v>5.387899999999998</c:v>
                </c:pt>
                <c:pt idx="87">
                  <c:v>5.444</c:v>
                </c:pt>
                <c:pt idx="88">
                  <c:v>6.0343</c:v>
                </c:pt>
                <c:pt idx="89">
                  <c:v>6.0769</c:v>
                </c:pt>
                <c:pt idx="90">
                  <c:v>6.2471</c:v>
                </c:pt>
                <c:pt idx="91">
                  <c:v>6.3324</c:v>
                </c:pt>
                <c:pt idx="92">
                  <c:v>6.4608</c:v>
                </c:pt>
                <c:pt idx="93">
                  <c:v>6.494899999999999</c:v>
                </c:pt>
                <c:pt idx="94">
                  <c:v>6.5805</c:v>
                </c:pt>
                <c:pt idx="95">
                  <c:v>6.638899999999999</c:v>
                </c:pt>
                <c:pt idx="96">
                  <c:v>6.686999999999998</c:v>
                </c:pt>
                <c:pt idx="97">
                  <c:v>6.8374</c:v>
                </c:pt>
                <c:pt idx="98">
                  <c:v>6.8418</c:v>
                </c:pt>
                <c:pt idx="99">
                  <c:v>6.91</c:v>
                </c:pt>
                <c:pt idx="100">
                  <c:v>7.205</c:v>
                </c:pt>
                <c:pt idx="101">
                  <c:v>7.2755</c:v>
                </c:pt>
                <c:pt idx="102">
                  <c:v>7.4338</c:v>
                </c:pt>
                <c:pt idx="103">
                  <c:v>7.4592</c:v>
                </c:pt>
                <c:pt idx="104">
                  <c:v>7.4653</c:v>
                </c:pt>
                <c:pt idx="105">
                  <c:v>7.4833</c:v>
                </c:pt>
                <c:pt idx="106">
                  <c:v>7.7995</c:v>
                </c:pt>
                <c:pt idx="107">
                  <c:v>7.9683</c:v>
                </c:pt>
                <c:pt idx="108">
                  <c:v>8.6432</c:v>
                </c:pt>
                <c:pt idx="109">
                  <c:v>8.8898</c:v>
                </c:pt>
                <c:pt idx="110">
                  <c:v>8.9837</c:v>
                </c:pt>
                <c:pt idx="111">
                  <c:v>8.9942</c:v>
                </c:pt>
                <c:pt idx="112">
                  <c:v>9.1137</c:v>
                </c:pt>
                <c:pt idx="113">
                  <c:v>9.1655</c:v>
                </c:pt>
                <c:pt idx="114">
                  <c:v>9.4508</c:v>
                </c:pt>
                <c:pt idx="115">
                  <c:v>9.599</c:v>
                </c:pt>
                <c:pt idx="116">
                  <c:v>9.674</c:v>
                </c:pt>
                <c:pt idx="117">
                  <c:v>10.2615</c:v>
                </c:pt>
                <c:pt idx="118">
                  <c:v>10.3098</c:v>
                </c:pt>
                <c:pt idx="119">
                  <c:v>10.7555</c:v>
                </c:pt>
                <c:pt idx="120">
                  <c:v>10.9304</c:v>
                </c:pt>
                <c:pt idx="121">
                  <c:v>11.3036</c:v>
                </c:pt>
                <c:pt idx="122">
                  <c:v>11.5202</c:v>
                </c:pt>
                <c:pt idx="123">
                  <c:v>11.5251</c:v>
                </c:pt>
                <c:pt idx="124">
                  <c:v>11.5364</c:v>
                </c:pt>
                <c:pt idx="125">
                  <c:v>11.8398</c:v>
                </c:pt>
                <c:pt idx="126">
                  <c:v>11.8691</c:v>
                </c:pt>
                <c:pt idx="127">
                  <c:v>12.1166</c:v>
                </c:pt>
                <c:pt idx="128">
                  <c:v>12.2723</c:v>
                </c:pt>
                <c:pt idx="129">
                  <c:v>12.5391</c:v>
                </c:pt>
                <c:pt idx="130">
                  <c:v>12.7167</c:v>
                </c:pt>
                <c:pt idx="131">
                  <c:v>13.001</c:v>
                </c:pt>
                <c:pt idx="132">
                  <c:v>13.416</c:v>
                </c:pt>
                <c:pt idx="133">
                  <c:v>13.4885</c:v>
                </c:pt>
                <c:pt idx="134">
                  <c:v>14.2895</c:v>
                </c:pt>
                <c:pt idx="135">
                  <c:v>14.7505</c:v>
                </c:pt>
                <c:pt idx="136">
                  <c:v>15.1649</c:v>
                </c:pt>
                <c:pt idx="137">
                  <c:v>15.3392</c:v>
                </c:pt>
                <c:pt idx="138">
                  <c:v>16.0059</c:v>
                </c:pt>
                <c:pt idx="139">
                  <c:v>17.7135</c:v>
                </c:pt>
                <c:pt idx="140">
                  <c:v>19.0361</c:v>
                </c:pt>
                <c:pt idx="141">
                  <c:v>19.2793</c:v>
                </c:pt>
                <c:pt idx="142">
                  <c:v>19.34</c:v>
                </c:pt>
                <c:pt idx="143">
                  <c:v>20.0504</c:v>
                </c:pt>
                <c:pt idx="144">
                  <c:v>20.2099</c:v>
                </c:pt>
                <c:pt idx="145">
                  <c:v>20.6007</c:v>
                </c:pt>
                <c:pt idx="146">
                  <c:v>21.2022</c:v>
                </c:pt>
                <c:pt idx="147">
                  <c:v>21.3402</c:v>
                </c:pt>
                <c:pt idx="148">
                  <c:v>21.7365</c:v>
                </c:pt>
                <c:pt idx="149">
                  <c:v>22.4194</c:v>
                </c:pt>
                <c:pt idx="150">
                  <c:v>23.0808</c:v>
                </c:pt>
                <c:pt idx="151">
                  <c:v>23.6308</c:v>
                </c:pt>
                <c:pt idx="152">
                  <c:v>23.7955</c:v>
                </c:pt>
                <c:pt idx="153">
                  <c:v>23.8651</c:v>
                </c:pt>
                <c:pt idx="154">
                  <c:v>23.8907</c:v>
                </c:pt>
                <c:pt idx="155">
                  <c:v>25.3814</c:v>
                </c:pt>
                <c:pt idx="156">
                  <c:v>26.3449</c:v>
                </c:pt>
                <c:pt idx="157">
                  <c:v>26.4501</c:v>
                </c:pt>
                <c:pt idx="158">
                  <c:v>27.4111</c:v>
                </c:pt>
                <c:pt idx="159">
                  <c:v>27.6306</c:v>
                </c:pt>
                <c:pt idx="160">
                  <c:v>27.7791</c:v>
                </c:pt>
                <c:pt idx="161">
                  <c:v>28.2298</c:v>
                </c:pt>
                <c:pt idx="162">
                  <c:v>28.6787</c:v>
                </c:pt>
                <c:pt idx="163">
                  <c:v>29.0871</c:v>
                </c:pt>
                <c:pt idx="164">
                  <c:v>29.1947</c:v>
                </c:pt>
                <c:pt idx="165">
                  <c:v>29.2943</c:v>
                </c:pt>
                <c:pt idx="166">
                  <c:v>29.7509</c:v>
                </c:pt>
                <c:pt idx="167">
                  <c:v>29.9208</c:v>
                </c:pt>
                <c:pt idx="168">
                  <c:v>30.5187</c:v>
                </c:pt>
                <c:pt idx="169">
                  <c:v>31.2248</c:v>
                </c:pt>
                <c:pt idx="170">
                  <c:v>31.351</c:v>
                </c:pt>
                <c:pt idx="171">
                  <c:v>31.8362</c:v>
                </c:pt>
                <c:pt idx="172">
                  <c:v>32.6082</c:v>
                </c:pt>
                <c:pt idx="173">
                  <c:v>33.6068</c:v>
                </c:pt>
                <c:pt idx="174">
                  <c:v>37.1825</c:v>
                </c:pt>
                <c:pt idx="175">
                  <c:v>37.7388</c:v>
                </c:pt>
                <c:pt idx="176">
                  <c:v>37.7861</c:v>
                </c:pt>
                <c:pt idx="177">
                  <c:v>41.0382</c:v>
                </c:pt>
                <c:pt idx="178">
                  <c:v>41.6013</c:v>
                </c:pt>
                <c:pt idx="179">
                  <c:v>45.334</c:v>
                </c:pt>
                <c:pt idx="180">
                  <c:v>46.6733</c:v>
                </c:pt>
                <c:pt idx="181">
                  <c:v>63.129</c:v>
                </c:pt>
                <c:pt idx="182">
                  <c:v>70.4596</c:v>
                </c:pt>
              </c:numCache>
            </c:numRef>
          </c:xVal>
          <c:yVal>
            <c:numRef>
              <c:f>'Figure 4.8'!$C$34:$C$216</c:f>
              <c:numCache>
                <c:formatCode>General</c:formatCode>
                <c:ptCount val="183"/>
                <c:pt idx="0">
                  <c:v>-1.3279</c:v>
                </c:pt>
                <c:pt idx="1">
                  <c:v>-1.4576</c:v>
                </c:pt>
                <c:pt idx="2">
                  <c:v>-1.3686</c:v>
                </c:pt>
                <c:pt idx="3">
                  <c:v>-1.432</c:v>
                </c:pt>
                <c:pt idx="4">
                  <c:v>-1.6827</c:v>
                </c:pt>
                <c:pt idx="5">
                  <c:v>-1.501</c:v>
                </c:pt>
                <c:pt idx="6">
                  <c:v>-0.99</c:v>
                </c:pt>
                <c:pt idx="7">
                  <c:v>-0.5708</c:v>
                </c:pt>
                <c:pt idx="8">
                  <c:v>-1.4059</c:v>
                </c:pt>
                <c:pt idx="9">
                  <c:v>-2.1567</c:v>
                </c:pt>
                <c:pt idx="10">
                  <c:v>-1.0474</c:v>
                </c:pt>
                <c:pt idx="11">
                  <c:v>-1.9627</c:v>
                </c:pt>
                <c:pt idx="12">
                  <c:v>-1.4151</c:v>
                </c:pt>
                <c:pt idx="13">
                  <c:v>-1.0626</c:v>
                </c:pt>
                <c:pt idx="14">
                  <c:v>-1.4296</c:v>
                </c:pt>
                <c:pt idx="15">
                  <c:v>-1.3337</c:v>
                </c:pt>
                <c:pt idx="16">
                  <c:v>-1.2165</c:v>
                </c:pt>
                <c:pt idx="17">
                  <c:v>-1.0975</c:v>
                </c:pt>
                <c:pt idx="18">
                  <c:v>-1.2798</c:v>
                </c:pt>
                <c:pt idx="19">
                  <c:v>-0.9778</c:v>
                </c:pt>
                <c:pt idx="20">
                  <c:v>-0.6115</c:v>
                </c:pt>
                <c:pt idx="21">
                  <c:v>-2.0684</c:v>
                </c:pt>
                <c:pt idx="22">
                  <c:v>-1.5728</c:v>
                </c:pt>
                <c:pt idx="23">
                  <c:v>-1.0485</c:v>
                </c:pt>
                <c:pt idx="24">
                  <c:v>-0.3867</c:v>
                </c:pt>
                <c:pt idx="25">
                  <c:v>-1.069</c:v>
                </c:pt>
                <c:pt idx="26">
                  <c:v>-1.9974</c:v>
                </c:pt>
                <c:pt idx="27">
                  <c:v>-1.4736</c:v>
                </c:pt>
                <c:pt idx="28">
                  <c:v>-0.5083</c:v>
                </c:pt>
                <c:pt idx="29">
                  <c:v>-0.5179</c:v>
                </c:pt>
                <c:pt idx="30">
                  <c:v>-0.2058</c:v>
                </c:pt>
                <c:pt idx="31">
                  <c:v>-0.9207</c:v>
                </c:pt>
                <c:pt idx="32">
                  <c:v>-0.6807</c:v>
                </c:pt>
                <c:pt idx="33">
                  <c:v>-0.7511</c:v>
                </c:pt>
                <c:pt idx="34">
                  <c:v>-0.6271</c:v>
                </c:pt>
                <c:pt idx="35">
                  <c:v>-0.5449</c:v>
                </c:pt>
                <c:pt idx="36">
                  <c:v>-0.3207</c:v>
                </c:pt>
                <c:pt idx="37">
                  <c:v>-0.963</c:v>
                </c:pt>
                <c:pt idx="38">
                  <c:v>-0.7604</c:v>
                </c:pt>
                <c:pt idx="39">
                  <c:v>0.33</c:v>
                </c:pt>
                <c:pt idx="40">
                  <c:v>-1.0277</c:v>
                </c:pt>
                <c:pt idx="41">
                  <c:v>-0.7502</c:v>
                </c:pt>
                <c:pt idx="42">
                  <c:v>0.2585</c:v>
                </c:pt>
                <c:pt idx="43">
                  <c:v>-1.2435</c:v>
                </c:pt>
                <c:pt idx="44">
                  <c:v>-0.9253</c:v>
                </c:pt>
                <c:pt idx="45">
                  <c:v>-0.999</c:v>
                </c:pt>
                <c:pt idx="46">
                  <c:v>-0.3388</c:v>
                </c:pt>
                <c:pt idx="47">
                  <c:v>-0.0765</c:v>
                </c:pt>
                <c:pt idx="48">
                  <c:v>-0.7121</c:v>
                </c:pt>
                <c:pt idx="49">
                  <c:v>-0.3235</c:v>
                </c:pt>
                <c:pt idx="50">
                  <c:v>-0.1842</c:v>
                </c:pt>
                <c:pt idx="51">
                  <c:v>-1.0189</c:v>
                </c:pt>
                <c:pt idx="52">
                  <c:v>0.1864</c:v>
                </c:pt>
                <c:pt idx="53">
                  <c:v>0.1002</c:v>
                </c:pt>
                <c:pt idx="54">
                  <c:v>-0.4074</c:v>
                </c:pt>
                <c:pt idx="55">
                  <c:v>0.1033</c:v>
                </c:pt>
                <c:pt idx="56">
                  <c:v>0.1374</c:v>
                </c:pt>
                <c:pt idx="57">
                  <c:v>-0.8403</c:v>
                </c:pt>
                <c:pt idx="58">
                  <c:v>0.0766</c:v>
                </c:pt>
                <c:pt idx="59">
                  <c:v>-0.1622</c:v>
                </c:pt>
                <c:pt idx="60">
                  <c:v>-0.3691</c:v>
                </c:pt>
                <c:pt idx="61">
                  <c:v>0.0501</c:v>
                </c:pt>
                <c:pt idx="62">
                  <c:v>0.0857</c:v>
                </c:pt>
                <c:pt idx="63">
                  <c:v>-0.0959</c:v>
                </c:pt>
                <c:pt idx="64">
                  <c:v>0.1421</c:v>
                </c:pt>
                <c:pt idx="65">
                  <c:v>-0.2213</c:v>
                </c:pt>
                <c:pt idx="66">
                  <c:v>-0.3249</c:v>
                </c:pt>
                <c:pt idx="67">
                  <c:v>-1.1156</c:v>
                </c:pt>
                <c:pt idx="68">
                  <c:v>0.1492</c:v>
                </c:pt>
                <c:pt idx="69">
                  <c:v>0.305</c:v>
                </c:pt>
                <c:pt idx="70">
                  <c:v>-0.3649</c:v>
                </c:pt>
                <c:pt idx="71">
                  <c:v>0.1006</c:v>
                </c:pt>
                <c:pt idx="72">
                  <c:v>-0.1306</c:v>
                </c:pt>
                <c:pt idx="73">
                  <c:v>-0.0051</c:v>
                </c:pt>
                <c:pt idx="74">
                  <c:v>0.2465</c:v>
                </c:pt>
                <c:pt idx="75">
                  <c:v>0.1809</c:v>
                </c:pt>
                <c:pt idx="76">
                  <c:v>0.5243</c:v>
                </c:pt>
                <c:pt idx="77">
                  <c:v>-0.2814</c:v>
                </c:pt>
                <c:pt idx="78">
                  <c:v>0.0827</c:v>
                </c:pt>
                <c:pt idx="79">
                  <c:v>0.3604</c:v>
                </c:pt>
                <c:pt idx="80">
                  <c:v>-0.5698</c:v>
                </c:pt>
                <c:pt idx="81">
                  <c:v>0.4344</c:v>
                </c:pt>
                <c:pt idx="82">
                  <c:v>0.1361</c:v>
                </c:pt>
                <c:pt idx="83">
                  <c:v>0.2059</c:v>
                </c:pt>
                <c:pt idx="84">
                  <c:v>0.4409</c:v>
                </c:pt>
                <c:pt idx="85">
                  <c:v>0.3869</c:v>
                </c:pt>
                <c:pt idx="86">
                  <c:v>-0.1428</c:v>
                </c:pt>
                <c:pt idx="87">
                  <c:v>0.1559</c:v>
                </c:pt>
                <c:pt idx="88">
                  <c:v>0.2632</c:v>
                </c:pt>
                <c:pt idx="89">
                  <c:v>0.5514</c:v>
                </c:pt>
                <c:pt idx="90">
                  <c:v>0.1848</c:v>
                </c:pt>
                <c:pt idx="91">
                  <c:v>0.1658</c:v>
                </c:pt>
                <c:pt idx="92">
                  <c:v>0.1873</c:v>
                </c:pt>
                <c:pt idx="93">
                  <c:v>0.4527</c:v>
                </c:pt>
                <c:pt idx="94">
                  <c:v>0.2164</c:v>
                </c:pt>
                <c:pt idx="95">
                  <c:v>0.5951</c:v>
                </c:pt>
                <c:pt idx="96">
                  <c:v>0.1916</c:v>
                </c:pt>
                <c:pt idx="97">
                  <c:v>0.09</c:v>
                </c:pt>
                <c:pt idx="98">
                  <c:v>0.1858</c:v>
                </c:pt>
                <c:pt idx="99">
                  <c:v>0.0677</c:v>
                </c:pt>
                <c:pt idx="100">
                  <c:v>0.6015</c:v>
                </c:pt>
                <c:pt idx="101">
                  <c:v>0.373</c:v>
                </c:pt>
                <c:pt idx="102">
                  <c:v>0.3532</c:v>
                </c:pt>
                <c:pt idx="103">
                  <c:v>0.162</c:v>
                </c:pt>
                <c:pt idx="104">
                  <c:v>0.1882</c:v>
                </c:pt>
                <c:pt idx="105">
                  <c:v>0.022</c:v>
                </c:pt>
                <c:pt idx="106">
                  <c:v>0.4382</c:v>
                </c:pt>
                <c:pt idx="107">
                  <c:v>0.2986</c:v>
                </c:pt>
                <c:pt idx="108">
                  <c:v>0.3648</c:v>
                </c:pt>
                <c:pt idx="109">
                  <c:v>0.1552</c:v>
                </c:pt>
                <c:pt idx="110">
                  <c:v>0.4626</c:v>
                </c:pt>
                <c:pt idx="111">
                  <c:v>0.4433</c:v>
                </c:pt>
                <c:pt idx="112">
                  <c:v>0.2987</c:v>
                </c:pt>
                <c:pt idx="113">
                  <c:v>0.3036</c:v>
                </c:pt>
                <c:pt idx="114">
                  <c:v>0.4391</c:v>
                </c:pt>
                <c:pt idx="115">
                  <c:v>0.2414</c:v>
                </c:pt>
                <c:pt idx="116">
                  <c:v>0.3467</c:v>
                </c:pt>
                <c:pt idx="117">
                  <c:v>0.4925</c:v>
                </c:pt>
                <c:pt idx="118">
                  <c:v>0.6249</c:v>
                </c:pt>
                <c:pt idx="119">
                  <c:v>0.4297</c:v>
                </c:pt>
                <c:pt idx="120">
                  <c:v>0.4737</c:v>
                </c:pt>
                <c:pt idx="121">
                  <c:v>0.3445</c:v>
                </c:pt>
                <c:pt idx="122">
                  <c:v>0.3872</c:v>
                </c:pt>
                <c:pt idx="123">
                  <c:v>0.2422</c:v>
                </c:pt>
                <c:pt idx="124">
                  <c:v>0.5976</c:v>
                </c:pt>
                <c:pt idx="125">
                  <c:v>0.4955</c:v>
                </c:pt>
                <c:pt idx="126">
                  <c:v>0.7619</c:v>
                </c:pt>
                <c:pt idx="127">
                  <c:v>0.4068</c:v>
                </c:pt>
                <c:pt idx="128">
                  <c:v>-0.4273</c:v>
                </c:pt>
                <c:pt idx="129">
                  <c:v>0.3298</c:v>
                </c:pt>
                <c:pt idx="130">
                  <c:v>0.3271</c:v>
                </c:pt>
                <c:pt idx="131">
                  <c:v>-0.048</c:v>
                </c:pt>
                <c:pt idx="132">
                  <c:v>0.4391</c:v>
                </c:pt>
                <c:pt idx="133">
                  <c:v>0.694</c:v>
                </c:pt>
                <c:pt idx="134">
                  <c:v>0.5711</c:v>
                </c:pt>
                <c:pt idx="135">
                  <c:v>0.812</c:v>
                </c:pt>
                <c:pt idx="136">
                  <c:v>0.7338</c:v>
                </c:pt>
                <c:pt idx="137">
                  <c:v>0.7053</c:v>
                </c:pt>
                <c:pt idx="138">
                  <c:v>0.7661</c:v>
                </c:pt>
                <c:pt idx="139">
                  <c:v>0.717</c:v>
                </c:pt>
                <c:pt idx="140">
                  <c:v>0.7663</c:v>
                </c:pt>
                <c:pt idx="141">
                  <c:v>0.3625</c:v>
                </c:pt>
                <c:pt idx="142">
                  <c:v>0.7952</c:v>
                </c:pt>
                <c:pt idx="143">
                  <c:v>0.8373</c:v>
                </c:pt>
                <c:pt idx="144">
                  <c:v>0.8585</c:v>
                </c:pt>
                <c:pt idx="145">
                  <c:v>0.4394</c:v>
                </c:pt>
                <c:pt idx="146">
                  <c:v>0.866</c:v>
                </c:pt>
                <c:pt idx="147">
                  <c:v>0.456</c:v>
                </c:pt>
                <c:pt idx="148">
                  <c:v>0.7875</c:v>
                </c:pt>
                <c:pt idx="149">
                  <c:v>0.7954</c:v>
                </c:pt>
                <c:pt idx="150">
                  <c:v>0.7724</c:v>
                </c:pt>
                <c:pt idx="151">
                  <c:v>0.724</c:v>
                </c:pt>
                <c:pt idx="152">
                  <c:v>0.8152</c:v>
                </c:pt>
                <c:pt idx="153">
                  <c:v>0.785</c:v>
                </c:pt>
                <c:pt idx="154">
                  <c:v>0.6683</c:v>
                </c:pt>
                <c:pt idx="155">
                  <c:v>-0.2075</c:v>
                </c:pt>
                <c:pt idx="156">
                  <c:v>0.606</c:v>
                </c:pt>
                <c:pt idx="157">
                  <c:v>0.8963</c:v>
                </c:pt>
                <c:pt idx="158">
                  <c:v>0.8808</c:v>
                </c:pt>
                <c:pt idx="159">
                  <c:v>0.7689</c:v>
                </c:pt>
                <c:pt idx="160">
                  <c:v>0.8105</c:v>
                </c:pt>
                <c:pt idx="161">
                  <c:v>0.7661</c:v>
                </c:pt>
                <c:pt idx="162">
                  <c:v>0.828</c:v>
                </c:pt>
                <c:pt idx="163">
                  <c:v>0.8485</c:v>
                </c:pt>
                <c:pt idx="164">
                  <c:v>0.9022</c:v>
                </c:pt>
                <c:pt idx="165">
                  <c:v>0.9285</c:v>
                </c:pt>
                <c:pt idx="166">
                  <c:v>0.8445</c:v>
                </c:pt>
                <c:pt idx="167">
                  <c:v>0.889</c:v>
                </c:pt>
                <c:pt idx="168">
                  <c:v>0.7332</c:v>
                </c:pt>
                <c:pt idx="169">
                  <c:v>0.7798</c:v>
                </c:pt>
                <c:pt idx="170">
                  <c:v>0.9279</c:v>
                </c:pt>
                <c:pt idx="171">
                  <c:v>0.8983</c:v>
                </c:pt>
                <c:pt idx="172">
                  <c:v>0.8685</c:v>
                </c:pt>
                <c:pt idx="173">
                  <c:v>0.9101</c:v>
                </c:pt>
                <c:pt idx="174">
                  <c:v>0.6133</c:v>
                </c:pt>
                <c:pt idx="175">
                  <c:v>0.8193</c:v>
                </c:pt>
                <c:pt idx="176">
                  <c:v>0.6109</c:v>
                </c:pt>
                <c:pt idx="177">
                  <c:v>0.6663</c:v>
                </c:pt>
                <c:pt idx="178">
                  <c:v>0.8949</c:v>
                </c:pt>
                <c:pt idx="179">
                  <c:v>0.376</c:v>
                </c:pt>
                <c:pt idx="180">
                  <c:v>0.7431</c:v>
                </c:pt>
                <c:pt idx="181">
                  <c:v>0.9178</c:v>
                </c:pt>
                <c:pt idx="182">
                  <c:v>0.4248</c:v>
                </c:pt>
              </c:numCache>
            </c:numRef>
          </c:yVal>
        </c:ser>
        <c:ser>
          <c:idx val="1"/>
          <c:order val="1"/>
          <c:tx>
            <c:strRef>
              <c:f>'Figure 4.8'!$D$33</c:f>
              <c:strCache>
                <c:ptCount val="1"/>
                <c:pt idx="0">
                  <c:v>Expected Index</c:v>
                </c:pt>
              </c:strCache>
            </c:strRef>
          </c:tx>
          <c:spPr>
            <a:ln w="28575">
              <a:solidFill>
                <a:schemeClr val="tx1"/>
              </a:solidFill>
            </a:ln>
          </c:spPr>
          <c:marker>
            <c:symbol val="none"/>
          </c:marker>
          <c:xVal>
            <c:numRef>
              <c:f>'Figure 4.8'!$B$34:$B$216</c:f>
              <c:numCache>
                <c:formatCode>General</c:formatCode>
                <c:ptCount val="183"/>
                <c:pt idx="0">
                  <c:v>0.2793</c:v>
                </c:pt>
                <c:pt idx="1">
                  <c:v>0.3202</c:v>
                </c:pt>
                <c:pt idx="2">
                  <c:v>0.3271</c:v>
                </c:pt>
                <c:pt idx="3">
                  <c:v>0.4685</c:v>
                </c:pt>
                <c:pt idx="4">
                  <c:v>0.5748</c:v>
                </c:pt>
                <c:pt idx="5">
                  <c:v>0.5907</c:v>
                </c:pt>
                <c:pt idx="6">
                  <c:v>0.6287</c:v>
                </c:pt>
                <c:pt idx="7">
                  <c:v>0.6301</c:v>
                </c:pt>
                <c:pt idx="8">
                  <c:v>0.6711</c:v>
                </c:pt>
                <c:pt idx="9">
                  <c:v>0.6873</c:v>
                </c:pt>
                <c:pt idx="10">
                  <c:v>0.7171</c:v>
                </c:pt>
                <c:pt idx="11">
                  <c:v>0.7688</c:v>
                </c:pt>
                <c:pt idx="12">
                  <c:v>0.7917</c:v>
                </c:pt>
                <c:pt idx="13">
                  <c:v>0.8044</c:v>
                </c:pt>
                <c:pt idx="14">
                  <c:v>0.8262</c:v>
                </c:pt>
                <c:pt idx="15">
                  <c:v>0.8529</c:v>
                </c:pt>
                <c:pt idx="16">
                  <c:v>0.8925</c:v>
                </c:pt>
                <c:pt idx="17">
                  <c:v>0.9274</c:v>
                </c:pt>
                <c:pt idx="18">
                  <c:v>0.9364</c:v>
                </c:pt>
                <c:pt idx="19">
                  <c:v>0.955</c:v>
                </c:pt>
                <c:pt idx="20">
                  <c:v>0.973</c:v>
                </c:pt>
                <c:pt idx="21">
                  <c:v>0.9851</c:v>
                </c:pt>
                <c:pt idx="22">
                  <c:v>0.9863</c:v>
                </c:pt>
                <c:pt idx="23">
                  <c:v>1.0016</c:v>
                </c:pt>
                <c:pt idx="24">
                  <c:v>1.0706</c:v>
                </c:pt>
                <c:pt idx="25">
                  <c:v>1.1239</c:v>
                </c:pt>
                <c:pt idx="26">
                  <c:v>1.1298</c:v>
                </c:pt>
                <c:pt idx="27">
                  <c:v>1.1346</c:v>
                </c:pt>
                <c:pt idx="28">
                  <c:v>1.174</c:v>
                </c:pt>
                <c:pt idx="29">
                  <c:v>1.193</c:v>
                </c:pt>
                <c:pt idx="30">
                  <c:v>1.2216</c:v>
                </c:pt>
                <c:pt idx="31">
                  <c:v>1.2995</c:v>
                </c:pt>
                <c:pt idx="32">
                  <c:v>1.3108</c:v>
                </c:pt>
                <c:pt idx="33">
                  <c:v>1.3381</c:v>
                </c:pt>
                <c:pt idx="34">
                  <c:v>1.3668</c:v>
                </c:pt>
                <c:pt idx="35">
                  <c:v>1.5249</c:v>
                </c:pt>
                <c:pt idx="36">
                  <c:v>1.5315</c:v>
                </c:pt>
                <c:pt idx="37">
                  <c:v>1.5777</c:v>
                </c:pt>
                <c:pt idx="38">
                  <c:v>1.6025</c:v>
                </c:pt>
                <c:pt idx="39">
                  <c:v>1.669</c:v>
                </c:pt>
                <c:pt idx="40">
                  <c:v>1.6962</c:v>
                </c:pt>
                <c:pt idx="41">
                  <c:v>1.7282</c:v>
                </c:pt>
                <c:pt idx="42">
                  <c:v>1.8137</c:v>
                </c:pt>
                <c:pt idx="43">
                  <c:v>1.8306</c:v>
                </c:pt>
                <c:pt idx="44">
                  <c:v>1.854</c:v>
                </c:pt>
                <c:pt idx="45">
                  <c:v>1.9085</c:v>
                </c:pt>
                <c:pt idx="46">
                  <c:v>1.9264</c:v>
                </c:pt>
                <c:pt idx="47">
                  <c:v>1.952</c:v>
                </c:pt>
                <c:pt idx="48">
                  <c:v>2.0844</c:v>
                </c:pt>
                <c:pt idx="49">
                  <c:v>2.1111</c:v>
                </c:pt>
                <c:pt idx="50">
                  <c:v>2.1536</c:v>
                </c:pt>
                <c:pt idx="51">
                  <c:v>2.1649</c:v>
                </c:pt>
                <c:pt idx="52">
                  <c:v>2.4571</c:v>
                </c:pt>
                <c:pt idx="53">
                  <c:v>2.4671</c:v>
                </c:pt>
                <c:pt idx="54">
                  <c:v>2.4866</c:v>
                </c:pt>
                <c:pt idx="55">
                  <c:v>2.4936</c:v>
                </c:pt>
                <c:pt idx="56">
                  <c:v>2.5156</c:v>
                </c:pt>
                <c:pt idx="57">
                  <c:v>2.7039</c:v>
                </c:pt>
                <c:pt idx="58">
                  <c:v>2.744</c:v>
                </c:pt>
                <c:pt idx="59">
                  <c:v>2.8857</c:v>
                </c:pt>
                <c:pt idx="60">
                  <c:v>2.903</c:v>
                </c:pt>
                <c:pt idx="61">
                  <c:v>3.0026</c:v>
                </c:pt>
                <c:pt idx="62">
                  <c:v>3.0928</c:v>
                </c:pt>
                <c:pt idx="63">
                  <c:v>3.1375</c:v>
                </c:pt>
                <c:pt idx="64">
                  <c:v>3.2431</c:v>
                </c:pt>
                <c:pt idx="65">
                  <c:v>3.2729</c:v>
                </c:pt>
                <c:pt idx="66">
                  <c:v>3.5295</c:v>
                </c:pt>
                <c:pt idx="67">
                  <c:v>3.532</c:v>
                </c:pt>
                <c:pt idx="68">
                  <c:v>3.5467</c:v>
                </c:pt>
                <c:pt idx="69">
                  <c:v>3.6081</c:v>
                </c:pt>
                <c:pt idx="70">
                  <c:v>3.6543</c:v>
                </c:pt>
                <c:pt idx="71">
                  <c:v>3.6864</c:v>
                </c:pt>
                <c:pt idx="72">
                  <c:v>3.7064</c:v>
                </c:pt>
                <c:pt idx="73">
                  <c:v>3.7915</c:v>
                </c:pt>
                <c:pt idx="74">
                  <c:v>3.8272</c:v>
                </c:pt>
                <c:pt idx="75">
                  <c:v>4.0688</c:v>
                </c:pt>
                <c:pt idx="76">
                  <c:v>4.0896</c:v>
                </c:pt>
                <c:pt idx="77">
                  <c:v>4.105</c:v>
                </c:pt>
                <c:pt idx="78">
                  <c:v>4.152899999999998</c:v>
                </c:pt>
                <c:pt idx="79">
                  <c:v>4.2176</c:v>
                </c:pt>
                <c:pt idx="80">
                  <c:v>4.28</c:v>
                </c:pt>
                <c:pt idx="81">
                  <c:v>4.3614</c:v>
                </c:pt>
                <c:pt idx="82">
                  <c:v>4.394399999999998</c:v>
                </c:pt>
                <c:pt idx="83">
                  <c:v>4.695499999999998</c:v>
                </c:pt>
                <c:pt idx="84">
                  <c:v>4.7608</c:v>
                </c:pt>
                <c:pt idx="85">
                  <c:v>5.313499999999999</c:v>
                </c:pt>
                <c:pt idx="86">
                  <c:v>5.387899999999998</c:v>
                </c:pt>
                <c:pt idx="87">
                  <c:v>5.444</c:v>
                </c:pt>
                <c:pt idx="88">
                  <c:v>6.0343</c:v>
                </c:pt>
                <c:pt idx="89">
                  <c:v>6.0769</c:v>
                </c:pt>
                <c:pt idx="90">
                  <c:v>6.2471</c:v>
                </c:pt>
                <c:pt idx="91">
                  <c:v>6.3324</c:v>
                </c:pt>
                <c:pt idx="92">
                  <c:v>6.4608</c:v>
                </c:pt>
                <c:pt idx="93">
                  <c:v>6.494899999999999</c:v>
                </c:pt>
                <c:pt idx="94">
                  <c:v>6.5805</c:v>
                </c:pt>
                <c:pt idx="95">
                  <c:v>6.638899999999999</c:v>
                </c:pt>
                <c:pt idx="96">
                  <c:v>6.686999999999998</c:v>
                </c:pt>
                <c:pt idx="97">
                  <c:v>6.8374</c:v>
                </c:pt>
                <c:pt idx="98">
                  <c:v>6.8418</c:v>
                </c:pt>
                <c:pt idx="99">
                  <c:v>6.91</c:v>
                </c:pt>
                <c:pt idx="100">
                  <c:v>7.205</c:v>
                </c:pt>
                <c:pt idx="101">
                  <c:v>7.2755</c:v>
                </c:pt>
                <c:pt idx="102">
                  <c:v>7.4338</c:v>
                </c:pt>
                <c:pt idx="103">
                  <c:v>7.4592</c:v>
                </c:pt>
                <c:pt idx="104">
                  <c:v>7.4653</c:v>
                </c:pt>
                <c:pt idx="105">
                  <c:v>7.4833</c:v>
                </c:pt>
                <c:pt idx="106">
                  <c:v>7.7995</c:v>
                </c:pt>
                <c:pt idx="107">
                  <c:v>7.9683</c:v>
                </c:pt>
                <c:pt idx="108">
                  <c:v>8.6432</c:v>
                </c:pt>
                <c:pt idx="109">
                  <c:v>8.8898</c:v>
                </c:pt>
                <c:pt idx="110">
                  <c:v>8.9837</c:v>
                </c:pt>
                <c:pt idx="111">
                  <c:v>8.9942</c:v>
                </c:pt>
                <c:pt idx="112">
                  <c:v>9.1137</c:v>
                </c:pt>
                <c:pt idx="113">
                  <c:v>9.1655</c:v>
                </c:pt>
                <c:pt idx="114">
                  <c:v>9.4508</c:v>
                </c:pt>
                <c:pt idx="115">
                  <c:v>9.599</c:v>
                </c:pt>
                <c:pt idx="116">
                  <c:v>9.674</c:v>
                </c:pt>
                <c:pt idx="117">
                  <c:v>10.2615</c:v>
                </c:pt>
                <c:pt idx="118">
                  <c:v>10.3098</c:v>
                </c:pt>
                <c:pt idx="119">
                  <c:v>10.7555</c:v>
                </c:pt>
                <c:pt idx="120">
                  <c:v>10.9304</c:v>
                </c:pt>
                <c:pt idx="121">
                  <c:v>11.3036</c:v>
                </c:pt>
                <c:pt idx="122">
                  <c:v>11.5202</c:v>
                </c:pt>
                <c:pt idx="123">
                  <c:v>11.5251</c:v>
                </c:pt>
                <c:pt idx="124">
                  <c:v>11.5364</c:v>
                </c:pt>
                <c:pt idx="125">
                  <c:v>11.8398</c:v>
                </c:pt>
                <c:pt idx="126">
                  <c:v>11.8691</c:v>
                </c:pt>
                <c:pt idx="127">
                  <c:v>12.1166</c:v>
                </c:pt>
                <c:pt idx="128">
                  <c:v>12.2723</c:v>
                </c:pt>
                <c:pt idx="129">
                  <c:v>12.5391</c:v>
                </c:pt>
                <c:pt idx="130">
                  <c:v>12.7167</c:v>
                </c:pt>
                <c:pt idx="131">
                  <c:v>13.001</c:v>
                </c:pt>
                <c:pt idx="132">
                  <c:v>13.416</c:v>
                </c:pt>
                <c:pt idx="133">
                  <c:v>13.4885</c:v>
                </c:pt>
                <c:pt idx="134">
                  <c:v>14.2895</c:v>
                </c:pt>
                <c:pt idx="135">
                  <c:v>14.7505</c:v>
                </c:pt>
                <c:pt idx="136">
                  <c:v>15.1649</c:v>
                </c:pt>
                <c:pt idx="137">
                  <c:v>15.3392</c:v>
                </c:pt>
                <c:pt idx="138">
                  <c:v>16.0059</c:v>
                </c:pt>
                <c:pt idx="139">
                  <c:v>17.7135</c:v>
                </c:pt>
                <c:pt idx="140">
                  <c:v>19.0361</c:v>
                </c:pt>
                <c:pt idx="141">
                  <c:v>19.2793</c:v>
                </c:pt>
                <c:pt idx="142">
                  <c:v>19.34</c:v>
                </c:pt>
                <c:pt idx="143">
                  <c:v>20.0504</c:v>
                </c:pt>
                <c:pt idx="144">
                  <c:v>20.2099</c:v>
                </c:pt>
                <c:pt idx="145">
                  <c:v>20.6007</c:v>
                </c:pt>
                <c:pt idx="146">
                  <c:v>21.2022</c:v>
                </c:pt>
                <c:pt idx="147">
                  <c:v>21.3402</c:v>
                </c:pt>
                <c:pt idx="148">
                  <c:v>21.7365</c:v>
                </c:pt>
                <c:pt idx="149">
                  <c:v>22.4194</c:v>
                </c:pt>
                <c:pt idx="150">
                  <c:v>23.0808</c:v>
                </c:pt>
                <c:pt idx="151">
                  <c:v>23.6308</c:v>
                </c:pt>
                <c:pt idx="152">
                  <c:v>23.7955</c:v>
                </c:pt>
                <c:pt idx="153">
                  <c:v>23.8651</c:v>
                </c:pt>
                <c:pt idx="154">
                  <c:v>23.8907</c:v>
                </c:pt>
                <c:pt idx="155">
                  <c:v>25.3814</c:v>
                </c:pt>
                <c:pt idx="156">
                  <c:v>26.3449</c:v>
                </c:pt>
                <c:pt idx="157">
                  <c:v>26.4501</c:v>
                </c:pt>
                <c:pt idx="158">
                  <c:v>27.4111</c:v>
                </c:pt>
                <c:pt idx="159">
                  <c:v>27.6306</c:v>
                </c:pt>
                <c:pt idx="160">
                  <c:v>27.7791</c:v>
                </c:pt>
                <c:pt idx="161">
                  <c:v>28.2298</c:v>
                </c:pt>
                <c:pt idx="162">
                  <c:v>28.6787</c:v>
                </c:pt>
                <c:pt idx="163">
                  <c:v>29.0871</c:v>
                </c:pt>
                <c:pt idx="164">
                  <c:v>29.1947</c:v>
                </c:pt>
                <c:pt idx="165">
                  <c:v>29.2943</c:v>
                </c:pt>
                <c:pt idx="166">
                  <c:v>29.7509</c:v>
                </c:pt>
                <c:pt idx="167">
                  <c:v>29.9208</c:v>
                </c:pt>
                <c:pt idx="168">
                  <c:v>30.5187</c:v>
                </c:pt>
                <c:pt idx="169">
                  <c:v>31.2248</c:v>
                </c:pt>
                <c:pt idx="170">
                  <c:v>31.351</c:v>
                </c:pt>
                <c:pt idx="171">
                  <c:v>31.8362</c:v>
                </c:pt>
                <c:pt idx="172">
                  <c:v>32.6082</c:v>
                </c:pt>
                <c:pt idx="173">
                  <c:v>33.6068</c:v>
                </c:pt>
                <c:pt idx="174">
                  <c:v>37.1825</c:v>
                </c:pt>
                <c:pt idx="175">
                  <c:v>37.7388</c:v>
                </c:pt>
                <c:pt idx="176">
                  <c:v>37.7861</c:v>
                </c:pt>
                <c:pt idx="177">
                  <c:v>41.0382</c:v>
                </c:pt>
                <c:pt idx="178">
                  <c:v>41.6013</c:v>
                </c:pt>
                <c:pt idx="179">
                  <c:v>45.334</c:v>
                </c:pt>
                <c:pt idx="180">
                  <c:v>46.6733</c:v>
                </c:pt>
                <c:pt idx="181">
                  <c:v>63.129</c:v>
                </c:pt>
                <c:pt idx="182">
                  <c:v>70.4596</c:v>
                </c:pt>
              </c:numCache>
            </c:numRef>
          </c:xVal>
          <c:yVal>
            <c:numRef>
              <c:f>'Figure 4.8'!$D$34:$D$216</c:f>
              <c:numCache>
                <c:formatCode>General</c:formatCode>
                <c:ptCount val="183"/>
                <c:pt idx="0">
                  <c:v>-1.5428</c:v>
                </c:pt>
                <c:pt idx="1">
                  <c:v>-1.4718</c:v>
                </c:pt>
                <c:pt idx="2">
                  <c:v>-1.4607</c:v>
                </c:pt>
                <c:pt idx="3">
                  <c:v>-1.2743</c:v>
                </c:pt>
                <c:pt idx="4">
                  <c:v>-1.1682</c:v>
                </c:pt>
                <c:pt idx="5">
                  <c:v>-1.1541</c:v>
                </c:pt>
                <c:pt idx="6">
                  <c:v>-1.1216</c:v>
                </c:pt>
                <c:pt idx="7">
                  <c:v>-1.1205</c:v>
                </c:pt>
                <c:pt idx="8">
                  <c:v>-1.0878</c:v>
                </c:pt>
                <c:pt idx="9">
                  <c:v>-1.0755</c:v>
                </c:pt>
                <c:pt idx="10">
                  <c:v>-1.0534</c:v>
                </c:pt>
                <c:pt idx="11">
                  <c:v>-1.0173</c:v>
                </c:pt>
                <c:pt idx="12">
                  <c:v>-1.0021</c:v>
                </c:pt>
                <c:pt idx="13">
                  <c:v>-0.9938</c:v>
                </c:pt>
                <c:pt idx="14">
                  <c:v>-0.9799</c:v>
                </c:pt>
                <c:pt idx="15">
                  <c:v>-0.9634</c:v>
                </c:pt>
                <c:pt idx="16">
                  <c:v>-0.9398</c:v>
                </c:pt>
                <c:pt idx="17">
                  <c:v>-0.9199</c:v>
                </c:pt>
                <c:pt idx="18">
                  <c:v>-0.9149</c:v>
                </c:pt>
                <c:pt idx="19">
                  <c:v>-0.9047</c:v>
                </c:pt>
                <c:pt idx="20">
                  <c:v>-0.8951</c:v>
                </c:pt>
                <c:pt idx="21">
                  <c:v>-0.8886</c:v>
                </c:pt>
                <c:pt idx="22">
                  <c:v>-0.888</c:v>
                </c:pt>
                <c:pt idx="23">
                  <c:v>-0.88</c:v>
                </c:pt>
                <c:pt idx="24">
                  <c:v>-0.8455</c:v>
                </c:pt>
                <c:pt idx="25">
                  <c:v>-0.8203</c:v>
                </c:pt>
                <c:pt idx="26">
                  <c:v>-0.8175</c:v>
                </c:pt>
                <c:pt idx="27">
                  <c:v>-0.8153</c:v>
                </c:pt>
                <c:pt idx="28">
                  <c:v>-0.7976</c:v>
                </c:pt>
                <c:pt idx="29">
                  <c:v>-0.7893</c:v>
                </c:pt>
                <c:pt idx="30">
                  <c:v>-0.777</c:v>
                </c:pt>
                <c:pt idx="31">
                  <c:v>-0.7449</c:v>
                </c:pt>
                <c:pt idx="32">
                  <c:v>-0.7404</c:v>
                </c:pt>
                <c:pt idx="33">
                  <c:v>-0.7297</c:v>
                </c:pt>
                <c:pt idx="34">
                  <c:v>-0.7187</c:v>
                </c:pt>
                <c:pt idx="35">
                  <c:v>-0.6619</c:v>
                </c:pt>
                <c:pt idx="36">
                  <c:v>-0.6596</c:v>
                </c:pt>
                <c:pt idx="37">
                  <c:v>-0.6442</c:v>
                </c:pt>
                <c:pt idx="38">
                  <c:v>-0.6362</c:v>
                </c:pt>
                <c:pt idx="39">
                  <c:v>-0.615</c:v>
                </c:pt>
                <c:pt idx="40">
                  <c:v>-0.6067</c:v>
                </c:pt>
                <c:pt idx="41">
                  <c:v>-0.597</c:v>
                </c:pt>
                <c:pt idx="42">
                  <c:v>-0.5719</c:v>
                </c:pt>
                <c:pt idx="43">
                  <c:v>-0.5671</c:v>
                </c:pt>
                <c:pt idx="44">
                  <c:v>-0.5605</c:v>
                </c:pt>
                <c:pt idx="45">
                  <c:v>-0.5455</c:v>
                </c:pt>
                <c:pt idx="46">
                  <c:v>-0.5406</c:v>
                </c:pt>
                <c:pt idx="47">
                  <c:v>-0.5338</c:v>
                </c:pt>
                <c:pt idx="48">
                  <c:v>-0.4997</c:v>
                </c:pt>
                <c:pt idx="49">
                  <c:v>-0.4931</c:v>
                </c:pt>
                <c:pt idx="50">
                  <c:v>-0.4828</c:v>
                </c:pt>
                <c:pt idx="51">
                  <c:v>-0.4801</c:v>
                </c:pt>
                <c:pt idx="52">
                  <c:v>-0.4144</c:v>
                </c:pt>
                <c:pt idx="53">
                  <c:v>-0.4122</c:v>
                </c:pt>
                <c:pt idx="54">
                  <c:v>-0.4081</c:v>
                </c:pt>
                <c:pt idx="55">
                  <c:v>-0.4067</c:v>
                </c:pt>
                <c:pt idx="56">
                  <c:v>-0.4021</c:v>
                </c:pt>
                <c:pt idx="57">
                  <c:v>-0.3647</c:v>
                </c:pt>
                <c:pt idx="58">
                  <c:v>-0.357</c:v>
                </c:pt>
                <c:pt idx="59">
                  <c:v>-0.3309</c:v>
                </c:pt>
                <c:pt idx="60">
                  <c:v>-0.3278</c:v>
                </c:pt>
                <c:pt idx="61">
                  <c:v>-0.3103</c:v>
                </c:pt>
                <c:pt idx="62">
                  <c:v>-0.2949</c:v>
                </c:pt>
                <c:pt idx="63">
                  <c:v>-0.2875</c:v>
                </c:pt>
                <c:pt idx="64">
                  <c:v>-0.2703</c:v>
                </c:pt>
                <c:pt idx="65">
                  <c:v>-0.2656</c:v>
                </c:pt>
                <c:pt idx="66">
                  <c:v>-0.2264</c:v>
                </c:pt>
                <c:pt idx="67">
                  <c:v>-0.226</c:v>
                </c:pt>
                <c:pt idx="68">
                  <c:v>-0.2239</c:v>
                </c:pt>
                <c:pt idx="69">
                  <c:v>-0.215</c:v>
                </c:pt>
                <c:pt idx="70">
                  <c:v>-0.2084</c:v>
                </c:pt>
                <c:pt idx="71">
                  <c:v>-0.2038</c:v>
                </c:pt>
                <c:pt idx="72">
                  <c:v>-0.201</c:v>
                </c:pt>
                <c:pt idx="73">
                  <c:v>-0.1892</c:v>
                </c:pt>
                <c:pt idx="74">
                  <c:v>-0.1844</c:v>
                </c:pt>
                <c:pt idx="75">
                  <c:v>-0.1526</c:v>
                </c:pt>
                <c:pt idx="76">
                  <c:v>-0.15</c:v>
                </c:pt>
                <c:pt idx="77">
                  <c:v>-0.148</c:v>
                </c:pt>
                <c:pt idx="78">
                  <c:v>-0.142</c:v>
                </c:pt>
                <c:pt idx="79">
                  <c:v>-0.134</c:v>
                </c:pt>
                <c:pt idx="80">
                  <c:v>-0.1264</c:v>
                </c:pt>
                <c:pt idx="81">
                  <c:v>-0.1166</c:v>
                </c:pt>
                <c:pt idx="82">
                  <c:v>-0.1127</c:v>
                </c:pt>
                <c:pt idx="83">
                  <c:v>-0.0783</c:v>
                </c:pt>
                <c:pt idx="84">
                  <c:v>-0.0711</c:v>
                </c:pt>
                <c:pt idx="85">
                  <c:v>-0.0104</c:v>
                </c:pt>
                <c:pt idx="86">
                  <c:v>-0.0023</c:v>
                </c:pt>
                <c:pt idx="87">
                  <c:v>0.0037</c:v>
                </c:pt>
                <c:pt idx="88">
                  <c:v>0.0631</c:v>
                </c:pt>
                <c:pt idx="89">
                  <c:v>0.0672</c:v>
                </c:pt>
                <c:pt idx="90">
                  <c:v>0.0831</c:v>
                </c:pt>
                <c:pt idx="91">
                  <c:v>0.0909</c:v>
                </c:pt>
                <c:pt idx="92">
                  <c:v>0.1024</c:v>
                </c:pt>
                <c:pt idx="93">
                  <c:v>0.1054</c:v>
                </c:pt>
                <c:pt idx="94">
                  <c:v>0.1129</c:v>
                </c:pt>
                <c:pt idx="95">
                  <c:v>0.118</c:v>
                </c:pt>
                <c:pt idx="96">
                  <c:v>0.1221</c:v>
                </c:pt>
                <c:pt idx="97">
                  <c:v>0.1348</c:v>
                </c:pt>
                <c:pt idx="98">
                  <c:v>0.1352</c:v>
                </c:pt>
                <c:pt idx="99">
                  <c:v>0.1408</c:v>
                </c:pt>
                <c:pt idx="100">
                  <c:v>0.1646</c:v>
                </c:pt>
                <c:pt idx="101">
                  <c:v>0.1702</c:v>
                </c:pt>
                <c:pt idx="102">
                  <c:v>0.1824</c:v>
                </c:pt>
                <c:pt idx="103">
                  <c:v>0.1843</c:v>
                </c:pt>
                <c:pt idx="104">
                  <c:v>0.1848</c:v>
                </c:pt>
                <c:pt idx="105">
                  <c:v>0.1861</c:v>
                </c:pt>
                <c:pt idx="106">
                  <c:v>0.2095</c:v>
                </c:pt>
                <c:pt idx="107">
                  <c:v>0.2216</c:v>
                </c:pt>
                <c:pt idx="108">
                  <c:v>0.267</c:v>
                </c:pt>
                <c:pt idx="109">
                  <c:v>0.2827</c:v>
                </c:pt>
                <c:pt idx="110">
                  <c:v>0.2885</c:v>
                </c:pt>
                <c:pt idx="111">
                  <c:v>0.2891</c:v>
                </c:pt>
                <c:pt idx="112">
                  <c:v>0.2964</c:v>
                </c:pt>
                <c:pt idx="113">
                  <c:v>0.2995</c:v>
                </c:pt>
                <c:pt idx="114">
                  <c:v>0.3164</c:v>
                </c:pt>
                <c:pt idx="115">
                  <c:v>0.3249</c:v>
                </c:pt>
                <c:pt idx="116">
                  <c:v>0.3292</c:v>
                </c:pt>
                <c:pt idx="117">
                  <c:v>0.3613</c:v>
                </c:pt>
                <c:pt idx="118">
                  <c:v>0.3638</c:v>
                </c:pt>
                <c:pt idx="119">
                  <c:v>0.3866</c:v>
                </c:pt>
                <c:pt idx="120">
                  <c:v>0.3952</c:v>
                </c:pt>
                <c:pt idx="121">
                  <c:v>0.413</c:v>
                </c:pt>
                <c:pt idx="122">
                  <c:v>0.4231</c:v>
                </c:pt>
                <c:pt idx="123">
                  <c:v>0.4233</c:v>
                </c:pt>
                <c:pt idx="124">
                  <c:v>0.4238</c:v>
                </c:pt>
                <c:pt idx="125">
                  <c:v>0.4375</c:v>
                </c:pt>
                <c:pt idx="126">
                  <c:v>0.4388</c:v>
                </c:pt>
                <c:pt idx="127">
                  <c:v>0.4495</c:v>
                </c:pt>
                <c:pt idx="128">
                  <c:v>0.4562</c:v>
                </c:pt>
                <c:pt idx="129">
                  <c:v>0.4673</c:v>
                </c:pt>
                <c:pt idx="130">
                  <c:v>0.4745</c:v>
                </c:pt>
                <c:pt idx="131">
                  <c:v>0.4858</c:v>
                </c:pt>
                <c:pt idx="132">
                  <c:v>0.5017</c:v>
                </c:pt>
                <c:pt idx="133">
                  <c:v>0.5045</c:v>
                </c:pt>
                <c:pt idx="134">
                  <c:v>0.5332</c:v>
                </c:pt>
                <c:pt idx="135">
                  <c:v>0.5488</c:v>
                </c:pt>
                <c:pt idx="136">
                  <c:v>0.5622</c:v>
                </c:pt>
                <c:pt idx="137">
                  <c:v>0.5677</c:v>
                </c:pt>
                <c:pt idx="138">
                  <c:v>0.5879</c:v>
                </c:pt>
                <c:pt idx="139">
                  <c:v>0.6343</c:v>
                </c:pt>
                <c:pt idx="140">
                  <c:v>0.6657</c:v>
                </c:pt>
                <c:pt idx="141">
                  <c:v>0.671</c:v>
                </c:pt>
                <c:pt idx="142">
                  <c:v>0.6724</c:v>
                </c:pt>
                <c:pt idx="143">
                  <c:v>0.6873</c:v>
                </c:pt>
                <c:pt idx="144">
                  <c:v>0.6906</c:v>
                </c:pt>
                <c:pt idx="145">
                  <c:v>0.6983</c:v>
                </c:pt>
                <c:pt idx="146">
                  <c:v>0.7097</c:v>
                </c:pt>
                <c:pt idx="147">
                  <c:v>0.7122</c:v>
                </c:pt>
                <c:pt idx="148">
                  <c:v>0.7193</c:v>
                </c:pt>
                <c:pt idx="149">
                  <c:v>0.7309</c:v>
                </c:pt>
                <c:pt idx="150">
                  <c:v>0.7415</c:v>
                </c:pt>
                <c:pt idx="151">
                  <c:v>0.7499</c:v>
                </c:pt>
                <c:pt idx="152">
                  <c:v>0.7523</c:v>
                </c:pt>
                <c:pt idx="153">
                  <c:v>0.7533</c:v>
                </c:pt>
                <c:pt idx="154">
                  <c:v>0.7537</c:v>
                </c:pt>
                <c:pt idx="155">
                  <c:v>0.7738</c:v>
                </c:pt>
                <c:pt idx="156">
                  <c:v>0.7853</c:v>
                </c:pt>
                <c:pt idx="157">
                  <c:v>0.7865</c:v>
                </c:pt>
                <c:pt idx="158">
                  <c:v>0.7969</c:v>
                </c:pt>
                <c:pt idx="159">
                  <c:v>0.7991</c:v>
                </c:pt>
                <c:pt idx="160">
                  <c:v>0.8006</c:v>
                </c:pt>
                <c:pt idx="161">
                  <c:v>0.8049</c:v>
                </c:pt>
                <c:pt idx="162">
                  <c:v>0.8091</c:v>
                </c:pt>
                <c:pt idx="163">
                  <c:v>0.8127</c:v>
                </c:pt>
                <c:pt idx="164">
                  <c:v>0.8136</c:v>
                </c:pt>
                <c:pt idx="165">
                  <c:v>0.8144</c:v>
                </c:pt>
                <c:pt idx="166">
                  <c:v>0.8182</c:v>
                </c:pt>
                <c:pt idx="167">
                  <c:v>0.8195</c:v>
                </c:pt>
                <c:pt idx="168">
                  <c:v>0.824</c:v>
                </c:pt>
                <c:pt idx="169">
                  <c:v>0.829</c:v>
                </c:pt>
                <c:pt idx="170">
                  <c:v>0.8298</c:v>
                </c:pt>
                <c:pt idx="171">
                  <c:v>0.8329</c:v>
                </c:pt>
                <c:pt idx="172">
                  <c:v>0.8374</c:v>
                </c:pt>
                <c:pt idx="173">
                  <c:v>0.8426</c:v>
                </c:pt>
                <c:pt idx="174">
                  <c:v>0.8552</c:v>
                </c:pt>
                <c:pt idx="175">
                  <c:v>0.8564</c:v>
                </c:pt>
                <c:pt idx="176">
                  <c:v>0.8565</c:v>
                </c:pt>
                <c:pt idx="177">
                  <c:v>0.8652</c:v>
                </c:pt>
                <c:pt idx="178">
                  <c:v>0.8683</c:v>
                </c:pt>
                <c:pt idx="179">
                  <c:v>0.8876</c:v>
                </c:pt>
                <c:pt idx="180">
                  <c:v>0.8942</c:v>
                </c:pt>
                <c:pt idx="181">
                  <c:v>0.9623</c:v>
                </c:pt>
                <c:pt idx="182">
                  <c:v>0.9871</c:v>
                </c:pt>
              </c:numCache>
            </c:numRef>
          </c:yVal>
        </c:ser>
        <c:axId val="766119064"/>
        <c:axId val="741193000"/>
      </c:scatterChart>
      <c:valAx>
        <c:axId val="766119064"/>
        <c:scaling>
          <c:orientation val="minMax"/>
          <c:max val="75.0"/>
          <c:min val="0.0"/>
        </c:scaling>
        <c:axPos val="b"/>
        <c:title>
          <c:tx>
            <c:rich>
              <a:bodyPr/>
              <a:lstStyle/>
              <a:p>
                <a:pPr>
                  <a:defRPr b="0"/>
                </a:pPr>
                <a:r>
                  <a:rPr lang="en-US" b="0"/>
                  <a:t>GDP per capita (2010)</a:t>
                </a:r>
              </a:p>
            </c:rich>
          </c:tx>
        </c:title>
        <c:numFmt formatCode="General" sourceLinked="1"/>
        <c:tickLblPos val="nextTo"/>
        <c:crossAx val="741193000"/>
        <c:crosses val="autoZero"/>
        <c:crossBetween val="midCat"/>
      </c:valAx>
      <c:valAx>
        <c:axId val="741193000"/>
        <c:scaling>
          <c:orientation val="minMax"/>
        </c:scaling>
        <c:axPos val="l"/>
        <c:majorGridlines/>
        <c:title>
          <c:tx>
            <c:rich>
              <a:bodyPr/>
              <a:lstStyle/>
              <a:p>
                <a:pPr>
                  <a:defRPr b="0"/>
                </a:pPr>
                <a:r>
                  <a:rPr lang="en-US" b="0"/>
                  <a:t>Traditional infrastructure index</a:t>
                </a:r>
              </a:p>
            </c:rich>
          </c:tx>
        </c:title>
        <c:numFmt formatCode="General" sourceLinked="1"/>
        <c:tickLblPos val="nextTo"/>
        <c:crossAx val="766119064"/>
        <c:crosses val="autoZero"/>
        <c:crossBetween val="midCat"/>
      </c:valAx>
    </c:plotArea>
    <c:legend>
      <c:legendPos val="t"/>
      <c:layout>
        <c:manualLayout>
          <c:xMode val="edge"/>
          <c:yMode val="edge"/>
          <c:x val="0.285920457859434"/>
          <c:y val="0.0187406296851574"/>
          <c:w val="0.45130723242928"/>
          <c:h val="0.0673136856768466"/>
        </c:manualLayout>
      </c:layout>
    </c:legend>
    <c:plotVisOnly val="1"/>
    <c:dispBlanksAs val="gap"/>
  </c:chart>
  <c:txPr>
    <a:bodyPr/>
    <a:lstStyle/>
    <a:p>
      <a:pPr>
        <a:defRPr>
          <a:latin typeface="Times New Roman"/>
          <a:cs typeface="Times New Roman"/>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193674540682415"/>
          <c:y val="0.135319335083115"/>
          <c:w val="0.717436570428696"/>
          <c:h val="0.614922134733158"/>
        </c:manualLayout>
      </c:layout>
      <c:scatterChart>
        <c:scatterStyle val="smoothMarker"/>
        <c:ser>
          <c:idx val="10"/>
          <c:order val="0"/>
          <c:tx>
            <c:strRef>
              <c:f>'Figure 5.1'!$L$41</c:f>
              <c:strCache>
                <c:ptCount val="1"/>
                <c:pt idx="0">
                  <c:v>Mobile broadband subscriptions</c:v>
                </c:pt>
              </c:strCache>
            </c:strRef>
          </c:tx>
          <c:marker>
            <c:symbol val="none"/>
          </c:marker>
          <c:xVal>
            <c:numRef>
              <c:f>'Figure 5.1'!$A$42:$A$92</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xVal>
          <c:yVal>
            <c:numRef>
              <c:f>'Figure 5.1'!$L$42:$L$92</c:f>
              <c:numCache>
                <c:formatCode>0.00</c:formatCode>
                <c:ptCount val="51"/>
                <c:pt idx="0">
                  <c:v>1.0</c:v>
                </c:pt>
                <c:pt idx="1">
                  <c:v>1.206976156641713</c:v>
                </c:pt>
                <c:pt idx="2">
                  <c:v>1.450068842011384</c:v>
                </c:pt>
                <c:pt idx="3">
                  <c:v>1.749689799443081</c:v>
                </c:pt>
                <c:pt idx="4">
                  <c:v>2.129248157052944</c:v>
                </c:pt>
                <c:pt idx="5">
                  <c:v>2.590060987377869</c:v>
                </c:pt>
                <c:pt idx="6">
                  <c:v>3.160788181813937</c:v>
                </c:pt>
                <c:pt idx="7">
                  <c:v>3.861699240230772</c:v>
                </c:pt>
                <c:pt idx="8">
                  <c:v>4.670813314849718</c:v>
                </c:pt>
                <c:pt idx="9">
                  <c:v>5.547389893576862</c:v>
                </c:pt>
                <c:pt idx="10">
                  <c:v>6.43419816123546</c:v>
                </c:pt>
                <c:pt idx="11">
                  <c:v>7.279069101057595</c:v>
                </c:pt>
                <c:pt idx="12">
                  <c:v>8.057961536542173</c:v>
                </c:pt>
                <c:pt idx="13">
                  <c:v>8.75581505721987</c:v>
                </c:pt>
                <c:pt idx="14">
                  <c:v>9.37931965190308</c:v>
                </c:pt>
                <c:pt idx="15">
                  <c:v>9.94231311424454</c:v>
                </c:pt>
                <c:pt idx="16">
                  <c:v>10.45719092882342</c:v>
                </c:pt>
                <c:pt idx="17">
                  <c:v>10.9383622104654</c:v>
                </c:pt>
                <c:pt idx="18">
                  <c:v>11.38618601864598</c:v>
                </c:pt>
                <c:pt idx="19">
                  <c:v>11.80927567529341</c:v>
                </c:pt>
                <c:pt idx="20">
                  <c:v>12.21043433313532</c:v>
                </c:pt>
                <c:pt idx="21">
                  <c:v>12.5931066567788</c:v>
                </c:pt>
                <c:pt idx="22">
                  <c:v>12.95383519848806</c:v>
                </c:pt>
                <c:pt idx="23">
                  <c:v>13.29185987989487</c:v>
                </c:pt>
                <c:pt idx="24">
                  <c:v>13.60372154745042</c:v>
                </c:pt>
                <c:pt idx="25">
                  <c:v>13.88777769569372</c:v>
                </c:pt>
                <c:pt idx="26">
                  <c:v>14.14956310081132</c:v>
                </c:pt>
                <c:pt idx="27">
                  <c:v>14.38749385635796</c:v>
                </c:pt>
                <c:pt idx="28">
                  <c:v>14.60229123415555</c:v>
                </c:pt>
                <c:pt idx="29">
                  <c:v>14.79404039766056</c:v>
                </c:pt>
                <c:pt idx="30">
                  <c:v>14.96199890203193</c:v>
                </c:pt>
                <c:pt idx="31">
                  <c:v>15.09995745040622</c:v>
                </c:pt>
                <c:pt idx="32">
                  <c:v>15.21544354648501</c:v>
                </c:pt>
                <c:pt idx="33">
                  <c:v>15.31480411797034</c:v>
                </c:pt>
                <c:pt idx="34">
                  <c:v>15.40478421263842</c:v>
                </c:pt>
                <c:pt idx="35">
                  <c:v>15.49218479332696</c:v>
                </c:pt>
                <c:pt idx="36">
                  <c:v>15.5730422515048</c:v>
                </c:pt>
                <c:pt idx="37">
                  <c:v>15.64853330479823</c:v>
                </c:pt>
                <c:pt idx="38">
                  <c:v>15.72389663205331</c:v>
                </c:pt>
                <c:pt idx="39">
                  <c:v>15.79860091758298</c:v>
                </c:pt>
                <c:pt idx="40">
                  <c:v>15.86298527063214</c:v>
                </c:pt>
                <c:pt idx="41">
                  <c:v>15.92303186715113</c:v>
                </c:pt>
                <c:pt idx="42">
                  <c:v>15.97874508279945</c:v>
                </c:pt>
                <c:pt idx="43">
                  <c:v>16.03917624022265</c:v>
                </c:pt>
                <c:pt idx="44">
                  <c:v>16.09119080091262</c:v>
                </c:pt>
                <c:pt idx="45">
                  <c:v>16.14181256163838</c:v>
                </c:pt>
                <c:pt idx="46">
                  <c:v>16.19323662103199</c:v>
                </c:pt>
                <c:pt idx="47">
                  <c:v>16.23686465365205</c:v>
                </c:pt>
                <c:pt idx="48">
                  <c:v>16.27679011919652</c:v>
                </c:pt>
                <c:pt idx="49">
                  <c:v>16.32312553179295</c:v>
                </c:pt>
                <c:pt idx="50">
                  <c:v>16.35954136571925</c:v>
                </c:pt>
              </c:numCache>
            </c:numRef>
          </c:yVal>
          <c:smooth val="1"/>
        </c:ser>
        <c:ser>
          <c:idx val="8"/>
          <c:order val="1"/>
          <c:tx>
            <c:strRef>
              <c:f>'Figure 5.1'!$J$41</c:f>
              <c:strCache>
                <c:ptCount val="1"/>
                <c:pt idx="0">
                  <c:v>Fixed broadband subscriptions</c:v>
                </c:pt>
              </c:strCache>
            </c:strRef>
          </c:tx>
          <c:marker>
            <c:symbol val="none"/>
          </c:marker>
          <c:xVal>
            <c:numRef>
              <c:f>'Figure 5.1'!$A$42:$A$92</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xVal>
          <c:yVal>
            <c:numRef>
              <c:f>'Figure 5.1'!$J$42:$J$92</c:f>
              <c:numCache>
                <c:formatCode>0.00</c:formatCode>
                <c:ptCount val="51"/>
                <c:pt idx="0">
                  <c:v>1.0</c:v>
                </c:pt>
                <c:pt idx="1">
                  <c:v>1.116052947818908</c:v>
                </c:pt>
                <c:pt idx="2">
                  <c:v>1.248133070254273</c:v>
                </c:pt>
                <c:pt idx="3">
                  <c:v>1.391006605713066</c:v>
                </c:pt>
                <c:pt idx="4">
                  <c:v>1.533589685295048</c:v>
                </c:pt>
                <c:pt idx="5">
                  <c:v>1.675779640282277</c:v>
                </c:pt>
                <c:pt idx="6">
                  <c:v>1.814259979449598</c:v>
                </c:pt>
                <c:pt idx="7">
                  <c:v>1.95012787915984</c:v>
                </c:pt>
                <c:pt idx="8">
                  <c:v>2.083341975492557</c:v>
                </c:pt>
                <c:pt idx="9">
                  <c:v>2.216457366155409</c:v>
                </c:pt>
                <c:pt idx="10">
                  <c:v>2.350292682711271</c:v>
                </c:pt>
                <c:pt idx="11">
                  <c:v>2.485515482433395</c:v>
                </c:pt>
                <c:pt idx="12">
                  <c:v>2.623526462881243</c:v>
                </c:pt>
                <c:pt idx="13">
                  <c:v>2.764751236478547</c:v>
                </c:pt>
                <c:pt idx="14">
                  <c:v>2.910611493723865</c:v>
                </c:pt>
                <c:pt idx="15">
                  <c:v>3.060285137907493</c:v>
                </c:pt>
                <c:pt idx="16">
                  <c:v>3.213008675881042</c:v>
                </c:pt>
                <c:pt idx="17">
                  <c:v>3.370099766517505</c:v>
                </c:pt>
                <c:pt idx="18">
                  <c:v>3.531204657765978</c:v>
                </c:pt>
                <c:pt idx="19">
                  <c:v>3.694642274559364</c:v>
                </c:pt>
                <c:pt idx="20">
                  <c:v>3.862054464610372</c:v>
                </c:pt>
                <c:pt idx="21">
                  <c:v>4.033080017135069</c:v>
                </c:pt>
                <c:pt idx="22">
                  <c:v>4.207807389817966</c:v>
                </c:pt>
                <c:pt idx="23">
                  <c:v>4.384644132665115</c:v>
                </c:pt>
                <c:pt idx="24">
                  <c:v>4.564999418714174</c:v>
                </c:pt>
                <c:pt idx="25">
                  <c:v>4.74811970574056</c:v>
                </c:pt>
                <c:pt idx="26">
                  <c:v>4.935483816261446</c:v>
                </c:pt>
                <c:pt idx="27">
                  <c:v>5.126107777474068</c:v>
                </c:pt>
                <c:pt idx="28">
                  <c:v>5.320728161684055</c:v>
                </c:pt>
                <c:pt idx="29">
                  <c:v>5.51860645253952</c:v>
                </c:pt>
                <c:pt idx="30">
                  <c:v>5.721077803540234</c:v>
                </c:pt>
                <c:pt idx="31">
                  <c:v>5.926052716783357</c:v>
                </c:pt>
                <c:pt idx="32">
                  <c:v>6.134294710681699</c:v>
                </c:pt>
                <c:pt idx="33">
                  <c:v>6.34643028294146</c:v>
                </c:pt>
                <c:pt idx="34">
                  <c:v>6.560696111249685</c:v>
                </c:pt>
                <c:pt idx="35">
                  <c:v>6.777688841321714</c:v>
                </c:pt>
                <c:pt idx="36">
                  <c:v>6.994345996565741</c:v>
                </c:pt>
                <c:pt idx="37">
                  <c:v>7.211514476530963</c:v>
                </c:pt>
                <c:pt idx="38">
                  <c:v>7.4308058944318</c:v>
                </c:pt>
                <c:pt idx="39">
                  <c:v>7.648865376057053</c:v>
                </c:pt>
                <c:pt idx="40">
                  <c:v>7.867586160308924</c:v>
                </c:pt>
                <c:pt idx="41">
                  <c:v>8.0865822366292</c:v>
                </c:pt>
                <c:pt idx="42">
                  <c:v>8.30595093755634</c:v>
                </c:pt>
                <c:pt idx="43">
                  <c:v>8.52606927746068</c:v>
                </c:pt>
                <c:pt idx="44">
                  <c:v>8.747407645857423</c:v>
                </c:pt>
                <c:pt idx="45">
                  <c:v>8.969960677437802</c:v>
                </c:pt>
                <c:pt idx="46">
                  <c:v>9.192075298502452</c:v>
                </c:pt>
                <c:pt idx="47">
                  <c:v>9.414979552855474</c:v>
                </c:pt>
                <c:pt idx="48">
                  <c:v>9.63880859940462</c:v>
                </c:pt>
                <c:pt idx="49">
                  <c:v>9.864364331438224</c:v>
                </c:pt>
                <c:pt idx="50">
                  <c:v>10.0913790120331</c:v>
                </c:pt>
              </c:numCache>
            </c:numRef>
          </c:yVal>
          <c:smooth val="1"/>
        </c:ser>
        <c:axId val="766185384"/>
        <c:axId val="766263208"/>
      </c:scatterChart>
      <c:valAx>
        <c:axId val="766185384"/>
        <c:scaling>
          <c:orientation val="minMax"/>
          <c:max val="2060.0"/>
          <c:min val="2010.0"/>
        </c:scaling>
        <c:axPos val="b"/>
        <c:numFmt formatCode="General" sourceLinked="1"/>
        <c:tickLblPos val="nextTo"/>
        <c:txPr>
          <a:bodyPr/>
          <a:lstStyle/>
          <a:p>
            <a:pPr>
              <a:defRPr sz="700"/>
            </a:pPr>
            <a:endParaRPr lang="en-US"/>
          </a:p>
        </c:txPr>
        <c:crossAx val="766263208"/>
        <c:crosses val="autoZero"/>
        <c:crossBetween val="midCat"/>
        <c:majorUnit val="20.0"/>
      </c:valAx>
      <c:valAx>
        <c:axId val="766263208"/>
        <c:scaling>
          <c:orientation val="minMax"/>
          <c:max val="17.0"/>
          <c:min val="0.0"/>
        </c:scaling>
        <c:axPos val="l"/>
        <c:majorGridlines/>
        <c:numFmt formatCode="0" sourceLinked="0"/>
        <c:tickLblPos val="nextTo"/>
        <c:txPr>
          <a:bodyPr/>
          <a:lstStyle/>
          <a:p>
            <a:pPr>
              <a:defRPr sz="700"/>
            </a:pPr>
            <a:endParaRPr lang="en-US"/>
          </a:p>
        </c:txPr>
        <c:crossAx val="766185384"/>
        <c:crosses val="autoZero"/>
        <c:crossBetween val="midCat"/>
        <c:majorUnit val="5.0"/>
      </c:valAx>
    </c:plotArea>
    <c:legend>
      <c:legendPos val="t"/>
      <c:layout>
        <c:manualLayout>
          <c:xMode val="edge"/>
          <c:yMode val="edge"/>
          <c:x val="0.0014342738407699"/>
          <c:y val="0.000952901720618256"/>
          <c:w val="0.954287986883754"/>
          <c:h val="0.172867891513561"/>
        </c:manualLayout>
      </c:layout>
      <c:txPr>
        <a:bodyPr/>
        <a:lstStyle/>
        <a:p>
          <a:pPr>
            <a:defRPr sz="700"/>
          </a:pPr>
          <a:endParaRPr lang="en-US"/>
        </a:p>
      </c:txPr>
    </c:legend>
    <c:plotVisOnly val="1"/>
    <c:dispBlanksAs val="gap"/>
  </c:chart>
  <c:spPr>
    <a:solidFill>
      <a:sysClr val="window" lastClr="FFFFFF">
        <a:alpha val="67000"/>
      </a:sysClr>
    </a:solidFill>
    <a:ln>
      <a:noFill/>
    </a:ln>
  </c:spPr>
  <c:txPr>
    <a:bodyPr/>
    <a:lstStyle/>
    <a:p>
      <a:pPr>
        <a:defRPr b="0">
          <a:latin typeface="Times New Roman"/>
          <a:cs typeface="Times New Roman"/>
        </a:defRPr>
      </a:pPr>
      <a:endParaRPr lang="en-U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110703930249062"/>
          <c:y val="0.198841993692168"/>
          <c:w val="0.854220371058768"/>
          <c:h val="0.70105595817977"/>
        </c:manualLayout>
      </c:layout>
      <c:scatterChart>
        <c:scatterStyle val="smoothMarker"/>
        <c:ser>
          <c:idx val="10"/>
          <c:order val="0"/>
          <c:tx>
            <c:strRef>
              <c:f>'Figure 5.1'!$L$41</c:f>
              <c:strCache>
                <c:ptCount val="1"/>
                <c:pt idx="0">
                  <c:v>Mobile broadband subscriptions</c:v>
                </c:pt>
              </c:strCache>
            </c:strRef>
          </c:tx>
          <c:marker>
            <c:symbol val="none"/>
          </c:marker>
          <c:xVal>
            <c:numRef>
              <c:f>'Figure 5.1'!$A$42:$A$92</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xVal>
          <c:yVal>
            <c:numRef>
              <c:f>'Figure 5.1'!$L$42:$L$92</c:f>
              <c:numCache>
                <c:formatCode>0.00</c:formatCode>
                <c:ptCount val="51"/>
                <c:pt idx="0">
                  <c:v>1.0</c:v>
                </c:pt>
                <c:pt idx="1">
                  <c:v>1.206976156641713</c:v>
                </c:pt>
                <c:pt idx="2">
                  <c:v>1.450068842011384</c:v>
                </c:pt>
                <c:pt idx="3">
                  <c:v>1.749689799443081</c:v>
                </c:pt>
                <c:pt idx="4">
                  <c:v>2.129248157052944</c:v>
                </c:pt>
                <c:pt idx="5">
                  <c:v>2.590060987377869</c:v>
                </c:pt>
                <c:pt idx="6">
                  <c:v>3.160788181813937</c:v>
                </c:pt>
                <c:pt idx="7">
                  <c:v>3.861699240230772</c:v>
                </c:pt>
                <c:pt idx="8">
                  <c:v>4.670813314849718</c:v>
                </c:pt>
                <c:pt idx="9">
                  <c:v>5.547389893576862</c:v>
                </c:pt>
                <c:pt idx="10">
                  <c:v>6.43419816123546</c:v>
                </c:pt>
                <c:pt idx="11">
                  <c:v>7.279069101057595</c:v>
                </c:pt>
                <c:pt idx="12">
                  <c:v>8.057961536542173</c:v>
                </c:pt>
                <c:pt idx="13">
                  <c:v>8.75581505721987</c:v>
                </c:pt>
                <c:pt idx="14">
                  <c:v>9.37931965190308</c:v>
                </c:pt>
                <c:pt idx="15">
                  <c:v>9.94231311424454</c:v>
                </c:pt>
                <c:pt idx="16">
                  <c:v>10.45719092882342</c:v>
                </c:pt>
                <c:pt idx="17">
                  <c:v>10.9383622104654</c:v>
                </c:pt>
                <c:pt idx="18">
                  <c:v>11.38618601864598</c:v>
                </c:pt>
                <c:pt idx="19">
                  <c:v>11.80927567529341</c:v>
                </c:pt>
                <c:pt idx="20">
                  <c:v>12.21043433313532</c:v>
                </c:pt>
                <c:pt idx="21">
                  <c:v>12.5931066567788</c:v>
                </c:pt>
                <c:pt idx="22">
                  <c:v>12.95383519848806</c:v>
                </c:pt>
                <c:pt idx="23">
                  <c:v>13.29185987989487</c:v>
                </c:pt>
                <c:pt idx="24">
                  <c:v>13.60372154745042</c:v>
                </c:pt>
                <c:pt idx="25">
                  <c:v>13.88777769569372</c:v>
                </c:pt>
                <c:pt idx="26">
                  <c:v>14.14956310081132</c:v>
                </c:pt>
                <c:pt idx="27">
                  <c:v>14.38749385635796</c:v>
                </c:pt>
                <c:pt idx="28">
                  <c:v>14.60229123415555</c:v>
                </c:pt>
                <c:pt idx="29">
                  <c:v>14.79404039766056</c:v>
                </c:pt>
                <c:pt idx="30">
                  <c:v>14.96199890203193</c:v>
                </c:pt>
                <c:pt idx="31">
                  <c:v>15.09995745040622</c:v>
                </c:pt>
                <c:pt idx="32">
                  <c:v>15.21544354648501</c:v>
                </c:pt>
                <c:pt idx="33">
                  <c:v>15.31480411797034</c:v>
                </c:pt>
                <c:pt idx="34">
                  <c:v>15.40478421263842</c:v>
                </c:pt>
                <c:pt idx="35">
                  <c:v>15.49218479332696</c:v>
                </c:pt>
                <c:pt idx="36">
                  <c:v>15.5730422515048</c:v>
                </c:pt>
                <c:pt idx="37">
                  <c:v>15.64853330479823</c:v>
                </c:pt>
                <c:pt idx="38">
                  <c:v>15.72389663205331</c:v>
                </c:pt>
                <c:pt idx="39">
                  <c:v>15.79860091758298</c:v>
                </c:pt>
                <c:pt idx="40">
                  <c:v>15.86298527063214</c:v>
                </c:pt>
                <c:pt idx="41">
                  <c:v>15.92303186715113</c:v>
                </c:pt>
                <c:pt idx="42">
                  <c:v>15.97874508279945</c:v>
                </c:pt>
                <c:pt idx="43">
                  <c:v>16.03917624022265</c:v>
                </c:pt>
                <c:pt idx="44">
                  <c:v>16.09119080091262</c:v>
                </c:pt>
                <c:pt idx="45">
                  <c:v>16.14181256163838</c:v>
                </c:pt>
                <c:pt idx="46">
                  <c:v>16.19323662103199</c:v>
                </c:pt>
                <c:pt idx="47">
                  <c:v>16.23686465365205</c:v>
                </c:pt>
                <c:pt idx="48">
                  <c:v>16.27679011919652</c:v>
                </c:pt>
                <c:pt idx="49">
                  <c:v>16.32312553179295</c:v>
                </c:pt>
                <c:pt idx="50">
                  <c:v>16.35954136571925</c:v>
                </c:pt>
              </c:numCache>
            </c:numRef>
          </c:yVal>
          <c:smooth val="1"/>
        </c:ser>
        <c:ser>
          <c:idx val="8"/>
          <c:order val="1"/>
          <c:tx>
            <c:strRef>
              <c:f>'Figure 5.1'!$J$41</c:f>
              <c:strCache>
                <c:ptCount val="1"/>
                <c:pt idx="0">
                  <c:v>Fixed broadband subscriptions</c:v>
                </c:pt>
              </c:strCache>
            </c:strRef>
          </c:tx>
          <c:marker>
            <c:symbol val="none"/>
          </c:marker>
          <c:xVal>
            <c:numRef>
              <c:f>'Figure 5.1'!$A$42:$A$92</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xVal>
          <c:yVal>
            <c:numRef>
              <c:f>'Figure 5.1'!$J$42:$J$92</c:f>
              <c:numCache>
                <c:formatCode>0.00</c:formatCode>
                <c:ptCount val="51"/>
                <c:pt idx="0">
                  <c:v>1.0</c:v>
                </c:pt>
                <c:pt idx="1">
                  <c:v>1.116052947818908</c:v>
                </c:pt>
                <c:pt idx="2">
                  <c:v>1.248133070254273</c:v>
                </c:pt>
                <c:pt idx="3">
                  <c:v>1.391006605713066</c:v>
                </c:pt>
                <c:pt idx="4">
                  <c:v>1.533589685295048</c:v>
                </c:pt>
                <c:pt idx="5">
                  <c:v>1.675779640282277</c:v>
                </c:pt>
                <c:pt idx="6">
                  <c:v>1.814259979449598</c:v>
                </c:pt>
                <c:pt idx="7">
                  <c:v>1.95012787915984</c:v>
                </c:pt>
                <c:pt idx="8">
                  <c:v>2.083341975492557</c:v>
                </c:pt>
                <c:pt idx="9">
                  <c:v>2.216457366155409</c:v>
                </c:pt>
                <c:pt idx="10">
                  <c:v>2.350292682711271</c:v>
                </c:pt>
                <c:pt idx="11">
                  <c:v>2.485515482433395</c:v>
                </c:pt>
                <c:pt idx="12">
                  <c:v>2.623526462881243</c:v>
                </c:pt>
                <c:pt idx="13">
                  <c:v>2.764751236478547</c:v>
                </c:pt>
                <c:pt idx="14">
                  <c:v>2.910611493723865</c:v>
                </c:pt>
                <c:pt idx="15">
                  <c:v>3.060285137907493</c:v>
                </c:pt>
                <c:pt idx="16">
                  <c:v>3.213008675881042</c:v>
                </c:pt>
                <c:pt idx="17">
                  <c:v>3.370099766517505</c:v>
                </c:pt>
                <c:pt idx="18">
                  <c:v>3.531204657765978</c:v>
                </c:pt>
                <c:pt idx="19">
                  <c:v>3.694642274559364</c:v>
                </c:pt>
                <c:pt idx="20">
                  <c:v>3.862054464610372</c:v>
                </c:pt>
                <c:pt idx="21">
                  <c:v>4.033080017135069</c:v>
                </c:pt>
                <c:pt idx="22">
                  <c:v>4.207807389817966</c:v>
                </c:pt>
                <c:pt idx="23">
                  <c:v>4.384644132665115</c:v>
                </c:pt>
                <c:pt idx="24">
                  <c:v>4.564999418714174</c:v>
                </c:pt>
                <c:pt idx="25">
                  <c:v>4.74811970574056</c:v>
                </c:pt>
                <c:pt idx="26">
                  <c:v>4.935483816261446</c:v>
                </c:pt>
                <c:pt idx="27">
                  <c:v>5.126107777474068</c:v>
                </c:pt>
                <c:pt idx="28">
                  <c:v>5.320728161684055</c:v>
                </c:pt>
                <c:pt idx="29">
                  <c:v>5.51860645253952</c:v>
                </c:pt>
                <c:pt idx="30">
                  <c:v>5.721077803540234</c:v>
                </c:pt>
                <c:pt idx="31">
                  <c:v>5.926052716783357</c:v>
                </c:pt>
                <c:pt idx="32">
                  <c:v>6.134294710681699</c:v>
                </c:pt>
                <c:pt idx="33">
                  <c:v>6.34643028294146</c:v>
                </c:pt>
                <c:pt idx="34">
                  <c:v>6.560696111249685</c:v>
                </c:pt>
                <c:pt idx="35">
                  <c:v>6.777688841321714</c:v>
                </c:pt>
                <c:pt idx="36">
                  <c:v>6.994345996565741</c:v>
                </c:pt>
                <c:pt idx="37">
                  <c:v>7.211514476530963</c:v>
                </c:pt>
                <c:pt idx="38">
                  <c:v>7.4308058944318</c:v>
                </c:pt>
                <c:pt idx="39">
                  <c:v>7.648865376057053</c:v>
                </c:pt>
                <c:pt idx="40">
                  <c:v>7.867586160308924</c:v>
                </c:pt>
                <c:pt idx="41">
                  <c:v>8.0865822366292</c:v>
                </c:pt>
                <c:pt idx="42">
                  <c:v>8.30595093755634</c:v>
                </c:pt>
                <c:pt idx="43">
                  <c:v>8.52606927746068</c:v>
                </c:pt>
                <c:pt idx="44">
                  <c:v>8.747407645857423</c:v>
                </c:pt>
                <c:pt idx="45">
                  <c:v>8.969960677437802</c:v>
                </c:pt>
                <c:pt idx="46">
                  <c:v>9.192075298502452</c:v>
                </c:pt>
                <c:pt idx="47">
                  <c:v>9.414979552855474</c:v>
                </c:pt>
                <c:pt idx="48">
                  <c:v>9.63880859940462</c:v>
                </c:pt>
                <c:pt idx="49">
                  <c:v>9.864364331438224</c:v>
                </c:pt>
                <c:pt idx="50">
                  <c:v>10.0913790120331</c:v>
                </c:pt>
              </c:numCache>
            </c:numRef>
          </c:yVal>
          <c:smooth val="1"/>
        </c:ser>
        <c:ser>
          <c:idx val="9"/>
          <c:order val="2"/>
          <c:tx>
            <c:strRef>
              <c:f>'Figure 5.1'!$K$41</c:f>
              <c:strCache>
                <c:ptCount val="1"/>
                <c:pt idx="0">
                  <c:v>Mobile phone subscriptions</c:v>
                </c:pt>
              </c:strCache>
            </c:strRef>
          </c:tx>
          <c:marker>
            <c:symbol val="none"/>
          </c:marker>
          <c:xVal>
            <c:numRef>
              <c:f>'Figure 5.1'!$A$42:$A$92</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xVal>
          <c:yVal>
            <c:numRef>
              <c:f>'Figure 5.1'!$K$42:$K$92</c:f>
              <c:numCache>
                <c:formatCode>0.00</c:formatCode>
                <c:ptCount val="51"/>
                <c:pt idx="0">
                  <c:v>1.0</c:v>
                </c:pt>
                <c:pt idx="1">
                  <c:v>1.152510978812551</c:v>
                </c:pt>
                <c:pt idx="2">
                  <c:v>1.29976237169682</c:v>
                </c:pt>
                <c:pt idx="3">
                  <c:v>1.435806436680344</c:v>
                </c:pt>
                <c:pt idx="4">
                  <c:v>1.558437403926936</c:v>
                </c:pt>
                <c:pt idx="5">
                  <c:v>1.668106356330704</c:v>
                </c:pt>
                <c:pt idx="6">
                  <c:v>1.764730311712867</c:v>
                </c:pt>
                <c:pt idx="7">
                  <c:v>1.849582129478735</c:v>
                </c:pt>
                <c:pt idx="8">
                  <c:v>1.923787498669966</c:v>
                </c:pt>
                <c:pt idx="9">
                  <c:v>1.988215164168688</c:v>
                </c:pt>
                <c:pt idx="10">
                  <c:v>2.04420531888386</c:v>
                </c:pt>
                <c:pt idx="11">
                  <c:v>2.093648088900321</c:v>
                </c:pt>
                <c:pt idx="12">
                  <c:v>2.137712313310059</c:v>
                </c:pt>
                <c:pt idx="13">
                  <c:v>2.175965043013132</c:v>
                </c:pt>
                <c:pt idx="14">
                  <c:v>2.210297817010848</c:v>
                </c:pt>
                <c:pt idx="15">
                  <c:v>2.237262570447727</c:v>
                </c:pt>
                <c:pt idx="16">
                  <c:v>2.262449203500413</c:v>
                </c:pt>
                <c:pt idx="17">
                  <c:v>2.28646682852911</c:v>
                </c:pt>
                <c:pt idx="18">
                  <c:v>2.309205559414119</c:v>
                </c:pt>
                <c:pt idx="19">
                  <c:v>2.330943991959506</c:v>
                </c:pt>
                <c:pt idx="20">
                  <c:v>2.351761376195656</c:v>
                </c:pt>
                <c:pt idx="21">
                  <c:v>2.372045664394841</c:v>
                </c:pt>
                <c:pt idx="22">
                  <c:v>2.391863190583275</c:v>
                </c:pt>
                <c:pt idx="23">
                  <c:v>2.41048071859494</c:v>
                </c:pt>
                <c:pt idx="24">
                  <c:v>2.42842076394278</c:v>
                </c:pt>
                <c:pt idx="25">
                  <c:v>2.445704389953014</c:v>
                </c:pt>
                <c:pt idx="26">
                  <c:v>2.462854180948849</c:v>
                </c:pt>
                <c:pt idx="27">
                  <c:v>2.478411227933074</c:v>
                </c:pt>
                <c:pt idx="28">
                  <c:v>2.494525391377882</c:v>
                </c:pt>
                <c:pt idx="29">
                  <c:v>2.509968534060826</c:v>
                </c:pt>
                <c:pt idx="30">
                  <c:v>2.525450237074903</c:v>
                </c:pt>
                <c:pt idx="31">
                  <c:v>2.540085325860783</c:v>
                </c:pt>
                <c:pt idx="32">
                  <c:v>2.554397985152031</c:v>
                </c:pt>
                <c:pt idx="33">
                  <c:v>2.568637458077833</c:v>
                </c:pt>
                <c:pt idx="34">
                  <c:v>2.582273934150423</c:v>
                </c:pt>
                <c:pt idx="35">
                  <c:v>2.5959645787081</c:v>
                </c:pt>
                <c:pt idx="36">
                  <c:v>2.608893549207571</c:v>
                </c:pt>
                <c:pt idx="37">
                  <c:v>2.621139151347485</c:v>
                </c:pt>
                <c:pt idx="38">
                  <c:v>2.633458647829782</c:v>
                </c:pt>
                <c:pt idx="39">
                  <c:v>2.64575084613901</c:v>
                </c:pt>
                <c:pt idx="40">
                  <c:v>2.656428362807641</c:v>
                </c:pt>
                <c:pt idx="41">
                  <c:v>2.666422768733326</c:v>
                </c:pt>
                <c:pt idx="42">
                  <c:v>2.675720991466987</c:v>
                </c:pt>
                <c:pt idx="43">
                  <c:v>2.685846279753276</c:v>
                </c:pt>
                <c:pt idx="44">
                  <c:v>2.694556572267822</c:v>
                </c:pt>
                <c:pt idx="45">
                  <c:v>2.703027458520186</c:v>
                </c:pt>
                <c:pt idx="46">
                  <c:v>2.711644710941161</c:v>
                </c:pt>
                <c:pt idx="47">
                  <c:v>2.718944407978101</c:v>
                </c:pt>
                <c:pt idx="48">
                  <c:v>2.725630127394604</c:v>
                </c:pt>
                <c:pt idx="49">
                  <c:v>2.733389224588413</c:v>
                </c:pt>
                <c:pt idx="50">
                  <c:v>2.739487238590982</c:v>
                </c:pt>
              </c:numCache>
            </c:numRef>
          </c:yVal>
          <c:smooth val="1"/>
        </c:ser>
        <c:ser>
          <c:idx val="2"/>
          <c:order val="3"/>
          <c:tx>
            <c:strRef>
              <c:f>'Figure 5.1'!$D$41</c:f>
              <c:strCache>
                <c:ptCount val="1"/>
                <c:pt idx="0">
                  <c:v>Electricity generation capacity</c:v>
                </c:pt>
              </c:strCache>
            </c:strRef>
          </c:tx>
          <c:marker>
            <c:symbol val="none"/>
          </c:marker>
          <c:xVal>
            <c:numRef>
              <c:f>'Figure 5.1'!$A$42:$A$92</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xVal>
          <c:yVal>
            <c:numRef>
              <c:f>'Figure 5.1'!$D$42:$D$92</c:f>
              <c:numCache>
                <c:formatCode>0.00</c:formatCode>
                <c:ptCount val="51"/>
                <c:pt idx="0">
                  <c:v>1.0</c:v>
                </c:pt>
                <c:pt idx="1">
                  <c:v>1.032235515369893</c:v>
                </c:pt>
                <c:pt idx="2">
                  <c:v>1.06101542745941</c:v>
                </c:pt>
                <c:pt idx="3">
                  <c:v>1.088649622928453</c:v>
                </c:pt>
                <c:pt idx="4">
                  <c:v>1.115801622536919</c:v>
                </c:pt>
                <c:pt idx="5">
                  <c:v>1.142735590988795</c:v>
                </c:pt>
                <c:pt idx="6">
                  <c:v>1.169843262275635</c:v>
                </c:pt>
                <c:pt idx="7">
                  <c:v>1.196587481441275</c:v>
                </c:pt>
                <c:pt idx="8">
                  <c:v>1.222695057652893</c:v>
                </c:pt>
                <c:pt idx="9">
                  <c:v>1.24889088934648</c:v>
                </c:pt>
                <c:pt idx="10">
                  <c:v>1.27539621696888</c:v>
                </c:pt>
                <c:pt idx="11">
                  <c:v>1.303438393461392</c:v>
                </c:pt>
                <c:pt idx="12">
                  <c:v>1.333523483780848</c:v>
                </c:pt>
                <c:pt idx="13">
                  <c:v>1.365575066703092</c:v>
                </c:pt>
                <c:pt idx="14">
                  <c:v>1.398455047672001</c:v>
                </c:pt>
                <c:pt idx="15">
                  <c:v>1.432088610108542</c:v>
                </c:pt>
                <c:pt idx="16">
                  <c:v>1.465764695640941</c:v>
                </c:pt>
                <c:pt idx="17">
                  <c:v>1.499038616988458</c:v>
                </c:pt>
                <c:pt idx="18">
                  <c:v>1.53141754751655</c:v>
                </c:pt>
                <c:pt idx="19">
                  <c:v>1.562919138321613</c:v>
                </c:pt>
                <c:pt idx="20">
                  <c:v>1.593727121270653</c:v>
                </c:pt>
                <c:pt idx="21">
                  <c:v>1.62388121133056</c:v>
                </c:pt>
                <c:pt idx="22">
                  <c:v>1.653635744753912</c:v>
                </c:pt>
                <c:pt idx="23">
                  <c:v>1.682786329867701</c:v>
                </c:pt>
                <c:pt idx="24">
                  <c:v>1.711770633630233</c:v>
                </c:pt>
                <c:pt idx="25">
                  <c:v>1.74048355178571</c:v>
                </c:pt>
                <c:pt idx="26">
                  <c:v>1.76907090646002</c:v>
                </c:pt>
                <c:pt idx="27">
                  <c:v>1.797965550676096</c:v>
                </c:pt>
                <c:pt idx="28">
                  <c:v>1.82710811256425</c:v>
                </c:pt>
                <c:pt idx="29">
                  <c:v>1.85695952643713</c:v>
                </c:pt>
                <c:pt idx="30">
                  <c:v>1.887554492745601</c:v>
                </c:pt>
                <c:pt idx="31">
                  <c:v>1.919153365161469</c:v>
                </c:pt>
                <c:pt idx="32">
                  <c:v>1.951601094849369</c:v>
                </c:pt>
                <c:pt idx="33">
                  <c:v>1.984941007227722</c:v>
                </c:pt>
                <c:pt idx="34">
                  <c:v>2.018956074043138</c:v>
                </c:pt>
                <c:pt idx="35">
                  <c:v>2.053492650524738</c:v>
                </c:pt>
                <c:pt idx="36">
                  <c:v>2.087477028502106</c:v>
                </c:pt>
                <c:pt idx="37">
                  <c:v>2.12089115571757</c:v>
                </c:pt>
                <c:pt idx="38">
                  <c:v>2.153104607216971</c:v>
                </c:pt>
                <c:pt idx="39">
                  <c:v>2.183389676435344</c:v>
                </c:pt>
                <c:pt idx="40">
                  <c:v>2.211417611702356</c:v>
                </c:pt>
                <c:pt idx="41">
                  <c:v>2.237346069401704</c:v>
                </c:pt>
                <c:pt idx="42">
                  <c:v>2.261912383969113</c:v>
                </c:pt>
                <c:pt idx="43">
                  <c:v>2.285865122356198</c:v>
                </c:pt>
                <c:pt idx="44">
                  <c:v>2.308614577478885</c:v>
                </c:pt>
                <c:pt idx="45">
                  <c:v>2.331057545382374</c:v>
                </c:pt>
                <c:pt idx="46">
                  <c:v>2.35274071381836</c:v>
                </c:pt>
                <c:pt idx="47">
                  <c:v>2.373844003621682</c:v>
                </c:pt>
                <c:pt idx="48">
                  <c:v>2.393870777125621</c:v>
                </c:pt>
                <c:pt idx="49">
                  <c:v>2.41355054612091</c:v>
                </c:pt>
                <c:pt idx="50">
                  <c:v>2.431997145336318</c:v>
                </c:pt>
              </c:numCache>
            </c:numRef>
          </c:yVal>
          <c:smooth val="1"/>
        </c:ser>
        <c:ser>
          <c:idx val="1"/>
          <c:order val="4"/>
          <c:tx>
            <c:strRef>
              <c:f>'Figure 5.1'!$C$41</c:f>
              <c:strCache>
                <c:ptCount val="1"/>
                <c:pt idx="0">
                  <c:v>Paved roads</c:v>
                </c:pt>
              </c:strCache>
            </c:strRef>
          </c:tx>
          <c:marker>
            <c:symbol val="none"/>
          </c:marker>
          <c:xVal>
            <c:numRef>
              <c:f>'Figure 5.1'!$A$42:$A$92</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xVal>
          <c:yVal>
            <c:numRef>
              <c:f>'Figure 5.1'!$C$42:$C$92</c:f>
              <c:numCache>
                <c:formatCode>0.00</c:formatCode>
                <c:ptCount val="51"/>
                <c:pt idx="0">
                  <c:v>1.0</c:v>
                </c:pt>
                <c:pt idx="1">
                  <c:v>1.015910653771314</c:v>
                </c:pt>
                <c:pt idx="2">
                  <c:v>1.033692068297728</c:v>
                </c:pt>
                <c:pt idx="3">
                  <c:v>1.05281372641179</c:v>
                </c:pt>
                <c:pt idx="4">
                  <c:v>1.073339317572424</c:v>
                </c:pt>
                <c:pt idx="5">
                  <c:v>1.095160544107781</c:v>
                </c:pt>
                <c:pt idx="6">
                  <c:v>1.118210513810386</c:v>
                </c:pt>
                <c:pt idx="7">
                  <c:v>1.142515287049947</c:v>
                </c:pt>
                <c:pt idx="8">
                  <c:v>1.168030484714412</c:v>
                </c:pt>
                <c:pt idx="9">
                  <c:v>1.194576347732038</c:v>
                </c:pt>
                <c:pt idx="10">
                  <c:v>1.222069147604691</c:v>
                </c:pt>
                <c:pt idx="11">
                  <c:v>1.250370927133632</c:v>
                </c:pt>
                <c:pt idx="12">
                  <c:v>1.279375577055832</c:v>
                </c:pt>
                <c:pt idx="13">
                  <c:v>1.308931666359804</c:v>
                </c:pt>
                <c:pt idx="14">
                  <c:v>1.33887041649286</c:v>
                </c:pt>
                <c:pt idx="15">
                  <c:v>1.369156694574246</c:v>
                </c:pt>
                <c:pt idx="16">
                  <c:v>1.399649291688548</c:v>
                </c:pt>
                <c:pt idx="17">
                  <c:v>1.430247310180316</c:v>
                </c:pt>
                <c:pt idx="18">
                  <c:v>1.460859441985225</c:v>
                </c:pt>
                <c:pt idx="19">
                  <c:v>1.491392128837021</c:v>
                </c:pt>
                <c:pt idx="20">
                  <c:v>1.521777608178102</c:v>
                </c:pt>
                <c:pt idx="21">
                  <c:v>1.551964667511177</c:v>
                </c:pt>
                <c:pt idx="22">
                  <c:v>1.581913252075985</c:v>
                </c:pt>
                <c:pt idx="23">
                  <c:v>1.611559166992594</c:v>
                </c:pt>
                <c:pt idx="24">
                  <c:v>1.640867913051106</c:v>
                </c:pt>
                <c:pt idx="25">
                  <c:v>1.669844824279411</c:v>
                </c:pt>
                <c:pt idx="26">
                  <c:v>1.698466547545563</c:v>
                </c:pt>
                <c:pt idx="27">
                  <c:v>1.72673851015007</c:v>
                </c:pt>
                <c:pt idx="28">
                  <c:v>1.754673193135244</c:v>
                </c:pt>
                <c:pt idx="29">
                  <c:v>1.78226630013108</c:v>
                </c:pt>
                <c:pt idx="30">
                  <c:v>1.809406935823292</c:v>
                </c:pt>
                <c:pt idx="31">
                  <c:v>1.836152626099561</c:v>
                </c:pt>
                <c:pt idx="32">
                  <c:v>1.862486261263867</c:v>
                </c:pt>
                <c:pt idx="33">
                  <c:v>1.88841723270302</c:v>
                </c:pt>
                <c:pt idx="34">
                  <c:v>1.913898006358632</c:v>
                </c:pt>
                <c:pt idx="35">
                  <c:v>1.939036213003332</c:v>
                </c:pt>
                <c:pt idx="36">
                  <c:v>1.963731269776753</c:v>
                </c:pt>
                <c:pt idx="37">
                  <c:v>1.98800536973265</c:v>
                </c:pt>
                <c:pt idx="38">
                  <c:v>2.011851155993206</c:v>
                </c:pt>
                <c:pt idx="39">
                  <c:v>2.035285207766426</c:v>
                </c:pt>
                <c:pt idx="40">
                  <c:v>2.058315214213826</c:v>
                </c:pt>
                <c:pt idx="41">
                  <c:v>2.080971926151935</c:v>
                </c:pt>
                <c:pt idx="42">
                  <c:v>2.103256089761707</c:v>
                </c:pt>
                <c:pt idx="43">
                  <c:v>2.12517688073702</c:v>
                </c:pt>
                <c:pt idx="44">
                  <c:v>2.146748762163335</c:v>
                </c:pt>
                <c:pt idx="45">
                  <c:v>2.16799667863666</c:v>
                </c:pt>
                <c:pt idx="46">
                  <c:v>2.188926069116582</c:v>
                </c:pt>
                <c:pt idx="47">
                  <c:v>2.209480293805299</c:v>
                </c:pt>
                <c:pt idx="48">
                  <c:v>2.229601914258208</c:v>
                </c:pt>
                <c:pt idx="49">
                  <c:v>2.249344305731452</c:v>
                </c:pt>
                <c:pt idx="50">
                  <c:v>2.268760919265178</c:v>
                </c:pt>
              </c:numCache>
            </c:numRef>
          </c:yVal>
          <c:smooth val="1"/>
        </c:ser>
        <c:ser>
          <c:idx val="6"/>
          <c:order val="5"/>
          <c:tx>
            <c:strRef>
              <c:f>'Figure 5.1'!$H$41</c:f>
              <c:strCache>
                <c:ptCount val="1"/>
                <c:pt idx="0">
                  <c:v>Sanitation, household connections</c:v>
                </c:pt>
              </c:strCache>
            </c:strRef>
          </c:tx>
          <c:marker>
            <c:symbol val="none"/>
          </c:marker>
          <c:xVal>
            <c:numRef>
              <c:f>'Figure 5.1'!$A$42:$A$92</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xVal>
          <c:yVal>
            <c:numRef>
              <c:f>'Figure 5.1'!$H$42:$H$92</c:f>
              <c:numCache>
                <c:formatCode>0.00</c:formatCode>
                <c:ptCount val="51"/>
                <c:pt idx="0">
                  <c:v>1.0</c:v>
                </c:pt>
                <c:pt idx="1">
                  <c:v>1.015264716734611</c:v>
                </c:pt>
                <c:pt idx="2">
                  <c:v>1.039543716298578</c:v>
                </c:pt>
                <c:pt idx="3">
                  <c:v>1.064518992408086</c:v>
                </c:pt>
                <c:pt idx="4">
                  <c:v>1.088760627594983</c:v>
                </c:pt>
                <c:pt idx="5">
                  <c:v>1.114503161611547</c:v>
                </c:pt>
                <c:pt idx="6">
                  <c:v>1.140274870198674</c:v>
                </c:pt>
                <c:pt idx="7">
                  <c:v>1.166018012964665</c:v>
                </c:pt>
                <c:pt idx="8">
                  <c:v>1.19160744944578</c:v>
                </c:pt>
                <c:pt idx="9">
                  <c:v>1.216797427093881</c:v>
                </c:pt>
                <c:pt idx="10">
                  <c:v>1.24033936611116</c:v>
                </c:pt>
                <c:pt idx="11">
                  <c:v>1.263384217039601</c:v>
                </c:pt>
                <c:pt idx="12">
                  <c:v>1.285939313994963</c:v>
                </c:pt>
                <c:pt idx="13">
                  <c:v>1.308080035409456</c:v>
                </c:pt>
                <c:pt idx="14">
                  <c:v>1.331048742047894</c:v>
                </c:pt>
                <c:pt idx="15">
                  <c:v>1.354947403772662</c:v>
                </c:pt>
                <c:pt idx="16">
                  <c:v>1.38006572313929</c:v>
                </c:pt>
                <c:pt idx="17">
                  <c:v>1.406034663870353</c:v>
                </c:pt>
                <c:pt idx="18">
                  <c:v>1.432810525582098</c:v>
                </c:pt>
                <c:pt idx="19">
                  <c:v>1.459863546890368</c:v>
                </c:pt>
                <c:pt idx="20">
                  <c:v>1.488487295972981</c:v>
                </c:pt>
                <c:pt idx="21">
                  <c:v>1.517120695249796</c:v>
                </c:pt>
                <c:pt idx="22">
                  <c:v>1.545348946576026</c:v>
                </c:pt>
                <c:pt idx="23">
                  <c:v>1.57266778675242</c:v>
                </c:pt>
                <c:pt idx="24">
                  <c:v>1.599675764093282</c:v>
                </c:pt>
                <c:pt idx="25">
                  <c:v>1.625565156591646</c:v>
                </c:pt>
                <c:pt idx="26">
                  <c:v>1.651772184726893</c:v>
                </c:pt>
                <c:pt idx="27">
                  <c:v>1.677236155555036</c:v>
                </c:pt>
                <c:pt idx="28">
                  <c:v>1.702557658570846</c:v>
                </c:pt>
                <c:pt idx="29">
                  <c:v>1.727650071231255</c:v>
                </c:pt>
                <c:pt idx="30">
                  <c:v>1.75308920270675</c:v>
                </c:pt>
                <c:pt idx="31">
                  <c:v>1.77834632584987</c:v>
                </c:pt>
                <c:pt idx="32">
                  <c:v>1.803348353180173</c:v>
                </c:pt>
                <c:pt idx="33">
                  <c:v>1.828014265484672</c:v>
                </c:pt>
                <c:pt idx="34">
                  <c:v>1.852176197700413</c:v>
                </c:pt>
                <c:pt idx="35">
                  <c:v>1.876247687914302</c:v>
                </c:pt>
                <c:pt idx="36">
                  <c:v>1.898621307363394</c:v>
                </c:pt>
                <c:pt idx="37">
                  <c:v>1.919985822825713</c:v>
                </c:pt>
                <c:pt idx="38">
                  <c:v>1.941390656184817</c:v>
                </c:pt>
                <c:pt idx="39">
                  <c:v>1.962446413472814</c:v>
                </c:pt>
                <c:pt idx="40">
                  <c:v>1.983693098329637</c:v>
                </c:pt>
                <c:pt idx="41">
                  <c:v>2.005201463406736</c:v>
                </c:pt>
                <c:pt idx="42">
                  <c:v>2.02691852976787</c:v>
                </c:pt>
                <c:pt idx="43">
                  <c:v>2.048824930682171</c:v>
                </c:pt>
                <c:pt idx="44">
                  <c:v>2.070769461989884</c:v>
                </c:pt>
                <c:pt idx="45">
                  <c:v>2.093140544693368</c:v>
                </c:pt>
                <c:pt idx="46">
                  <c:v>2.114973359951684</c:v>
                </c:pt>
                <c:pt idx="47">
                  <c:v>2.136843300946495</c:v>
                </c:pt>
                <c:pt idx="48">
                  <c:v>2.158395634744573</c:v>
                </c:pt>
                <c:pt idx="49">
                  <c:v>2.179981833034006</c:v>
                </c:pt>
                <c:pt idx="50">
                  <c:v>2.199567075672816</c:v>
                </c:pt>
              </c:numCache>
            </c:numRef>
          </c:yVal>
          <c:smooth val="1"/>
        </c:ser>
        <c:ser>
          <c:idx val="3"/>
          <c:order val="6"/>
          <c:tx>
            <c:strRef>
              <c:f>'Figure 5.1'!$E$41</c:f>
              <c:strCache>
                <c:ptCount val="1"/>
                <c:pt idx="0">
                  <c:v>Electricity, household conenctions</c:v>
                </c:pt>
              </c:strCache>
            </c:strRef>
          </c:tx>
          <c:marker>
            <c:symbol val="none"/>
          </c:marker>
          <c:xVal>
            <c:numRef>
              <c:f>'Figure 5.1'!$A$42:$A$92</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xVal>
          <c:yVal>
            <c:numRef>
              <c:f>'Figure 5.1'!$E$42:$E$92</c:f>
              <c:numCache>
                <c:formatCode>0.00</c:formatCode>
                <c:ptCount val="51"/>
                <c:pt idx="0">
                  <c:v>1.0</c:v>
                </c:pt>
                <c:pt idx="1">
                  <c:v>1.017191542818321</c:v>
                </c:pt>
                <c:pt idx="2">
                  <c:v>1.035210324889873</c:v>
                </c:pt>
                <c:pt idx="3">
                  <c:v>1.055266183202934</c:v>
                </c:pt>
                <c:pt idx="4">
                  <c:v>1.077135649282328</c:v>
                </c:pt>
                <c:pt idx="5">
                  <c:v>1.100829123601071</c:v>
                </c:pt>
                <c:pt idx="6">
                  <c:v>1.125342350771453</c:v>
                </c:pt>
                <c:pt idx="7">
                  <c:v>1.149531084266616</c:v>
                </c:pt>
                <c:pt idx="8">
                  <c:v>1.172925602731618</c:v>
                </c:pt>
                <c:pt idx="9">
                  <c:v>1.195671587752936</c:v>
                </c:pt>
                <c:pt idx="10">
                  <c:v>1.217151577432403</c:v>
                </c:pt>
                <c:pt idx="11">
                  <c:v>1.237915076836605</c:v>
                </c:pt>
                <c:pt idx="12">
                  <c:v>1.258728967632605</c:v>
                </c:pt>
                <c:pt idx="13">
                  <c:v>1.279319894223768</c:v>
                </c:pt>
                <c:pt idx="14">
                  <c:v>1.301067044145604</c:v>
                </c:pt>
                <c:pt idx="15">
                  <c:v>1.324050966434624</c:v>
                </c:pt>
                <c:pt idx="16">
                  <c:v>1.348157586379886</c:v>
                </c:pt>
                <c:pt idx="17">
                  <c:v>1.373221086907745</c:v>
                </c:pt>
                <c:pt idx="18">
                  <c:v>1.398650212683168</c:v>
                </c:pt>
                <c:pt idx="19">
                  <c:v>1.422984712947076</c:v>
                </c:pt>
                <c:pt idx="20">
                  <c:v>1.445768388388763</c:v>
                </c:pt>
                <c:pt idx="21">
                  <c:v>1.46863884806875</c:v>
                </c:pt>
                <c:pt idx="22">
                  <c:v>1.491057918498406</c:v>
                </c:pt>
                <c:pt idx="23">
                  <c:v>1.512364743079549</c:v>
                </c:pt>
                <c:pt idx="24">
                  <c:v>1.533299241640613</c:v>
                </c:pt>
                <c:pt idx="25">
                  <c:v>1.553099142853781</c:v>
                </c:pt>
                <c:pt idx="26">
                  <c:v>1.572863410034581</c:v>
                </c:pt>
                <c:pt idx="27">
                  <c:v>1.591881101718828</c:v>
                </c:pt>
                <c:pt idx="28">
                  <c:v>1.610765382047259</c:v>
                </c:pt>
                <c:pt idx="29">
                  <c:v>1.629183559832068</c:v>
                </c:pt>
                <c:pt idx="30">
                  <c:v>1.647438651706806</c:v>
                </c:pt>
                <c:pt idx="31">
                  <c:v>1.665334306015704</c:v>
                </c:pt>
                <c:pt idx="32">
                  <c:v>1.682794295864805</c:v>
                </c:pt>
                <c:pt idx="33">
                  <c:v>1.699868026299998</c:v>
                </c:pt>
                <c:pt idx="34">
                  <c:v>1.716464235573634</c:v>
                </c:pt>
                <c:pt idx="35">
                  <c:v>1.733062310328427</c:v>
                </c:pt>
                <c:pt idx="36">
                  <c:v>1.748950070438941</c:v>
                </c:pt>
                <c:pt idx="37">
                  <c:v>1.764418260438847</c:v>
                </c:pt>
                <c:pt idx="38">
                  <c:v>1.780145276266016</c:v>
                </c:pt>
                <c:pt idx="39">
                  <c:v>1.795543966105566</c:v>
                </c:pt>
                <c:pt idx="40">
                  <c:v>1.810885195917937</c:v>
                </c:pt>
                <c:pt idx="41">
                  <c:v>1.826238815659355</c:v>
                </c:pt>
                <c:pt idx="42">
                  <c:v>1.841716326661673</c:v>
                </c:pt>
                <c:pt idx="43">
                  <c:v>1.857458324837382</c:v>
                </c:pt>
                <c:pt idx="44">
                  <c:v>1.873268126023364</c:v>
                </c:pt>
                <c:pt idx="45">
                  <c:v>1.889648598139046</c:v>
                </c:pt>
                <c:pt idx="46">
                  <c:v>1.905602025057764</c:v>
                </c:pt>
                <c:pt idx="47">
                  <c:v>1.921696500892359</c:v>
                </c:pt>
                <c:pt idx="48">
                  <c:v>1.937301767136669</c:v>
                </c:pt>
                <c:pt idx="49">
                  <c:v>1.953153405512935</c:v>
                </c:pt>
                <c:pt idx="50">
                  <c:v>1.967876367414583</c:v>
                </c:pt>
              </c:numCache>
            </c:numRef>
          </c:yVal>
          <c:smooth val="1"/>
        </c:ser>
        <c:ser>
          <c:idx val="5"/>
          <c:order val="7"/>
          <c:tx>
            <c:strRef>
              <c:f>'Figure 5.1'!$G$41</c:f>
              <c:strCache>
                <c:ptCount val="1"/>
                <c:pt idx="0">
                  <c:v>Safe water, household connections</c:v>
                </c:pt>
              </c:strCache>
            </c:strRef>
          </c:tx>
          <c:marker>
            <c:symbol val="none"/>
          </c:marker>
          <c:xVal>
            <c:numRef>
              <c:f>'Figure 5.1'!$A$42:$A$92</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xVal>
          <c:yVal>
            <c:numRef>
              <c:f>'Figure 5.1'!$G$42:$G$92</c:f>
              <c:numCache>
                <c:formatCode>0.00</c:formatCode>
                <c:ptCount val="51"/>
                <c:pt idx="0">
                  <c:v>1.0</c:v>
                </c:pt>
                <c:pt idx="1">
                  <c:v>1.01193097738182</c:v>
                </c:pt>
                <c:pt idx="2">
                  <c:v>1.028526520598025</c:v>
                </c:pt>
                <c:pt idx="3">
                  <c:v>1.047346461515763</c:v>
                </c:pt>
                <c:pt idx="4">
                  <c:v>1.067550480407187</c:v>
                </c:pt>
                <c:pt idx="5">
                  <c:v>1.08935444865303</c:v>
                </c:pt>
                <c:pt idx="6">
                  <c:v>1.111379967476921</c:v>
                </c:pt>
                <c:pt idx="7">
                  <c:v>1.13323662438897</c:v>
                </c:pt>
                <c:pt idx="8">
                  <c:v>1.154190585468611</c:v>
                </c:pt>
                <c:pt idx="9">
                  <c:v>1.174141927726234</c:v>
                </c:pt>
                <c:pt idx="10">
                  <c:v>1.192493429234355</c:v>
                </c:pt>
                <c:pt idx="11">
                  <c:v>1.210072777151974</c:v>
                </c:pt>
                <c:pt idx="12">
                  <c:v>1.227498153178898</c:v>
                </c:pt>
                <c:pt idx="13">
                  <c:v>1.244642451038576</c:v>
                </c:pt>
                <c:pt idx="14">
                  <c:v>1.262192071045783</c:v>
                </c:pt>
                <c:pt idx="15">
                  <c:v>1.279925756546816</c:v>
                </c:pt>
                <c:pt idx="16">
                  <c:v>1.298640163591722</c:v>
                </c:pt>
                <c:pt idx="17">
                  <c:v>1.31826121973508</c:v>
                </c:pt>
                <c:pt idx="18">
                  <c:v>1.338551108747808</c:v>
                </c:pt>
                <c:pt idx="19">
                  <c:v>1.35902396204912</c:v>
                </c:pt>
                <c:pt idx="20">
                  <c:v>1.379484932417236</c:v>
                </c:pt>
                <c:pt idx="21">
                  <c:v>1.399878088879144</c:v>
                </c:pt>
                <c:pt idx="22">
                  <c:v>1.419803393987296</c:v>
                </c:pt>
                <c:pt idx="23">
                  <c:v>1.438645458126113</c:v>
                </c:pt>
                <c:pt idx="24">
                  <c:v>1.456923602430867</c:v>
                </c:pt>
                <c:pt idx="25">
                  <c:v>1.474014520423446</c:v>
                </c:pt>
                <c:pt idx="26">
                  <c:v>1.490991875453755</c:v>
                </c:pt>
                <c:pt idx="27">
                  <c:v>1.507175194391008</c:v>
                </c:pt>
                <c:pt idx="28">
                  <c:v>1.523107852941096</c:v>
                </c:pt>
                <c:pt idx="29">
                  <c:v>1.538568280744352</c:v>
                </c:pt>
                <c:pt idx="30">
                  <c:v>1.554001514269861</c:v>
                </c:pt>
                <c:pt idx="31">
                  <c:v>1.569030122026937</c:v>
                </c:pt>
                <c:pt idx="32">
                  <c:v>1.583776466431805</c:v>
                </c:pt>
                <c:pt idx="33">
                  <c:v>1.59826246861926</c:v>
                </c:pt>
                <c:pt idx="34">
                  <c:v>1.612370221747221</c:v>
                </c:pt>
                <c:pt idx="35">
                  <c:v>1.626559231255318</c:v>
                </c:pt>
                <c:pt idx="36">
                  <c:v>1.640037700327011</c:v>
                </c:pt>
                <c:pt idx="37">
                  <c:v>1.653182482904895</c:v>
                </c:pt>
                <c:pt idx="38">
                  <c:v>1.666558476670837</c:v>
                </c:pt>
                <c:pt idx="39">
                  <c:v>1.679649689968294</c:v>
                </c:pt>
                <c:pt idx="40">
                  <c:v>1.692798632477187</c:v>
                </c:pt>
                <c:pt idx="41">
                  <c:v>1.706140635313638</c:v>
                </c:pt>
                <c:pt idx="42">
                  <c:v>1.719682616872305</c:v>
                </c:pt>
                <c:pt idx="43">
                  <c:v>1.733589455580527</c:v>
                </c:pt>
                <c:pt idx="44">
                  <c:v>1.747622783760629</c:v>
                </c:pt>
                <c:pt idx="45">
                  <c:v>1.762169869820077</c:v>
                </c:pt>
                <c:pt idx="46">
                  <c:v>1.776236455903197</c:v>
                </c:pt>
                <c:pt idx="47">
                  <c:v>1.790451903034128</c:v>
                </c:pt>
                <c:pt idx="48">
                  <c:v>1.804311488235629</c:v>
                </c:pt>
                <c:pt idx="49">
                  <c:v>1.81815412586367</c:v>
                </c:pt>
                <c:pt idx="50">
                  <c:v>1.83181731620367</c:v>
                </c:pt>
              </c:numCache>
            </c:numRef>
          </c:yVal>
          <c:smooth val="1"/>
        </c:ser>
        <c:ser>
          <c:idx val="0"/>
          <c:order val="8"/>
          <c:tx>
            <c:strRef>
              <c:f>'Figure 5.1'!$B$41</c:f>
              <c:strCache>
                <c:ptCount val="1"/>
                <c:pt idx="0">
                  <c:v>Total roads</c:v>
                </c:pt>
              </c:strCache>
            </c:strRef>
          </c:tx>
          <c:marker>
            <c:symbol val="none"/>
          </c:marker>
          <c:xVal>
            <c:numRef>
              <c:f>'Figure 5.1'!$A$42:$A$92</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xVal>
          <c:yVal>
            <c:numRef>
              <c:f>'Figure 5.1'!$B$42:$B$92</c:f>
              <c:numCache>
                <c:formatCode>0.00</c:formatCode>
                <c:ptCount val="51"/>
                <c:pt idx="0">
                  <c:v>1.0</c:v>
                </c:pt>
                <c:pt idx="1">
                  <c:v>1.006102037525692</c:v>
                </c:pt>
                <c:pt idx="2">
                  <c:v>1.013525231001596</c:v>
                </c:pt>
                <c:pt idx="3">
                  <c:v>1.02185894571812</c:v>
                </c:pt>
                <c:pt idx="4">
                  <c:v>1.031183247680051</c:v>
                </c:pt>
                <c:pt idx="5">
                  <c:v>1.041360470332079</c:v>
                </c:pt>
                <c:pt idx="6">
                  <c:v>1.052390355975512</c:v>
                </c:pt>
                <c:pt idx="7">
                  <c:v>1.064245389566537</c:v>
                </c:pt>
                <c:pt idx="8">
                  <c:v>1.076905822904175</c:v>
                </c:pt>
                <c:pt idx="9">
                  <c:v>1.09020888175176</c:v>
                </c:pt>
                <c:pt idx="10">
                  <c:v>1.104055113986492</c:v>
                </c:pt>
                <c:pt idx="11">
                  <c:v>1.118327508092473</c:v>
                </c:pt>
                <c:pt idx="12">
                  <c:v>1.132889783868108</c:v>
                </c:pt>
                <c:pt idx="13">
                  <c:v>1.14762911821673</c:v>
                </c:pt>
                <c:pt idx="14">
                  <c:v>1.16242912266611</c:v>
                </c:pt>
                <c:pt idx="15">
                  <c:v>1.17735614647424</c:v>
                </c:pt>
                <c:pt idx="16">
                  <c:v>1.192344352518501</c:v>
                </c:pt>
                <c:pt idx="17">
                  <c:v>1.207347045143624</c:v>
                </c:pt>
                <c:pt idx="18">
                  <c:v>1.22233899923594</c:v>
                </c:pt>
                <c:pt idx="19">
                  <c:v>1.23729550507916</c:v>
                </c:pt>
                <c:pt idx="20">
                  <c:v>1.252206773385023</c:v>
                </c:pt>
                <c:pt idx="21">
                  <c:v>1.26705525454645</c:v>
                </c:pt>
                <c:pt idx="22">
                  <c:v>1.281846983279628</c:v>
                </c:pt>
                <c:pt idx="23">
                  <c:v>1.29655156092501</c:v>
                </c:pt>
                <c:pt idx="24">
                  <c:v>1.311206781115983</c:v>
                </c:pt>
                <c:pt idx="25">
                  <c:v>1.325833612044797</c:v>
                </c:pt>
                <c:pt idx="26">
                  <c:v>1.340417296383864</c:v>
                </c:pt>
                <c:pt idx="27">
                  <c:v>1.354961207050232</c:v>
                </c:pt>
                <c:pt idx="28">
                  <c:v>1.369463432506772</c:v>
                </c:pt>
                <c:pt idx="29">
                  <c:v>1.383911498832021</c:v>
                </c:pt>
                <c:pt idx="30">
                  <c:v>1.398188479322306</c:v>
                </c:pt>
                <c:pt idx="31">
                  <c:v>1.412352219178804</c:v>
                </c:pt>
                <c:pt idx="32">
                  <c:v>1.426355827025723</c:v>
                </c:pt>
                <c:pt idx="33">
                  <c:v>1.440177780129324</c:v>
                </c:pt>
                <c:pt idx="34">
                  <c:v>1.453744967087473</c:v>
                </c:pt>
                <c:pt idx="35">
                  <c:v>1.467195481778631</c:v>
                </c:pt>
                <c:pt idx="36">
                  <c:v>1.480442417765657</c:v>
                </c:pt>
                <c:pt idx="37">
                  <c:v>1.493505033948214</c:v>
                </c:pt>
                <c:pt idx="38">
                  <c:v>1.506378717845931</c:v>
                </c:pt>
                <c:pt idx="39">
                  <c:v>1.519072156188111</c:v>
                </c:pt>
                <c:pt idx="40">
                  <c:v>1.531598380699712</c:v>
                </c:pt>
                <c:pt idx="41">
                  <c:v>1.543972634747628</c:v>
                </c:pt>
                <c:pt idx="42">
                  <c:v>1.55618755597811</c:v>
                </c:pt>
                <c:pt idx="43">
                  <c:v>1.568245868168461</c:v>
                </c:pt>
                <c:pt idx="44">
                  <c:v>1.580144694226965</c:v>
                </c:pt>
                <c:pt idx="45">
                  <c:v>1.591895255463726</c:v>
                </c:pt>
                <c:pt idx="46">
                  <c:v>1.603497000599264</c:v>
                </c:pt>
                <c:pt idx="47">
                  <c:v>1.614910968201058</c:v>
                </c:pt>
                <c:pt idx="48">
                  <c:v>1.626095916692472</c:v>
                </c:pt>
                <c:pt idx="49">
                  <c:v>1.637078878340024</c:v>
                </c:pt>
                <c:pt idx="50">
                  <c:v>1.647896250637355</c:v>
                </c:pt>
              </c:numCache>
            </c:numRef>
          </c:yVal>
          <c:smooth val="1"/>
        </c:ser>
        <c:ser>
          <c:idx val="4"/>
          <c:order val="9"/>
          <c:tx>
            <c:strRef>
              <c:f>'Figure 5.1'!$F$41</c:f>
              <c:strCache>
                <c:ptCount val="1"/>
                <c:pt idx="0">
                  <c:v>Irrigated acreage</c:v>
                </c:pt>
              </c:strCache>
            </c:strRef>
          </c:tx>
          <c:marker>
            <c:symbol val="none"/>
          </c:marker>
          <c:xVal>
            <c:numRef>
              <c:f>'Figure 5.1'!$A$42:$A$92</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xVal>
          <c:yVal>
            <c:numRef>
              <c:f>'Figure 5.1'!$F$42:$F$92</c:f>
              <c:numCache>
                <c:formatCode>0.00</c:formatCode>
                <c:ptCount val="51"/>
                <c:pt idx="0">
                  <c:v>1.0</c:v>
                </c:pt>
                <c:pt idx="1">
                  <c:v>1.00446285505178</c:v>
                </c:pt>
                <c:pt idx="2">
                  <c:v>1.009056015144506</c:v>
                </c:pt>
                <c:pt idx="3">
                  <c:v>1.012932711451397</c:v>
                </c:pt>
                <c:pt idx="4">
                  <c:v>1.01669360589064</c:v>
                </c:pt>
                <c:pt idx="5">
                  <c:v>1.020412456454318</c:v>
                </c:pt>
                <c:pt idx="6">
                  <c:v>1.024079967955843</c:v>
                </c:pt>
                <c:pt idx="7">
                  <c:v>1.027752275530967</c:v>
                </c:pt>
                <c:pt idx="8">
                  <c:v>1.031062026125496</c:v>
                </c:pt>
                <c:pt idx="9">
                  <c:v>1.034296961803604</c:v>
                </c:pt>
                <c:pt idx="10">
                  <c:v>1.037579376055859</c:v>
                </c:pt>
                <c:pt idx="11">
                  <c:v>1.040863374098065</c:v>
                </c:pt>
                <c:pt idx="12">
                  <c:v>1.04412582493344</c:v>
                </c:pt>
                <c:pt idx="13">
                  <c:v>1.047366051619509</c:v>
                </c:pt>
                <c:pt idx="14">
                  <c:v>1.050574573768438</c:v>
                </c:pt>
                <c:pt idx="15">
                  <c:v>1.053791442745856</c:v>
                </c:pt>
                <c:pt idx="16">
                  <c:v>1.056974624255574</c:v>
                </c:pt>
                <c:pt idx="17">
                  <c:v>1.060125092200684</c:v>
                </c:pt>
                <c:pt idx="18">
                  <c:v>1.063255120953305</c:v>
                </c:pt>
                <c:pt idx="19">
                  <c:v>1.066347649647092</c:v>
                </c:pt>
                <c:pt idx="20">
                  <c:v>1.069437544012836</c:v>
                </c:pt>
                <c:pt idx="21">
                  <c:v>1.07248185971375</c:v>
                </c:pt>
                <c:pt idx="22">
                  <c:v>1.07553087888764</c:v>
                </c:pt>
                <c:pt idx="23">
                  <c:v>1.078514279344823</c:v>
                </c:pt>
                <c:pt idx="24">
                  <c:v>1.081526433891736</c:v>
                </c:pt>
                <c:pt idx="25">
                  <c:v>1.08449248290821</c:v>
                </c:pt>
                <c:pt idx="26">
                  <c:v>1.087479006241544</c:v>
                </c:pt>
                <c:pt idx="27">
                  <c:v>1.090431484477188</c:v>
                </c:pt>
                <c:pt idx="28">
                  <c:v>1.09337284425193</c:v>
                </c:pt>
                <c:pt idx="29">
                  <c:v>1.096290568516155</c:v>
                </c:pt>
                <c:pt idx="30">
                  <c:v>1.099154188472064</c:v>
                </c:pt>
                <c:pt idx="31">
                  <c:v>1.102004218488396</c:v>
                </c:pt>
                <c:pt idx="32">
                  <c:v>1.104807149912445</c:v>
                </c:pt>
                <c:pt idx="33">
                  <c:v>1.107552806255148</c:v>
                </c:pt>
                <c:pt idx="34">
                  <c:v>1.110239737837805</c:v>
                </c:pt>
                <c:pt idx="35">
                  <c:v>1.112874366034587</c:v>
                </c:pt>
                <c:pt idx="36">
                  <c:v>1.1154759262299</c:v>
                </c:pt>
                <c:pt idx="37">
                  <c:v>1.118032112120374</c:v>
                </c:pt>
                <c:pt idx="38">
                  <c:v>1.120555999552477</c:v>
                </c:pt>
                <c:pt idx="39">
                  <c:v>1.123025061030037</c:v>
                </c:pt>
                <c:pt idx="40">
                  <c:v>1.125476726363137</c:v>
                </c:pt>
                <c:pt idx="41">
                  <c:v>1.127871091069895</c:v>
                </c:pt>
                <c:pt idx="42">
                  <c:v>1.13023605348257</c:v>
                </c:pt>
                <c:pt idx="43">
                  <c:v>1.132579162148422</c:v>
                </c:pt>
                <c:pt idx="44">
                  <c:v>1.134880670783068</c:v>
                </c:pt>
                <c:pt idx="45">
                  <c:v>1.137133701395474</c:v>
                </c:pt>
                <c:pt idx="46">
                  <c:v>1.139373403904544</c:v>
                </c:pt>
                <c:pt idx="47">
                  <c:v>1.141555007506047</c:v>
                </c:pt>
                <c:pt idx="48">
                  <c:v>1.1437197162837</c:v>
                </c:pt>
                <c:pt idx="49">
                  <c:v>1.145836282317227</c:v>
                </c:pt>
                <c:pt idx="50">
                  <c:v>1.14793866129682</c:v>
                </c:pt>
              </c:numCache>
            </c:numRef>
          </c:yVal>
          <c:smooth val="1"/>
        </c:ser>
        <c:ser>
          <c:idx val="7"/>
          <c:order val="10"/>
          <c:tx>
            <c:strRef>
              <c:f>'Figure 5.1'!$I$41</c:f>
              <c:strCache>
                <c:ptCount val="1"/>
                <c:pt idx="0">
                  <c:v>Fixed telephone lines</c:v>
                </c:pt>
              </c:strCache>
            </c:strRef>
          </c:tx>
          <c:marker>
            <c:symbol val="none"/>
          </c:marker>
          <c:xVal>
            <c:numRef>
              <c:f>'Figure 5.1'!$A$42:$A$92</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xVal>
          <c:yVal>
            <c:numRef>
              <c:f>'Figure 5.1'!$I$42:$I$92</c:f>
              <c:numCache>
                <c:formatCode>0.00</c:formatCode>
                <c:ptCount val="51"/>
                <c:pt idx="0">
                  <c:v>1.0</c:v>
                </c:pt>
                <c:pt idx="1">
                  <c:v>1.015240722979189</c:v>
                </c:pt>
                <c:pt idx="2">
                  <c:v>1.012907817395955</c:v>
                </c:pt>
                <c:pt idx="3">
                  <c:v>0.996353645316358</c:v>
                </c:pt>
                <c:pt idx="4">
                  <c:v>0.969263154323672</c:v>
                </c:pt>
                <c:pt idx="5">
                  <c:v>0.93492066310295</c:v>
                </c:pt>
                <c:pt idx="6">
                  <c:v>0.896223734687492</c:v>
                </c:pt>
                <c:pt idx="7">
                  <c:v>0.855156747168495</c:v>
                </c:pt>
                <c:pt idx="8">
                  <c:v>0.813490015938326</c:v>
                </c:pt>
                <c:pt idx="9">
                  <c:v>0.772399766704188</c:v>
                </c:pt>
                <c:pt idx="10">
                  <c:v>0.732540238367525</c:v>
                </c:pt>
                <c:pt idx="11">
                  <c:v>0.694712916351603</c:v>
                </c:pt>
                <c:pt idx="12">
                  <c:v>0.659144219052987</c:v>
                </c:pt>
                <c:pt idx="13">
                  <c:v>0.625733641854261</c:v>
                </c:pt>
                <c:pt idx="14">
                  <c:v>0.594697553114107</c:v>
                </c:pt>
                <c:pt idx="15">
                  <c:v>0.566164753822218</c:v>
                </c:pt>
                <c:pt idx="16">
                  <c:v>0.539936620768316</c:v>
                </c:pt>
                <c:pt idx="17">
                  <c:v>0.51584036706616</c:v>
                </c:pt>
                <c:pt idx="18">
                  <c:v>0.493865880922515</c:v>
                </c:pt>
                <c:pt idx="19">
                  <c:v>0.473692586446444</c:v>
                </c:pt>
                <c:pt idx="20">
                  <c:v>0.455180472295336</c:v>
                </c:pt>
                <c:pt idx="21">
                  <c:v>0.438505923529336</c:v>
                </c:pt>
                <c:pt idx="22">
                  <c:v>0.423233393520271</c:v>
                </c:pt>
                <c:pt idx="23">
                  <c:v>0.409265784546834</c:v>
                </c:pt>
                <c:pt idx="24">
                  <c:v>0.396629813710981</c:v>
                </c:pt>
                <c:pt idx="25">
                  <c:v>0.385056088674873</c:v>
                </c:pt>
                <c:pt idx="26">
                  <c:v>0.374640864124089</c:v>
                </c:pt>
                <c:pt idx="27">
                  <c:v>0.365132425456736</c:v>
                </c:pt>
                <c:pt idx="28">
                  <c:v>0.356535360342436</c:v>
                </c:pt>
                <c:pt idx="29">
                  <c:v>0.348702684850487</c:v>
                </c:pt>
                <c:pt idx="30">
                  <c:v>0.341613049841041</c:v>
                </c:pt>
                <c:pt idx="31">
                  <c:v>0.335125301843626</c:v>
                </c:pt>
                <c:pt idx="32">
                  <c:v>0.329215175496174</c:v>
                </c:pt>
                <c:pt idx="33">
                  <c:v>0.323824821103878</c:v>
                </c:pt>
                <c:pt idx="34">
                  <c:v>0.318832063906594</c:v>
                </c:pt>
                <c:pt idx="35">
                  <c:v>0.314315814842851</c:v>
                </c:pt>
                <c:pt idx="36">
                  <c:v>0.310087315355984</c:v>
                </c:pt>
                <c:pt idx="37">
                  <c:v>0.306115197120611</c:v>
                </c:pt>
                <c:pt idx="38">
                  <c:v>0.302490205837794</c:v>
                </c:pt>
                <c:pt idx="39">
                  <c:v>0.299056828220208</c:v>
                </c:pt>
                <c:pt idx="40">
                  <c:v>0.295849884855976</c:v>
                </c:pt>
                <c:pt idx="41">
                  <c:v>0.292807191700892</c:v>
                </c:pt>
                <c:pt idx="42">
                  <c:v>0.289960055738717</c:v>
                </c:pt>
                <c:pt idx="43">
                  <c:v>0.287285923752186</c:v>
                </c:pt>
                <c:pt idx="44">
                  <c:v>0.284788543997433</c:v>
                </c:pt>
                <c:pt idx="45">
                  <c:v>0.282411416151859</c:v>
                </c:pt>
                <c:pt idx="46">
                  <c:v>0.280114524722073</c:v>
                </c:pt>
                <c:pt idx="47">
                  <c:v>0.27794932186403</c:v>
                </c:pt>
                <c:pt idx="48">
                  <c:v>0.27589207786779</c:v>
                </c:pt>
                <c:pt idx="49">
                  <c:v>0.273963234608193</c:v>
                </c:pt>
                <c:pt idx="50">
                  <c:v>0.272134948847307</c:v>
                </c:pt>
              </c:numCache>
            </c:numRef>
          </c:yVal>
          <c:smooth val="1"/>
        </c:ser>
        <c:axId val="766380904"/>
        <c:axId val="766377944"/>
      </c:scatterChart>
      <c:valAx>
        <c:axId val="766380904"/>
        <c:scaling>
          <c:orientation val="minMax"/>
          <c:max val="2060.0"/>
          <c:min val="2010.0"/>
        </c:scaling>
        <c:axPos val="b"/>
        <c:title>
          <c:tx>
            <c:rich>
              <a:bodyPr/>
              <a:lstStyle/>
              <a:p>
                <a:pPr>
                  <a:defRPr/>
                </a:pPr>
                <a:r>
                  <a:rPr lang="en-US"/>
                  <a:t>Year</a:t>
                </a:r>
              </a:p>
            </c:rich>
          </c:tx>
        </c:title>
        <c:numFmt formatCode="General" sourceLinked="1"/>
        <c:tickLblPos val="nextTo"/>
        <c:crossAx val="766377944"/>
        <c:crosses val="autoZero"/>
        <c:crossBetween val="midCat"/>
      </c:valAx>
      <c:valAx>
        <c:axId val="766377944"/>
        <c:scaling>
          <c:orientation val="minMax"/>
          <c:max val="3.0"/>
        </c:scaling>
        <c:axPos val="l"/>
        <c:majorGridlines/>
        <c:title>
          <c:tx>
            <c:rich>
              <a:bodyPr rot="-5400000" vert="horz"/>
              <a:lstStyle/>
              <a:p>
                <a:pPr>
                  <a:defRPr/>
                </a:pPr>
                <a:r>
                  <a:rPr lang="en-US"/>
                  <a:t>Relative to 2010</a:t>
                </a:r>
              </a:p>
            </c:rich>
          </c:tx>
        </c:title>
        <c:numFmt formatCode="0" sourceLinked="0"/>
        <c:tickLblPos val="nextTo"/>
        <c:crossAx val="766380904"/>
        <c:crosses val="autoZero"/>
        <c:crossBetween val="midCat"/>
        <c:majorUnit val="1.0"/>
      </c:valAx>
    </c:plotArea>
    <c:legend>
      <c:legendPos val="t"/>
      <c:layout>
        <c:manualLayout>
          <c:xMode val="edge"/>
          <c:yMode val="edge"/>
          <c:x val="0.0297785433070866"/>
          <c:y val="0.0"/>
          <c:w val="0.95664661708953"/>
          <c:h val="0.195255474035407"/>
        </c:manualLayout>
      </c:layout>
    </c:legend>
    <c:plotVisOnly val="1"/>
    <c:dispBlanksAs val="gap"/>
  </c:chart>
  <c:spPr>
    <a:ln>
      <a:noFill/>
    </a:ln>
  </c:spPr>
  <c:txPr>
    <a:bodyPr/>
    <a:lstStyle/>
    <a:p>
      <a:pPr>
        <a:defRPr b="0">
          <a:latin typeface="Times New Roman"/>
          <a:cs typeface="Times New Roman"/>
        </a:defRPr>
      </a:pPr>
      <a:endParaRPr lang="en-U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121064997083698"/>
          <c:y val="0.186706440237219"/>
          <c:w val="0.842557779235929"/>
          <c:h val="0.671517597604105"/>
        </c:manualLayout>
      </c:layout>
      <c:scatterChart>
        <c:scatterStyle val="smoothMarker"/>
        <c:ser>
          <c:idx val="0"/>
          <c:order val="0"/>
          <c:tx>
            <c:strRef>
              <c:f>'Figure 5.2'!$A$35</c:f>
              <c:strCache>
                <c:ptCount val="1"/>
                <c:pt idx="0">
                  <c:v>Low-income economies</c:v>
                </c:pt>
              </c:strCache>
            </c:strRef>
          </c:tx>
          <c:marker>
            <c:symbol val="none"/>
          </c:marker>
          <c:xVal>
            <c:numRef>
              <c:f>'Figure 5.2'!$B$34:$S$34</c:f>
              <c:numCache>
                <c:formatCode>General</c:formatCode>
                <c:ptCount val="18"/>
                <c:pt idx="0">
                  <c:v>1975.0</c:v>
                </c:pt>
                <c:pt idx="1">
                  <c:v>1980.0</c:v>
                </c:pt>
                <c:pt idx="2">
                  <c:v>1985.0</c:v>
                </c:pt>
                <c:pt idx="3">
                  <c:v>1990.0</c:v>
                </c:pt>
                <c:pt idx="4">
                  <c:v>1995.0</c:v>
                </c:pt>
                <c:pt idx="5">
                  <c:v>2000.0</c:v>
                </c:pt>
                <c:pt idx="6">
                  <c:v>2005.0</c:v>
                </c:pt>
                <c:pt idx="7">
                  <c:v>2010.0</c:v>
                </c:pt>
                <c:pt idx="8">
                  <c:v>2015.0</c:v>
                </c:pt>
                <c:pt idx="9">
                  <c:v>2020.0</c:v>
                </c:pt>
                <c:pt idx="10">
                  <c:v>2025.0</c:v>
                </c:pt>
                <c:pt idx="11">
                  <c:v>2030.0</c:v>
                </c:pt>
                <c:pt idx="12">
                  <c:v>2035.0</c:v>
                </c:pt>
                <c:pt idx="13">
                  <c:v>2040.0</c:v>
                </c:pt>
                <c:pt idx="14">
                  <c:v>2045.0</c:v>
                </c:pt>
                <c:pt idx="15">
                  <c:v>2050.0</c:v>
                </c:pt>
                <c:pt idx="16">
                  <c:v>2055.0</c:v>
                </c:pt>
                <c:pt idx="17">
                  <c:v>2060.0</c:v>
                </c:pt>
              </c:numCache>
            </c:numRef>
          </c:xVal>
          <c:yVal>
            <c:numRef>
              <c:f>'Figure 5.2'!$B$35:$S$35</c:f>
              <c:numCache>
                <c:formatCode>0.0%</c:formatCode>
                <c:ptCount val="18"/>
                <c:pt idx="0">
                  <c:v>0.0108015964833049</c:v>
                </c:pt>
                <c:pt idx="1">
                  <c:v>0.0112637801159737</c:v>
                </c:pt>
                <c:pt idx="2">
                  <c:v>0.0114989123595136</c:v>
                </c:pt>
                <c:pt idx="3">
                  <c:v>0.0118620980763784</c:v>
                </c:pt>
                <c:pt idx="4">
                  <c:v>0.0110505549386776</c:v>
                </c:pt>
                <c:pt idx="5">
                  <c:v>0.0102140786416141</c:v>
                </c:pt>
                <c:pt idx="6">
                  <c:v>0.00931698019977375</c:v>
                </c:pt>
                <c:pt idx="7" formatCode="0.000%">
                  <c:v>0.00835</c:v>
                </c:pt>
                <c:pt idx="8">
                  <c:v>0.00885</c:v>
                </c:pt>
                <c:pt idx="9">
                  <c:v>0.01085</c:v>
                </c:pt>
                <c:pt idx="10">
                  <c:v>0.01323</c:v>
                </c:pt>
                <c:pt idx="11">
                  <c:v>0.01613</c:v>
                </c:pt>
                <c:pt idx="12">
                  <c:v>0.02031</c:v>
                </c:pt>
                <c:pt idx="13">
                  <c:v>0.0258</c:v>
                </c:pt>
                <c:pt idx="14">
                  <c:v>0.0324</c:v>
                </c:pt>
                <c:pt idx="15">
                  <c:v>0.03901</c:v>
                </c:pt>
                <c:pt idx="16">
                  <c:v>0.04597</c:v>
                </c:pt>
                <c:pt idx="17">
                  <c:v>0.05413</c:v>
                </c:pt>
              </c:numCache>
            </c:numRef>
          </c:yVal>
          <c:smooth val="1"/>
        </c:ser>
        <c:ser>
          <c:idx val="1"/>
          <c:order val="1"/>
          <c:tx>
            <c:strRef>
              <c:f>'Figure 5.2'!$A$36</c:f>
              <c:strCache>
                <c:ptCount val="1"/>
                <c:pt idx="0">
                  <c:v>Lower-middle-income economies</c:v>
                </c:pt>
              </c:strCache>
            </c:strRef>
          </c:tx>
          <c:marker>
            <c:symbol val="none"/>
          </c:marker>
          <c:xVal>
            <c:numRef>
              <c:f>'Figure 5.2'!$B$34:$S$34</c:f>
              <c:numCache>
                <c:formatCode>General</c:formatCode>
                <c:ptCount val="18"/>
                <c:pt idx="0">
                  <c:v>1975.0</c:v>
                </c:pt>
                <c:pt idx="1">
                  <c:v>1980.0</c:v>
                </c:pt>
                <c:pt idx="2">
                  <c:v>1985.0</c:v>
                </c:pt>
                <c:pt idx="3">
                  <c:v>1990.0</c:v>
                </c:pt>
                <c:pt idx="4">
                  <c:v>1995.0</c:v>
                </c:pt>
                <c:pt idx="5">
                  <c:v>2000.0</c:v>
                </c:pt>
                <c:pt idx="6">
                  <c:v>2005.0</c:v>
                </c:pt>
                <c:pt idx="7">
                  <c:v>2010.0</c:v>
                </c:pt>
                <c:pt idx="8">
                  <c:v>2015.0</c:v>
                </c:pt>
                <c:pt idx="9">
                  <c:v>2020.0</c:v>
                </c:pt>
                <c:pt idx="10">
                  <c:v>2025.0</c:v>
                </c:pt>
                <c:pt idx="11">
                  <c:v>2030.0</c:v>
                </c:pt>
                <c:pt idx="12">
                  <c:v>2035.0</c:v>
                </c:pt>
                <c:pt idx="13">
                  <c:v>2040.0</c:v>
                </c:pt>
                <c:pt idx="14">
                  <c:v>2045.0</c:v>
                </c:pt>
                <c:pt idx="15">
                  <c:v>2050.0</c:v>
                </c:pt>
                <c:pt idx="16">
                  <c:v>2055.0</c:v>
                </c:pt>
                <c:pt idx="17">
                  <c:v>2060.0</c:v>
                </c:pt>
              </c:numCache>
            </c:numRef>
          </c:xVal>
          <c:yVal>
            <c:numRef>
              <c:f>'Figure 5.2'!$B$36:$S$36</c:f>
              <c:numCache>
                <c:formatCode>0.0%</c:formatCode>
                <c:ptCount val="18"/>
                <c:pt idx="0">
                  <c:v>0.0659122926916513</c:v>
                </c:pt>
                <c:pt idx="1">
                  <c:v>0.0668744271929107</c:v>
                </c:pt>
                <c:pt idx="2">
                  <c:v>0.0778003128211983</c:v>
                </c:pt>
                <c:pt idx="3">
                  <c:v>0.0859529619247658</c:v>
                </c:pt>
                <c:pt idx="4">
                  <c:v>0.0893185614482229</c:v>
                </c:pt>
                <c:pt idx="5">
                  <c:v>0.0914805477334132</c:v>
                </c:pt>
                <c:pt idx="6">
                  <c:v>0.0917147773328738</c:v>
                </c:pt>
                <c:pt idx="7">
                  <c:v>0.09186</c:v>
                </c:pt>
                <c:pt idx="8">
                  <c:v>0.09671</c:v>
                </c:pt>
                <c:pt idx="9">
                  <c:v>0.1137</c:v>
                </c:pt>
                <c:pt idx="10">
                  <c:v>0.131</c:v>
                </c:pt>
                <c:pt idx="11">
                  <c:v>0.1488</c:v>
                </c:pt>
                <c:pt idx="12">
                  <c:v>0.1699</c:v>
                </c:pt>
                <c:pt idx="13">
                  <c:v>0.1889</c:v>
                </c:pt>
                <c:pt idx="14">
                  <c:v>0.2071</c:v>
                </c:pt>
                <c:pt idx="15">
                  <c:v>0.2237</c:v>
                </c:pt>
                <c:pt idx="16">
                  <c:v>0.2385</c:v>
                </c:pt>
                <c:pt idx="17">
                  <c:v>0.2509</c:v>
                </c:pt>
              </c:numCache>
            </c:numRef>
          </c:yVal>
          <c:smooth val="1"/>
        </c:ser>
        <c:ser>
          <c:idx val="2"/>
          <c:order val="2"/>
          <c:tx>
            <c:strRef>
              <c:f>'Figure 5.2'!$A$37</c:f>
              <c:strCache>
                <c:ptCount val="1"/>
                <c:pt idx="0">
                  <c:v>Upper-middle-income economies</c:v>
                </c:pt>
              </c:strCache>
            </c:strRef>
          </c:tx>
          <c:marker>
            <c:symbol val="none"/>
          </c:marker>
          <c:xVal>
            <c:numRef>
              <c:f>'Figure 5.2'!$B$34:$S$34</c:f>
              <c:numCache>
                <c:formatCode>General</c:formatCode>
                <c:ptCount val="18"/>
                <c:pt idx="0">
                  <c:v>1975.0</c:v>
                </c:pt>
                <c:pt idx="1">
                  <c:v>1980.0</c:v>
                </c:pt>
                <c:pt idx="2">
                  <c:v>1985.0</c:v>
                </c:pt>
                <c:pt idx="3">
                  <c:v>1990.0</c:v>
                </c:pt>
                <c:pt idx="4">
                  <c:v>1995.0</c:v>
                </c:pt>
                <c:pt idx="5">
                  <c:v>2000.0</c:v>
                </c:pt>
                <c:pt idx="6">
                  <c:v>2005.0</c:v>
                </c:pt>
                <c:pt idx="7">
                  <c:v>2010.0</c:v>
                </c:pt>
                <c:pt idx="8">
                  <c:v>2015.0</c:v>
                </c:pt>
                <c:pt idx="9">
                  <c:v>2020.0</c:v>
                </c:pt>
                <c:pt idx="10">
                  <c:v>2025.0</c:v>
                </c:pt>
                <c:pt idx="11">
                  <c:v>2030.0</c:v>
                </c:pt>
                <c:pt idx="12">
                  <c:v>2035.0</c:v>
                </c:pt>
                <c:pt idx="13">
                  <c:v>2040.0</c:v>
                </c:pt>
                <c:pt idx="14">
                  <c:v>2045.0</c:v>
                </c:pt>
                <c:pt idx="15">
                  <c:v>2050.0</c:v>
                </c:pt>
                <c:pt idx="16">
                  <c:v>2055.0</c:v>
                </c:pt>
                <c:pt idx="17">
                  <c:v>2060.0</c:v>
                </c:pt>
              </c:numCache>
            </c:numRef>
          </c:xVal>
          <c:yVal>
            <c:numRef>
              <c:f>'Figure 5.2'!$B$37:$S$37</c:f>
              <c:numCache>
                <c:formatCode>0.0%</c:formatCode>
                <c:ptCount val="18"/>
                <c:pt idx="0">
                  <c:v>0.208180146175535</c:v>
                </c:pt>
                <c:pt idx="1">
                  <c:v>0.222480490825396</c:v>
                </c:pt>
                <c:pt idx="2">
                  <c:v>0.231850353394245</c:v>
                </c:pt>
                <c:pt idx="3">
                  <c:v>0.247615819725459</c:v>
                </c:pt>
                <c:pt idx="4">
                  <c:v>0.267398926281705</c:v>
                </c:pt>
                <c:pt idx="5">
                  <c:v>0.286821545539946</c:v>
                </c:pt>
                <c:pt idx="6">
                  <c:v>0.310758116521797</c:v>
                </c:pt>
                <c:pt idx="7">
                  <c:v>0.3649</c:v>
                </c:pt>
                <c:pt idx="8">
                  <c:v>0.3881</c:v>
                </c:pt>
                <c:pt idx="9">
                  <c:v>0.3893</c:v>
                </c:pt>
                <c:pt idx="10">
                  <c:v>0.4064</c:v>
                </c:pt>
                <c:pt idx="11">
                  <c:v>0.4198</c:v>
                </c:pt>
                <c:pt idx="12">
                  <c:v>0.4195</c:v>
                </c:pt>
                <c:pt idx="13">
                  <c:v>0.4182</c:v>
                </c:pt>
                <c:pt idx="14">
                  <c:v>0.4163</c:v>
                </c:pt>
                <c:pt idx="15">
                  <c:v>0.4134</c:v>
                </c:pt>
                <c:pt idx="16">
                  <c:v>0.4058</c:v>
                </c:pt>
                <c:pt idx="17">
                  <c:v>0.3964</c:v>
                </c:pt>
              </c:numCache>
            </c:numRef>
          </c:yVal>
          <c:smooth val="1"/>
        </c:ser>
        <c:ser>
          <c:idx val="3"/>
          <c:order val="3"/>
          <c:tx>
            <c:strRef>
              <c:f>'Figure 5.2'!$A$38</c:f>
              <c:strCache>
                <c:ptCount val="1"/>
                <c:pt idx="0">
                  <c:v>High-income economies</c:v>
                </c:pt>
              </c:strCache>
            </c:strRef>
          </c:tx>
          <c:marker>
            <c:symbol val="none"/>
          </c:marker>
          <c:xVal>
            <c:numRef>
              <c:f>'Figure 5.2'!$B$34:$S$34</c:f>
              <c:numCache>
                <c:formatCode>General</c:formatCode>
                <c:ptCount val="18"/>
                <c:pt idx="0">
                  <c:v>1975.0</c:v>
                </c:pt>
                <c:pt idx="1">
                  <c:v>1980.0</c:v>
                </c:pt>
                <c:pt idx="2">
                  <c:v>1985.0</c:v>
                </c:pt>
                <c:pt idx="3">
                  <c:v>1990.0</c:v>
                </c:pt>
                <c:pt idx="4">
                  <c:v>1995.0</c:v>
                </c:pt>
                <c:pt idx="5">
                  <c:v>2000.0</c:v>
                </c:pt>
                <c:pt idx="6">
                  <c:v>2005.0</c:v>
                </c:pt>
                <c:pt idx="7">
                  <c:v>2010.0</c:v>
                </c:pt>
                <c:pt idx="8">
                  <c:v>2015.0</c:v>
                </c:pt>
                <c:pt idx="9">
                  <c:v>2020.0</c:v>
                </c:pt>
                <c:pt idx="10">
                  <c:v>2025.0</c:v>
                </c:pt>
                <c:pt idx="11">
                  <c:v>2030.0</c:v>
                </c:pt>
                <c:pt idx="12">
                  <c:v>2035.0</c:v>
                </c:pt>
                <c:pt idx="13">
                  <c:v>2040.0</c:v>
                </c:pt>
                <c:pt idx="14">
                  <c:v>2045.0</c:v>
                </c:pt>
                <c:pt idx="15">
                  <c:v>2050.0</c:v>
                </c:pt>
                <c:pt idx="16">
                  <c:v>2055.0</c:v>
                </c:pt>
                <c:pt idx="17">
                  <c:v>2060.0</c:v>
                </c:pt>
              </c:numCache>
            </c:numRef>
          </c:xVal>
          <c:yVal>
            <c:numRef>
              <c:f>'Figure 5.2'!$B$38:$S$38</c:f>
              <c:numCache>
                <c:formatCode>0.0%</c:formatCode>
                <c:ptCount val="18"/>
                <c:pt idx="0">
                  <c:v>0.715105964649509</c:v>
                </c:pt>
                <c:pt idx="1">
                  <c:v>0.69938130186572</c:v>
                </c:pt>
                <c:pt idx="2">
                  <c:v>0.678850421425043</c:v>
                </c:pt>
                <c:pt idx="3">
                  <c:v>0.654569120273397</c:v>
                </c:pt>
                <c:pt idx="4">
                  <c:v>0.632231957331395</c:v>
                </c:pt>
                <c:pt idx="5">
                  <c:v>0.611483828085027</c:v>
                </c:pt>
                <c:pt idx="6">
                  <c:v>0.588210125945556</c:v>
                </c:pt>
                <c:pt idx="7">
                  <c:v>0.5348</c:v>
                </c:pt>
                <c:pt idx="8">
                  <c:v>0.5064</c:v>
                </c:pt>
                <c:pt idx="9">
                  <c:v>0.4861</c:v>
                </c:pt>
                <c:pt idx="10">
                  <c:v>0.4493</c:v>
                </c:pt>
                <c:pt idx="11">
                  <c:v>0.4153</c:v>
                </c:pt>
                <c:pt idx="12">
                  <c:v>0.3903</c:v>
                </c:pt>
                <c:pt idx="13">
                  <c:v>0.367</c:v>
                </c:pt>
                <c:pt idx="14">
                  <c:v>0.3442</c:v>
                </c:pt>
                <c:pt idx="15">
                  <c:v>0.3239</c:v>
                </c:pt>
                <c:pt idx="16">
                  <c:v>0.3097</c:v>
                </c:pt>
                <c:pt idx="17">
                  <c:v>0.2985</c:v>
                </c:pt>
              </c:numCache>
            </c:numRef>
          </c:yVal>
          <c:smooth val="1"/>
        </c:ser>
        <c:axId val="741121912"/>
        <c:axId val="765825352"/>
      </c:scatterChart>
      <c:valAx>
        <c:axId val="741121912"/>
        <c:scaling>
          <c:orientation val="minMax"/>
          <c:max val="2060.0"/>
          <c:min val="1975.0"/>
        </c:scaling>
        <c:axPos val="b"/>
        <c:title>
          <c:tx>
            <c:rich>
              <a:bodyPr/>
              <a:lstStyle/>
              <a:p>
                <a:pPr>
                  <a:defRPr b="0"/>
                </a:pPr>
                <a:r>
                  <a:rPr lang="en-US" b="0"/>
                  <a:t>Year</a:t>
                </a:r>
              </a:p>
            </c:rich>
          </c:tx>
        </c:title>
        <c:numFmt formatCode="General" sourceLinked="1"/>
        <c:tickLblPos val="nextTo"/>
        <c:crossAx val="765825352"/>
        <c:crosses val="autoZero"/>
        <c:crossBetween val="midCat"/>
      </c:valAx>
      <c:valAx>
        <c:axId val="765825352"/>
        <c:scaling>
          <c:orientation val="minMax"/>
        </c:scaling>
        <c:axPos val="l"/>
        <c:majorGridlines/>
        <c:title>
          <c:tx>
            <c:rich>
              <a:bodyPr rot="-5400000" vert="horz"/>
              <a:lstStyle/>
              <a:p>
                <a:pPr>
                  <a:defRPr b="0"/>
                </a:pPr>
                <a:r>
                  <a:rPr lang="en-US" b="0"/>
                  <a:t>Share of global total (percent)</a:t>
                </a:r>
              </a:p>
            </c:rich>
          </c:tx>
        </c:title>
        <c:numFmt formatCode="0%" sourceLinked="0"/>
        <c:tickLblPos val="nextTo"/>
        <c:crossAx val="741121912"/>
        <c:crosses val="autoZero"/>
        <c:crossBetween val="midCat"/>
      </c:valAx>
    </c:plotArea>
    <c:legend>
      <c:legendPos val="t"/>
    </c:legend>
    <c:plotVisOnly val="1"/>
    <c:dispBlanksAs val="gap"/>
  </c:chart>
  <c:txPr>
    <a:bodyPr/>
    <a:lstStyle/>
    <a:p>
      <a:pPr>
        <a:defRPr>
          <a:latin typeface="Times New Roman"/>
          <a:cs typeface="Times New Roman"/>
        </a:defRPr>
      </a:pPr>
      <a:endParaRPr lang="en-US"/>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112952127659574"/>
          <c:y val="0.191835873861042"/>
          <c:w val="0.840570447311107"/>
          <c:h val="0.672415584891934"/>
        </c:manualLayout>
      </c:layout>
      <c:lineChart>
        <c:grouping val="standard"/>
        <c:ser>
          <c:idx val="0"/>
          <c:order val="0"/>
          <c:tx>
            <c:strRef>
              <c:f>'data US$2000'!$J$3</c:f>
              <c:strCache>
                <c:ptCount val="1"/>
                <c:pt idx="0">
                  <c:v>Low-income economies</c:v>
                </c:pt>
              </c:strCache>
            </c:strRef>
          </c:tx>
          <c:spPr>
            <a:ln>
              <a:solidFill>
                <a:schemeClr val="accent1"/>
              </a:solidFill>
            </a:ln>
          </c:spPr>
          <c:marker>
            <c:symbol val="none"/>
          </c:marker>
          <c:cat>
            <c:numRef>
              <c:f>'data US$2000'!$A$4:$A$54</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cat>
          <c:val>
            <c:numRef>
              <c:f>'data US$2000'!$J$4:$J$54</c:f>
              <c:numCache>
                <c:formatCode>General</c:formatCode>
                <c:ptCount val="51"/>
                <c:pt idx="0">
                  <c:v>28.29899999999999</c:v>
                </c:pt>
                <c:pt idx="1">
                  <c:v>32.182</c:v>
                </c:pt>
                <c:pt idx="2">
                  <c:v>36.981</c:v>
                </c:pt>
                <c:pt idx="3">
                  <c:v>39.263</c:v>
                </c:pt>
                <c:pt idx="4">
                  <c:v>41.866</c:v>
                </c:pt>
                <c:pt idx="5">
                  <c:v>45.59800000000001</c:v>
                </c:pt>
                <c:pt idx="6">
                  <c:v>50.25999999999998</c:v>
                </c:pt>
                <c:pt idx="7">
                  <c:v>55.193</c:v>
                </c:pt>
                <c:pt idx="8">
                  <c:v>60.257</c:v>
                </c:pt>
                <c:pt idx="9">
                  <c:v>64.483</c:v>
                </c:pt>
                <c:pt idx="10">
                  <c:v>67.306</c:v>
                </c:pt>
                <c:pt idx="11">
                  <c:v>69.04</c:v>
                </c:pt>
                <c:pt idx="12">
                  <c:v>70.706</c:v>
                </c:pt>
                <c:pt idx="13">
                  <c:v>72.43200000000001</c:v>
                </c:pt>
                <c:pt idx="14">
                  <c:v>74.41800000000003</c:v>
                </c:pt>
                <c:pt idx="15">
                  <c:v>77.025</c:v>
                </c:pt>
                <c:pt idx="16">
                  <c:v>80.20199999999996</c:v>
                </c:pt>
                <c:pt idx="17">
                  <c:v>83.591</c:v>
                </c:pt>
                <c:pt idx="18">
                  <c:v>87.15199999999998</c:v>
                </c:pt>
                <c:pt idx="19">
                  <c:v>90.905</c:v>
                </c:pt>
                <c:pt idx="20">
                  <c:v>95.03</c:v>
                </c:pt>
                <c:pt idx="21">
                  <c:v>99.397</c:v>
                </c:pt>
                <c:pt idx="22">
                  <c:v>103.749</c:v>
                </c:pt>
                <c:pt idx="23">
                  <c:v>107.982</c:v>
                </c:pt>
                <c:pt idx="24">
                  <c:v>112.522</c:v>
                </c:pt>
                <c:pt idx="25">
                  <c:v>117.445</c:v>
                </c:pt>
                <c:pt idx="26">
                  <c:v>122.687</c:v>
                </c:pt>
                <c:pt idx="27">
                  <c:v>128.463</c:v>
                </c:pt>
                <c:pt idx="28">
                  <c:v>134.573</c:v>
                </c:pt>
                <c:pt idx="29">
                  <c:v>140.921</c:v>
                </c:pt>
                <c:pt idx="30">
                  <c:v>147.461</c:v>
                </c:pt>
                <c:pt idx="31">
                  <c:v>154.396</c:v>
                </c:pt>
                <c:pt idx="32">
                  <c:v>161.501</c:v>
                </c:pt>
                <c:pt idx="33">
                  <c:v>168.738</c:v>
                </c:pt>
                <c:pt idx="34">
                  <c:v>176.123</c:v>
                </c:pt>
                <c:pt idx="35">
                  <c:v>183.536</c:v>
                </c:pt>
                <c:pt idx="36">
                  <c:v>190.486</c:v>
                </c:pt>
                <c:pt idx="37">
                  <c:v>197.109</c:v>
                </c:pt>
                <c:pt idx="38">
                  <c:v>203.935</c:v>
                </c:pt>
                <c:pt idx="39">
                  <c:v>210.931</c:v>
                </c:pt>
                <c:pt idx="40">
                  <c:v>218.187</c:v>
                </c:pt>
                <c:pt idx="41">
                  <c:v>225.929</c:v>
                </c:pt>
                <c:pt idx="42">
                  <c:v>234.174</c:v>
                </c:pt>
                <c:pt idx="43">
                  <c:v>243.112</c:v>
                </c:pt>
                <c:pt idx="44">
                  <c:v>252.23</c:v>
                </c:pt>
                <c:pt idx="45">
                  <c:v>261.647</c:v>
                </c:pt>
                <c:pt idx="46">
                  <c:v>271.661</c:v>
                </c:pt>
                <c:pt idx="47">
                  <c:v>281.71</c:v>
                </c:pt>
                <c:pt idx="48">
                  <c:v>292.47</c:v>
                </c:pt>
                <c:pt idx="49">
                  <c:v>303.6829999999999</c:v>
                </c:pt>
                <c:pt idx="50">
                  <c:v>314.052</c:v>
                </c:pt>
              </c:numCache>
            </c:numRef>
          </c:val>
        </c:ser>
        <c:ser>
          <c:idx val="1"/>
          <c:order val="1"/>
          <c:tx>
            <c:strRef>
              <c:f>'data US$2000'!$K$3</c:f>
              <c:strCache>
                <c:ptCount val="1"/>
                <c:pt idx="0">
                  <c:v>Lower-middle-income economies</c:v>
                </c:pt>
              </c:strCache>
            </c:strRef>
          </c:tx>
          <c:spPr>
            <a:ln>
              <a:solidFill>
                <a:schemeClr val="accent2"/>
              </a:solidFill>
            </a:ln>
          </c:spPr>
          <c:marker>
            <c:symbol val="none"/>
          </c:marker>
          <c:cat>
            <c:numRef>
              <c:f>'data US$2000'!$A$4:$A$54</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cat>
          <c:val>
            <c:numRef>
              <c:f>'data US$2000'!$K$4:$K$54</c:f>
              <c:numCache>
                <c:formatCode>General</c:formatCode>
                <c:ptCount val="51"/>
                <c:pt idx="0">
                  <c:v>207.138</c:v>
                </c:pt>
                <c:pt idx="1">
                  <c:v>210.995</c:v>
                </c:pt>
                <c:pt idx="2">
                  <c:v>221.096</c:v>
                </c:pt>
                <c:pt idx="3">
                  <c:v>232.454</c:v>
                </c:pt>
                <c:pt idx="4">
                  <c:v>245.346</c:v>
                </c:pt>
                <c:pt idx="5">
                  <c:v>263.9469999999992</c:v>
                </c:pt>
                <c:pt idx="6">
                  <c:v>285.633</c:v>
                </c:pt>
                <c:pt idx="7">
                  <c:v>309.1569999999999</c:v>
                </c:pt>
                <c:pt idx="8">
                  <c:v>331.823</c:v>
                </c:pt>
                <c:pt idx="9">
                  <c:v>352.7880000000001</c:v>
                </c:pt>
                <c:pt idx="10">
                  <c:v>368.6320000000001</c:v>
                </c:pt>
                <c:pt idx="11">
                  <c:v>380.101</c:v>
                </c:pt>
                <c:pt idx="12">
                  <c:v>388.5170000000001</c:v>
                </c:pt>
                <c:pt idx="13">
                  <c:v>396.6000000000002</c:v>
                </c:pt>
                <c:pt idx="14">
                  <c:v>405.6330000000001</c:v>
                </c:pt>
                <c:pt idx="15">
                  <c:v>415.1260000000001</c:v>
                </c:pt>
                <c:pt idx="16">
                  <c:v>428.77</c:v>
                </c:pt>
                <c:pt idx="17">
                  <c:v>443.603</c:v>
                </c:pt>
                <c:pt idx="18">
                  <c:v>459.785</c:v>
                </c:pt>
                <c:pt idx="19">
                  <c:v>474.4979999999991</c:v>
                </c:pt>
                <c:pt idx="20">
                  <c:v>489.6529999999998</c:v>
                </c:pt>
                <c:pt idx="21">
                  <c:v>506.855</c:v>
                </c:pt>
                <c:pt idx="22">
                  <c:v>523.2489999999997</c:v>
                </c:pt>
                <c:pt idx="23">
                  <c:v>539.0169999999994</c:v>
                </c:pt>
                <c:pt idx="24">
                  <c:v>553.9920000000001</c:v>
                </c:pt>
                <c:pt idx="25">
                  <c:v>568.9090000000001</c:v>
                </c:pt>
                <c:pt idx="26">
                  <c:v>584.8390000000002</c:v>
                </c:pt>
                <c:pt idx="27">
                  <c:v>601.616</c:v>
                </c:pt>
                <c:pt idx="28">
                  <c:v>619.381</c:v>
                </c:pt>
                <c:pt idx="29">
                  <c:v>639.4489999999994</c:v>
                </c:pt>
                <c:pt idx="30">
                  <c:v>660.6659999999994</c:v>
                </c:pt>
                <c:pt idx="31">
                  <c:v>682.7529999999994</c:v>
                </c:pt>
                <c:pt idx="32">
                  <c:v>706.0410000000002</c:v>
                </c:pt>
                <c:pt idx="33">
                  <c:v>729.8129999999987</c:v>
                </c:pt>
                <c:pt idx="34">
                  <c:v>753.6649999999994</c:v>
                </c:pt>
                <c:pt idx="35">
                  <c:v>777.781</c:v>
                </c:pt>
                <c:pt idx="36">
                  <c:v>799.5219999999994</c:v>
                </c:pt>
                <c:pt idx="37">
                  <c:v>820.6720000000004</c:v>
                </c:pt>
                <c:pt idx="38">
                  <c:v>840.662999999999</c:v>
                </c:pt>
                <c:pt idx="39">
                  <c:v>860.0549999999994</c:v>
                </c:pt>
                <c:pt idx="40">
                  <c:v>880.1870000000001</c:v>
                </c:pt>
                <c:pt idx="41">
                  <c:v>901.078</c:v>
                </c:pt>
                <c:pt idx="42">
                  <c:v>923.0879999999994</c:v>
                </c:pt>
                <c:pt idx="43">
                  <c:v>945.4150000000001</c:v>
                </c:pt>
                <c:pt idx="44">
                  <c:v>968.5849999999998</c:v>
                </c:pt>
                <c:pt idx="45">
                  <c:v>991.725</c:v>
                </c:pt>
                <c:pt idx="46">
                  <c:v>1013.466</c:v>
                </c:pt>
                <c:pt idx="47">
                  <c:v>1033.618</c:v>
                </c:pt>
                <c:pt idx="48">
                  <c:v>1051.666</c:v>
                </c:pt>
                <c:pt idx="49">
                  <c:v>1068.437</c:v>
                </c:pt>
                <c:pt idx="50">
                  <c:v>1081.917</c:v>
                </c:pt>
              </c:numCache>
            </c:numRef>
          </c:val>
        </c:ser>
        <c:ser>
          <c:idx val="2"/>
          <c:order val="2"/>
          <c:tx>
            <c:strRef>
              <c:f>'data US$2000'!$L$3</c:f>
              <c:strCache>
                <c:ptCount val="1"/>
                <c:pt idx="0">
                  <c:v>Upper-middle-income economies</c:v>
                </c:pt>
              </c:strCache>
            </c:strRef>
          </c:tx>
          <c:spPr>
            <a:ln>
              <a:solidFill>
                <a:schemeClr val="accent3"/>
              </a:solidFill>
            </a:ln>
          </c:spPr>
          <c:marker>
            <c:symbol val="none"/>
          </c:marker>
          <c:cat>
            <c:numRef>
              <c:f>'data US$2000'!$A$4:$A$54</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cat>
          <c:val>
            <c:numRef>
              <c:f>'data US$2000'!$L$4:$L$54</c:f>
              <c:numCache>
                <c:formatCode>General</c:formatCode>
                <c:ptCount val="51"/>
                <c:pt idx="0">
                  <c:v>600.2080000000001</c:v>
                </c:pt>
                <c:pt idx="1">
                  <c:v>602.5609999999994</c:v>
                </c:pt>
                <c:pt idx="2">
                  <c:v>618.48</c:v>
                </c:pt>
                <c:pt idx="3">
                  <c:v>622.9019999999994</c:v>
                </c:pt>
                <c:pt idx="4">
                  <c:v>631.6970000000002</c:v>
                </c:pt>
                <c:pt idx="5">
                  <c:v>643.1399999999998</c:v>
                </c:pt>
                <c:pt idx="6">
                  <c:v>656.1549999999994</c:v>
                </c:pt>
                <c:pt idx="7">
                  <c:v>670.593</c:v>
                </c:pt>
                <c:pt idx="8">
                  <c:v>684.8639999999994</c:v>
                </c:pt>
                <c:pt idx="9">
                  <c:v>706.8049999999994</c:v>
                </c:pt>
                <c:pt idx="10">
                  <c:v>738.7839999999996</c:v>
                </c:pt>
                <c:pt idx="11">
                  <c:v>779.288</c:v>
                </c:pt>
                <c:pt idx="12">
                  <c:v>822.6320000000001</c:v>
                </c:pt>
                <c:pt idx="13">
                  <c:v>863.48</c:v>
                </c:pt>
                <c:pt idx="14">
                  <c:v>898.6820000000001</c:v>
                </c:pt>
                <c:pt idx="15">
                  <c:v>926.5850000000001</c:v>
                </c:pt>
                <c:pt idx="16">
                  <c:v>948.283</c:v>
                </c:pt>
                <c:pt idx="17">
                  <c:v>964.3299999999994</c:v>
                </c:pt>
                <c:pt idx="18">
                  <c:v>975.9479999999986</c:v>
                </c:pt>
                <c:pt idx="19">
                  <c:v>985.5260000000001</c:v>
                </c:pt>
                <c:pt idx="20">
                  <c:v>995.6350000000003</c:v>
                </c:pt>
                <c:pt idx="21">
                  <c:v>1006.179</c:v>
                </c:pt>
                <c:pt idx="22">
                  <c:v>1019.933</c:v>
                </c:pt>
                <c:pt idx="23">
                  <c:v>1037.252</c:v>
                </c:pt>
                <c:pt idx="24">
                  <c:v>1057.159</c:v>
                </c:pt>
                <c:pt idx="25">
                  <c:v>1078.134</c:v>
                </c:pt>
                <c:pt idx="26">
                  <c:v>1100.885</c:v>
                </c:pt>
                <c:pt idx="27">
                  <c:v>1125.391</c:v>
                </c:pt>
                <c:pt idx="28">
                  <c:v>1152.030000000001</c:v>
                </c:pt>
                <c:pt idx="29">
                  <c:v>1180.583</c:v>
                </c:pt>
                <c:pt idx="30">
                  <c:v>1207.803</c:v>
                </c:pt>
                <c:pt idx="31">
                  <c:v>1235.099</c:v>
                </c:pt>
                <c:pt idx="32">
                  <c:v>1263.690000000001</c:v>
                </c:pt>
                <c:pt idx="33">
                  <c:v>1294.625</c:v>
                </c:pt>
                <c:pt idx="34">
                  <c:v>1326.381000000001</c:v>
                </c:pt>
                <c:pt idx="35">
                  <c:v>1357.612000000001</c:v>
                </c:pt>
                <c:pt idx="36">
                  <c:v>1386.342</c:v>
                </c:pt>
                <c:pt idx="37">
                  <c:v>1411.704000000001</c:v>
                </c:pt>
                <c:pt idx="38">
                  <c:v>1432.919000000001</c:v>
                </c:pt>
                <c:pt idx="39">
                  <c:v>1449.471</c:v>
                </c:pt>
                <c:pt idx="40">
                  <c:v>1458.738</c:v>
                </c:pt>
                <c:pt idx="41">
                  <c:v>1469.404</c:v>
                </c:pt>
                <c:pt idx="42">
                  <c:v>1481.534000000001</c:v>
                </c:pt>
                <c:pt idx="43">
                  <c:v>1494.199</c:v>
                </c:pt>
                <c:pt idx="44">
                  <c:v>1507.678</c:v>
                </c:pt>
                <c:pt idx="45">
                  <c:v>1521.51</c:v>
                </c:pt>
                <c:pt idx="46">
                  <c:v>1535.185</c:v>
                </c:pt>
                <c:pt idx="47">
                  <c:v>1549.037</c:v>
                </c:pt>
                <c:pt idx="48">
                  <c:v>1562.495</c:v>
                </c:pt>
                <c:pt idx="49">
                  <c:v>1576.176</c:v>
                </c:pt>
                <c:pt idx="50">
                  <c:v>1590.279</c:v>
                </c:pt>
              </c:numCache>
            </c:numRef>
          </c:val>
        </c:ser>
        <c:ser>
          <c:idx val="3"/>
          <c:order val="3"/>
          <c:tx>
            <c:strRef>
              <c:f>'data US$2000'!$M$3</c:f>
              <c:strCache>
                <c:ptCount val="1"/>
                <c:pt idx="0">
                  <c:v>High-income economies</c:v>
                </c:pt>
              </c:strCache>
            </c:strRef>
          </c:tx>
          <c:spPr>
            <a:ln>
              <a:solidFill>
                <a:schemeClr val="tx2"/>
              </a:solidFill>
            </a:ln>
          </c:spPr>
          <c:marker>
            <c:symbol val="none"/>
          </c:marker>
          <c:cat>
            <c:numRef>
              <c:f>'data US$2000'!$A$4:$A$54</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cat>
          <c:val>
            <c:numRef>
              <c:f>'data US$2000'!$M$4:$M$54</c:f>
              <c:numCache>
                <c:formatCode>General</c:formatCode>
                <c:ptCount val="51"/>
                <c:pt idx="0">
                  <c:v>882.4550000000003</c:v>
                </c:pt>
                <c:pt idx="1">
                  <c:v>894.1969999999997</c:v>
                </c:pt>
                <c:pt idx="2">
                  <c:v>891.085</c:v>
                </c:pt>
                <c:pt idx="3">
                  <c:v>890.879</c:v>
                </c:pt>
                <c:pt idx="4">
                  <c:v>898.2969999999998</c:v>
                </c:pt>
                <c:pt idx="5">
                  <c:v>907.3059999999994</c:v>
                </c:pt>
                <c:pt idx="6">
                  <c:v>914.3039999999999</c:v>
                </c:pt>
                <c:pt idx="7">
                  <c:v>918.6199999999999</c:v>
                </c:pt>
                <c:pt idx="8">
                  <c:v>920.6320000000002</c:v>
                </c:pt>
                <c:pt idx="9">
                  <c:v>921.532999999999</c:v>
                </c:pt>
                <c:pt idx="10">
                  <c:v>922.8430000000001</c:v>
                </c:pt>
                <c:pt idx="11">
                  <c:v>925.726</c:v>
                </c:pt>
                <c:pt idx="12">
                  <c:v>930.272</c:v>
                </c:pt>
                <c:pt idx="13">
                  <c:v>936.445999999999</c:v>
                </c:pt>
                <c:pt idx="14">
                  <c:v>943.463</c:v>
                </c:pt>
                <c:pt idx="15">
                  <c:v>950.79</c:v>
                </c:pt>
                <c:pt idx="16">
                  <c:v>957.981</c:v>
                </c:pt>
                <c:pt idx="17">
                  <c:v>964.6259999999994</c:v>
                </c:pt>
                <c:pt idx="18">
                  <c:v>971.7369999999999</c:v>
                </c:pt>
                <c:pt idx="19">
                  <c:v>978.9919999999994</c:v>
                </c:pt>
                <c:pt idx="20">
                  <c:v>985.8519999999986</c:v>
                </c:pt>
                <c:pt idx="21">
                  <c:v>991.9860000000002</c:v>
                </c:pt>
                <c:pt idx="22">
                  <c:v>997.6400000000001</c:v>
                </c:pt>
                <c:pt idx="23">
                  <c:v>1002.737</c:v>
                </c:pt>
                <c:pt idx="24">
                  <c:v>1009.488</c:v>
                </c:pt>
                <c:pt idx="25">
                  <c:v>1018.473</c:v>
                </c:pt>
                <c:pt idx="26">
                  <c:v>1030.009</c:v>
                </c:pt>
                <c:pt idx="27">
                  <c:v>1044.497</c:v>
                </c:pt>
                <c:pt idx="28">
                  <c:v>1061.682</c:v>
                </c:pt>
                <c:pt idx="29">
                  <c:v>1082.278</c:v>
                </c:pt>
                <c:pt idx="30">
                  <c:v>1104.392</c:v>
                </c:pt>
                <c:pt idx="31">
                  <c:v>1129.056</c:v>
                </c:pt>
                <c:pt idx="32">
                  <c:v>1153.287</c:v>
                </c:pt>
                <c:pt idx="33">
                  <c:v>1176.286</c:v>
                </c:pt>
                <c:pt idx="34">
                  <c:v>1192.696</c:v>
                </c:pt>
                <c:pt idx="35">
                  <c:v>1208.502</c:v>
                </c:pt>
                <c:pt idx="36">
                  <c:v>1220.51</c:v>
                </c:pt>
                <c:pt idx="37">
                  <c:v>1231.703</c:v>
                </c:pt>
                <c:pt idx="38">
                  <c:v>1242.438</c:v>
                </c:pt>
                <c:pt idx="39">
                  <c:v>1253.991</c:v>
                </c:pt>
                <c:pt idx="40">
                  <c:v>1265.842</c:v>
                </c:pt>
                <c:pt idx="41">
                  <c:v>1277.94</c:v>
                </c:pt>
                <c:pt idx="42">
                  <c:v>1289.578</c:v>
                </c:pt>
                <c:pt idx="43">
                  <c:v>1301.802</c:v>
                </c:pt>
                <c:pt idx="44">
                  <c:v>1314.227</c:v>
                </c:pt>
                <c:pt idx="45">
                  <c:v>1326.605</c:v>
                </c:pt>
                <c:pt idx="46">
                  <c:v>1338.56</c:v>
                </c:pt>
                <c:pt idx="47">
                  <c:v>1350.71</c:v>
                </c:pt>
                <c:pt idx="48">
                  <c:v>1362.578</c:v>
                </c:pt>
                <c:pt idx="49">
                  <c:v>1374.788</c:v>
                </c:pt>
                <c:pt idx="50">
                  <c:v>1386.936</c:v>
                </c:pt>
              </c:numCache>
            </c:numRef>
          </c:val>
        </c:ser>
        <c:marker val="1"/>
        <c:axId val="741173448"/>
        <c:axId val="765569256"/>
      </c:lineChart>
      <c:catAx>
        <c:axId val="741173448"/>
        <c:scaling>
          <c:orientation val="minMax"/>
        </c:scaling>
        <c:axPos val="b"/>
        <c:title>
          <c:tx>
            <c:rich>
              <a:bodyPr/>
              <a:lstStyle/>
              <a:p>
                <a:pPr>
                  <a:defRPr/>
                </a:pPr>
                <a:r>
                  <a:rPr lang="en-US"/>
                  <a:t>Year</a:t>
                </a:r>
              </a:p>
            </c:rich>
          </c:tx>
        </c:title>
        <c:numFmt formatCode="General" sourceLinked="1"/>
        <c:tickLblPos val="nextTo"/>
        <c:crossAx val="765569256"/>
        <c:crosses val="autoZero"/>
        <c:auto val="1"/>
        <c:lblAlgn val="ctr"/>
        <c:lblOffset val="100"/>
        <c:tickLblSkip val="10"/>
        <c:tickMarkSkip val="1"/>
      </c:catAx>
      <c:valAx>
        <c:axId val="765569256"/>
        <c:scaling>
          <c:orientation val="minMax"/>
        </c:scaling>
        <c:axPos val="l"/>
        <c:majorGridlines/>
        <c:numFmt formatCode="#,##0" sourceLinked="0"/>
        <c:tickLblPos val="nextTo"/>
        <c:crossAx val="741173448"/>
        <c:crosses val="autoZero"/>
        <c:crossBetween val="between"/>
      </c:valAx>
    </c:plotArea>
    <c:legend>
      <c:legendPos val="t"/>
    </c:legend>
    <c:plotVisOnly val="1"/>
  </c:chart>
  <c:txPr>
    <a:bodyPr/>
    <a:lstStyle/>
    <a:p>
      <a:pPr>
        <a:defRPr b="0">
          <a:latin typeface="Times New Roman"/>
          <a:cs typeface="Times New Roman"/>
        </a:defRPr>
      </a:pPr>
      <a:endParaRPr lang="en-US"/>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112952127659574"/>
          <c:y val="0.20704725167577"/>
          <c:w val="0.840570447311107"/>
          <c:h val="0.664967921189132"/>
        </c:manualLayout>
      </c:layout>
      <c:lineChart>
        <c:grouping val="standard"/>
        <c:ser>
          <c:idx val="0"/>
          <c:order val="0"/>
          <c:tx>
            <c:strRef>
              <c:f>'data US$2000'!$B$3</c:f>
              <c:strCache>
                <c:ptCount val="1"/>
                <c:pt idx="0">
                  <c:v>East Asia and Pacific</c:v>
                </c:pt>
              </c:strCache>
            </c:strRef>
          </c:tx>
          <c:spPr>
            <a:ln>
              <a:solidFill>
                <a:schemeClr val="accent5"/>
              </a:solidFill>
            </a:ln>
          </c:spPr>
          <c:marker>
            <c:symbol val="none"/>
          </c:marker>
          <c:cat>
            <c:numRef>
              <c:f>'data US$2000'!$A$4:$A$54</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cat>
          <c:val>
            <c:numRef>
              <c:f>'data US$2000'!$B$4:$B$54</c:f>
              <c:numCache>
                <c:formatCode>General</c:formatCode>
                <c:ptCount val="51"/>
                <c:pt idx="0">
                  <c:v>421.4329999999992</c:v>
                </c:pt>
                <c:pt idx="1">
                  <c:v>413.742</c:v>
                </c:pt>
                <c:pt idx="2">
                  <c:v>420.6949999999999</c:v>
                </c:pt>
                <c:pt idx="3">
                  <c:v>416.9309999999992</c:v>
                </c:pt>
                <c:pt idx="4">
                  <c:v>415.2619999999991</c:v>
                </c:pt>
                <c:pt idx="5">
                  <c:v>417.7670000000001</c:v>
                </c:pt>
                <c:pt idx="6">
                  <c:v>421.6130000000001</c:v>
                </c:pt>
                <c:pt idx="7">
                  <c:v>427.235</c:v>
                </c:pt>
                <c:pt idx="8">
                  <c:v>433.677</c:v>
                </c:pt>
                <c:pt idx="9">
                  <c:v>449.0290000000001</c:v>
                </c:pt>
                <c:pt idx="10">
                  <c:v>473.552</c:v>
                </c:pt>
                <c:pt idx="11">
                  <c:v>504.5860000000001</c:v>
                </c:pt>
                <c:pt idx="12">
                  <c:v>539.281</c:v>
                </c:pt>
                <c:pt idx="13">
                  <c:v>572.0980000000001</c:v>
                </c:pt>
                <c:pt idx="14">
                  <c:v>601.3760000000001</c:v>
                </c:pt>
                <c:pt idx="15">
                  <c:v>624.2639999999998</c:v>
                </c:pt>
                <c:pt idx="16">
                  <c:v>641.7669999999994</c:v>
                </c:pt>
                <c:pt idx="17">
                  <c:v>653.506</c:v>
                </c:pt>
                <c:pt idx="18">
                  <c:v>661.288</c:v>
                </c:pt>
                <c:pt idx="19">
                  <c:v>667.173</c:v>
                </c:pt>
                <c:pt idx="20">
                  <c:v>673.928</c:v>
                </c:pt>
                <c:pt idx="21">
                  <c:v>681.4140000000001</c:v>
                </c:pt>
                <c:pt idx="22">
                  <c:v>691.8209999999992</c:v>
                </c:pt>
                <c:pt idx="23">
                  <c:v>704.8749999999999</c:v>
                </c:pt>
                <c:pt idx="24">
                  <c:v>720.754</c:v>
                </c:pt>
                <c:pt idx="25">
                  <c:v>738.9369999999992</c:v>
                </c:pt>
                <c:pt idx="26">
                  <c:v>758.9870000000001</c:v>
                </c:pt>
                <c:pt idx="27">
                  <c:v>780.0430000000002</c:v>
                </c:pt>
                <c:pt idx="28">
                  <c:v>802.5619999999993</c:v>
                </c:pt>
                <c:pt idx="29">
                  <c:v>827.497</c:v>
                </c:pt>
                <c:pt idx="30">
                  <c:v>852.2929999999999</c:v>
                </c:pt>
                <c:pt idx="31">
                  <c:v>877.594</c:v>
                </c:pt>
                <c:pt idx="32">
                  <c:v>904.3890000000001</c:v>
                </c:pt>
                <c:pt idx="33">
                  <c:v>933.4310000000002</c:v>
                </c:pt>
                <c:pt idx="34">
                  <c:v>963.0979999999994</c:v>
                </c:pt>
                <c:pt idx="35">
                  <c:v>992.0619999999993</c:v>
                </c:pt>
                <c:pt idx="36">
                  <c:v>1018.895</c:v>
                </c:pt>
                <c:pt idx="37">
                  <c:v>1042.086</c:v>
                </c:pt>
                <c:pt idx="38">
                  <c:v>1060.979</c:v>
                </c:pt>
                <c:pt idx="39">
                  <c:v>1074.888</c:v>
                </c:pt>
                <c:pt idx="40">
                  <c:v>1081.434</c:v>
                </c:pt>
                <c:pt idx="41">
                  <c:v>1088.782</c:v>
                </c:pt>
                <c:pt idx="42">
                  <c:v>1096.602</c:v>
                </c:pt>
                <c:pt idx="43">
                  <c:v>1104.755</c:v>
                </c:pt>
                <c:pt idx="44">
                  <c:v>1113.639</c:v>
                </c:pt>
                <c:pt idx="45">
                  <c:v>1123.169</c:v>
                </c:pt>
                <c:pt idx="46">
                  <c:v>1133.116</c:v>
                </c:pt>
                <c:pt idx="47">
                  <c:v>1143.758</c:v>
                </c:pt>
                <c:pt idx="48">
                  <c:v>1154.8</c:v>
                </c:pt>
                <c:pt idx="49">
                  <c:v>1166.071</c:v>
                </c:pt>
                <c:pt idx="50">
                  <c:v>1177.824000000001</c:v>
                </c:pt>
              </c:numCache>
            </c:numRef>
          </c:val>
        </c:ser>
        <c:ser>
          <c:idx val="1"/>
          <c:order val="1"/>
          <c:tx>
            <c:strRef>
              <c:f>'data US$2000'!$C$3</c:f>
              <c:strCache>
                <c:ptCount val="1"/>
                <c:pt idx="0">
                  <c:v>Europe and Central Asia</c:v>
                </c:pt>
              </c:strCache>
            </c:strRef>
          </c:tx>
          <c:spPr>
            <a:ln>
              <a:solidFill>
                <a:srgbClr val="FFFF00"/>
              </a:solidFill>
            </a:ln>
          </c:spPr>
          <c:marker>
            <c:symbol val="none"/>
          </c:marker>
          <c:cat>
            <c:numRef>
              <c:f>'data US$2000'!$A$4:$A$54</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cat>
          <c:val>
            <c:numRef>
              <c:f>'data US$2000'!$C$4:$C$54</c:f>
              <c:numCache>
                <c:formatCode>General</c:formatCode>
                <c:ptCount val="51"/>
                <c:pt idx="0">
                  <c:v>85.19</c:v>
                </c:pt>
                <c:pt idx="1">
                  <c:v>83.55900000000001</c:v>
                </c:pt>
                <c:pt idx="2">
                  <c:v>88.461</c:v>
                </c:pt>
                <c:pt idx="3">
                  <c:v>93.1729999999999</c:v>
                </c:pt>
                <c:pt idx="4">
                  <c:v>97.87</c:v>
                </c:pt>
                <c:pt idx="5">
                  <c:v>102.132</c:v>
                </c:pt>
                <c:pt idx="6">
                  <c:v>105.868</c:v>
                </c:pt>
                <c:pt idx="7">
                  <c:v>110.029</c:v>
                </c:pt>
                <c:pt idx="8">
                  <c:v>112.786</c:v>
                </c:pt>
                <c:pt idx="9">
                  <c:v>115.445</c:v>
                </c:pt>
                <c:pt idx="10">
                  <c:v>117.844</c:v>
                </c:pt>
                <c:pt idx="11">
                  <c:v>119.88</c:v>
                </c:pt>
                <c:pt idx="12">
                  <c:v>121.465</c:v>
                </c:pt>
                <c:pt idx="13">
                  <c:v>122.246</c:v>
                </c:pt>
                <c:pt idx="14">
                  <c:v>122.502</c:v>
                </c:pt>
                <c:pt idx="15">
                  <c:v>121.982</c:v>
                </c:pt>
                <c:pt idx="16">
                  <c:v>122.252</c:v>
                </c:pt>
                <c:pt idx="17">
                  <c:v>122.865</c:v>
                </c:pt>
                <c:pt idx="18">
                  <c:v>123.625</c:v>
                </c:pt>
                <c:pt idx="19">
                  <c:v>124.584</c:v>
                </c:pt>
                <c:pt idx="20">
                  <c:v>125.904</c:v>
                </c:pt>
                <c:pt idx="21">
                  <c:v>127.398</c:v>
                </c:pt>
                <c:pt idx="22">
                  <c:v>129.219</c:v>
                </c:pt>
                <c:pt idx="23">
                  <c:v>131.765</c:v>
                </c:pt>
                <c:pt idx="24">
                  <c:v>134.155</c:v>
                </c:pt>
                <c:pt idx="25">
                  <c:v>135.667</c:v>
                </c:pt>
                <c:pt idx="26">
                  <c:v>136.714</c:v>
                </c:pt>
                <c:pt idx="27">
                  <c:v>137.864</c:v>
                </c:pt>
                <c:pt idx="28">
                  <c:v>139.187</c:v>
                </c:pt>
                <c:pt idx="29">
                  <c:v>140.392</c:v>
                </c:pt>
                <c:pt idx="30">
                  <c:v>141.059</c:v>
                </c:pt>
                <c:pt idx="31">
                  <c:v>141.638</c:v>
                </c:pt>
                <c:pt idx="32">
                  <c:v>141.623</c:v>
                </c:pt>
                <c:pt idx="33">
                  <c:v>141.887</c:v>
                </c:pt>
                <c:pt idx="34">
                  <c:v>142.188</c:v>
                </c:pt>
                <c:pt idx="35">
                  <c:v>142.583</c:v>
                </c:pt>
                <c:pt idx="36">
                  <c:v>143.054</c:v>
                </c:pt>
                <c:pt idx="37">
                  <c:v>143.576</c:v>
                </c:pt>
                <c:pt idx="38">
                  <c:v>144.137</c:v>
                </c:pt>
                <c:pt idx="39">
                  <c:v>144.62</c:v>
                </c:pt>
                <c:pt idx="40">
                  <c:v>144.945</c:v>
                </c:pt>
                <c:pt idx="41">
                  <c:v>145.285</c:v>
                </c:pt>
                <c:pt idx="42">
                  <c:v>145.98</c:v>
                </c:pt>
                <c:pt idx="43">
                  <c:v>146.766</c:v>
                </c:pt>
                <c:pt idx="44">
                  <c:v>147.568</c:v>
                </c:pt>
                <c:pt idx="45">
                  <c:v>148.403</c:v>
                </c:pt>
                <c:pt idx="46">
                  <c:v>149.161</c:v>
                </c:pt>
                <c:pt idx="47">
                  <c:v>149.915</c:v>
                </c:pt>
                <c:pt idx="48">
                  <c:v>150.65</c:v>
                </c:pt>
                <c:pt idx="49">
                  <c:v>151.399</c:v>
                </c:pt>
                <c:pt idx="50">
                  <c:v>152.163</c:v>
                </c:pt>
              </c:numCache>
            </c:numRef>
          </c:val>
        </c:ser>
        <c:ser>
          <c:idx val="2"/>
          <c:order val="2"/>
          <c:tx>
            <c:strRef>
              <c:f>'data US$2000'!$D$3</c:f>
              <c:strCache>
                <c:ptCount val="1"/>
                <c:pt idx="0">
                  <c:v>Latin America and the Caribbean</c:v>
                </c:pt>
              </c:strCache>
            </c:strRef>
          </c:tx>
          <c:spPr>
            <a:ln>
              <a:solidFill>
                <a:schemeClr val="accent3"/>
              </a:solidFill>
            </a:ln>
          </c:spPr>
          <c:marker>
            <c:symbol val="none"/>
          </c:marker>
          <c:cat>
            <c:numRef>
              <c:f>'data US$2000'!$A$4:$A$54</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cat>
          <c:val>
            <c:numRef>
              <c:f>'data US$2000'!$D$4:$D$54</c:f>
              <c:numCache>
                <c:formatCode>General</c:formatCode>
                <c:ptCount val="51"/>
                <c:pt idx="0">
                  <c:v>121.149</c:v>
                </c:pt>
                <c:pt idx="1">
                  <c:v>126.779</c:v>
                </c:pt>
                <c:pt idx="2">
                  <c:v>133.31</c:v>
                </c:pt>
                <c:pt idx="3">
                  <c:v>139.144</c:v>
                </c:pt>
                <c:pt idx="4">
                  <c:v>146.5</c:v>
                </c:pt>
                <c:pt idx="5">
                  <c:v>154.44</c:v>
                </c:pt>
                <c:pt idx="6">
                  <c:v>162.838</c:v>
                </c:pt>
                <c:pt idx="7">
                  <c:v>171.321</c:v>
                </c:pt>
                <c:pt idx="8">
                  <c:v>179.796</c:v>
                </c:pt>
                <c:pt idx="9">
                  <c:v>186.697</c:v>
                </c:pt>
                <c:pt idx="10">
                  <c:v>193.0</c:v>
                </c:pt>
                <c:pt idx="11">
                  <c:v>199.2550000000001</c:v>
                </c:pt>
                <c:pt idx="12">
                  <c:v>205.039</c:v>
                </c:pt>
                <c:pt idx="13">
                  <c:v>210.643</c:v>
                </c:pt>
                <c:pt idx="14">
                  <c:v>216.218</c:v>
                </c:pt>
                <c:pt idx="15">
                  <c:v>221.412</c:v>
                </c:pt>
                <c:pt idx="16">
                  <c:v>227.293</c:v>
                </c:pt>
                <c:pt idx="17">
                  <c:v>233.405</c:v>
                </c:pt>
                <c:pt idx="18">
                  <c:v>239.306</c:v>
                </c:pt>
                <c:pt idx="19">
                  <c:v>244.887</c:v>
                </c:pt>
                <c:pt idx="20">
                  <c:v>250.149</c:v>
                </c:pt>
                <c:pt idx="21">
                  <c:v>254.786</c:v>
                </c:pt>
                <c:pt idx="22">
                  <c:v>258.8220000000001</c:v>
                </c:pt>
                <c:pt idx="23">
                  <c:v>262.4349999999992</c:v>
                </c:pt>
                <c:pt idx="24">
                  <c:v>265.889</c:v>
                </c:pt>
                <c:pt idx="25">
                  <c:v>269.2639999999996</c:v>
                </c:pt>
                <c:pt idx="26">
                  <c:v>273.109</c:v>
                </c:pt>
                <c:pt idx="27">
                  <c:v>277.1850000000001</c:v>
                </c:pt>
                <c:pt idx="28">
                  <c:v>281.396</c:v>
                </c:pt>
                <c:pt idx="29">
                  <c:v>285.297</c:v>
                </c:pt>
                <c:pt idx="30">
                  <c:v>288.7090000000001</c:v>
                </c:pt>
                <c:pt idx="31">
                  <c:v>292.301</c:v>
                </c:pt>
                <c:pt idx="32">
                  <c:v>296.094</c:v>
                </c:pt>
                <c:pt idx="33">
                  <c:v>299.545</c:v>
                </c:pt>
                <c:pt idx="34">
                  <c:v>303.033</c:v>
                </c:pt>
                <c:pt idx="35">
                  <c:v>306.5330000000001</c:v>
                </c:pt>
                <c:pt idx="36">
                  <c:v>309.473</c:v>
                </c:pt>
                <c:pt idx="37">
                  <c:v>312.362</c:v>
                </c:pt>
                <c:pt idx="38">
                  <c:v>315.2850000000001</c:v>
                </c:pt>
                <c:pt idx="39">
                  <c:v>318.37</c:v>
                </c:pt>
                <c:pt idx="40">
                  <c:v>321.8250000000001</c:v>
                </c:pt>
                <c:pt idx="41">
                  <c:v>325.895</c:v>
                </c:pt>
                <c:pt idx="42">
                  <c:v>330.5149999999999</c:v>
                </c:pt>
                <c:pt idx="43">
                  <c:v>335.32</c:v>
                </c:pt>
                <c:pt idx="44">
                  <c:v>340.1879999999999</c:v>
                </c:pt>
                <c:pt idx="45">
                  <c:v>344.631</c:v>
                </c:pt>
                <c:pt idx="46">
                  <c:v>348.57</c:v>
                </c:pt>
                <c:pt idx="47">
                  <c:v>351.801</c:v>
                </c:pt>
                <c:pt idx="48">
                  <c:v>353.9349999999991</c:v>
                </c:pt>
                <c:pt idx="49">
                  <c:v>355.6539999999999</c:v>
                </c:pt>
                <c:pt idx="50">
                  <c:v>356.8629999999999</c:v>
                </c:pt>
              </c:numCache>
            </c:numRef>
          </c:val>
        </c:ser>
        <c:ser>
          <c:idx val="3"/>
          <c:order val="3"/>
          <c:tx>
            <c:strRef>
              <c:f>'data US$2000'!$E$3</c:f>
              <c:strCache>
                <c:ptCount val="1"/>
                <c:pt idx="0">
                  <c:v>Middle East and North Africa</c:v>
                </c:pt>
              </c:strCache>
            </c:strRef>
          </c:tx>
          <c:spPr>
            <a:ln>
              <a:solidFill>
                <a:schemeClr val="accent2"/>
              </a:solidFill>
            </a:ln>
          </c:spPr>
          <c:marker>
            <c:symbol val="none"/>
          </c:marker>
          <c:cat>
            <c:numRef>
              <c:f>'data US$2000'!$A$4:$A$54</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cat>
          <c:val>
            <c:numRef>
              <c:f>'data US$2000'!$E$4:$E$54</c:f>
              <c:numCache>
                <c:formatCode>General</c:formatCode>
                <c:ptCount val="51"/>
                <c:pt idx="0">
                  <c:v>52.13300000000001</c:v>
                </c:pt>
                <c:pt idx="1">
                  <c:v>51.25300000000001</c:v>
                </c:pt>
                <c:pt idx="2">
                  <c:v>53.08600000000001</c:v>
                </c:pt>
                <c:pt idx="3">
                  <c:v>54.665</c:v>
                </c:pt>
                <c:pt idx="4">
                  <c:v>56.356</c:v>
                </c:pt>
                <c:pt idx="5">
                  <c:v>58.529</c:v>
                </c:pt>
                <c:pt idx="6">
                  <c:v>61.406</c:v>
                </c:pt>
                <c:pt idx="7">
                  <c:v>64.65000000000001</c:v>
                </c:pt>
                <c:pt idx="8">
                  <c:v>67.981</c:v>
                </c:pt>
                <c:pt idx="9">
                  <c:v>70.88399999999998</c:v>
                </c:pt>
                <c:pt idx="10">
                  <c:v>74.559</c:v>
                </c:pt>
                <c:pt idx="11">
                  <c:v>78.454</c:v>
                </c:pt>
                <c:pt idx="12">
                  <c:v>82.421</c:v>
                </c:pt>
                <c:pt idx="13">
                  <c:v>85.94</c:v>
                </c:pt>
                <c:pt idx="14">
                  <c:v>88.785</c:v>
                </c:pt>
                <c:pt idx="15">
                  <c:v>91.56900000000001</c:v>
                </c:pt>
                <c:pt idx="16">
                  <c:v>93.38199999999997</c:v>
                </c:pt>
                <c:pt idx="17">
                  <c:v>95.02000000000001</c:v>
                </c:pt>
                <c:pt idx="18">
                  <c:v>96.61300000000001</c:v>
                </c:pt>
                <c:pt idx="19">
                  <c:v>98.218</c:v>
                </c:pt>
                <c:pt idx="20">
                  <c:v>99.58399999999998</c:v>
                </c:pt>
                <c:pt idx="21">
                  <c:v>100.728</c:v>
                </c:pt>
                <c:pt idx="22">
                  <c:v>101.991</c:v>
                </c:pt>
                <c:pt idx="23">
                  <c:v>103.339</c:v>
                </c:pt>
                <c:pt idx="24">
                  <c:v>104.744</c:v>
                </c:pt>
                <c:pt idx="25">
                  <c:v>105.868</c:v>
                </c:pt>
                <c:pt idx="26">
                  <c:v>106.976</c:v>
                </c:pt>
                <c:pt idx="27">
                  <c:v>108.309</c:v>
                </c:pt>
                <c:pt idx="28">
                  <c:v>110.161</c:v>
                </c:pt>
                <c:pt idx="29">
                  <c:v>112.139</c:v>
                </c:pt>
                <c:pt idx="30">
                  <c:v>113.5</c:v>
                </c:pt>
                <c:pt idx="31">
                  <c:v>114.576</c:v>
                </c:pt>
                <c:pt idx="32">
                  <c:v>115.882</c:v>
                </c:pt>
                <c:pt idx="33">
                  <c:v>117.378</c:v>
                </c:pt>
                <c:pt idx="34">
                  <c:v>119.071</c:v>
                </c:pt>
                <c:pt idx="35">
                  <c:v>120.712</c:v>
                </c:pt>
                <c:pt idx="36">
                  <c:v>122.355</c:v>
                </c:pt>
                <c:pt idx="37">
                  <c:v>123.923</c:v>
                </c:pt>
                <c:pt idx="38">
                  <c:v>125.378</c:v>
                </c:pt>
                <c:pt idx="39">
                  <c:v>126.701</c:v>
                </c:pt>
                <c:pt idx="40">
                  <c:v>127.745</c:v>
                </c:pt>
                <c:pt idx="41">
                  <c:v>128.634</c:v>
                </c:pt>
                <c:pt idx="42">
                  <c:v>129.638</c:v>
                </c:pt>
                <c:pt idx="43">
                  <c:v>130.732</c:v>
                </c:pt>
                <c:pt idx="44">
                  <c:v>132.092</c:v>
                </c:pt>
                <c:pt idx="45">
                  <c:v>133.801</c:v>
                </c:pt>
                <c:pt idx="46">
                  <c:v>135.424</c:v>
                </c:pt>
                <c:pt idx="47">
                  <c:v>137.137</c:v>
                </c:pt>
                <c:pt idx="48">
                  <c:v>139.114</c:v>
                </c:pt>
                <c:pt idx="49">
                  <c:v>141.5</c:v>
                </c:pt>
                <c:pt idx="50">
                  <c:v>143.985</c:v>
                </c:pt>
              </c:numCache>
            </c:numRef>
          </c:val>
        </c:ser>
        <c:ser>
          <c:idx val="4"/>
          <c:order val="4"/>
          <c:tx>
            <c:strRef>
              <c:f>'data US$2000'!$F$3</c:f>
              <c:strCache>
                <c:ptCount val="1"/>
                <c:pt idx="0">
                  <c:v>South Asia</c:v>
                </c:pt>
              </c:strCache>
            </c:strRef>
          </c:tx>
          <c:spPr>
            <a:ln>
              <a:solidFill>
                <a:schemeClr val="accent2">
                  <a:lumMod val="40000"/>
                  <a:lumOff val="60000"/>
                </a:schemeClr>
              </a:solidFill>
            </a:ln>
          </c:spPr>
          <c:marker>
            <c:symbol val="none"/>
          </c:marker>
          <c:cat>
            <c:numRef>
              <c:f>'data US$2000'!$A$4:$A$54</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cat>
          <c:val>
            <c:numRef>
              <c:f>'data US$2000'!$F$4:$F$54</c:f>
              <c:numCache>
                <c:formatCode>General</c:formatCode>
                <c:ptCount val="51"/>
                <c:pt idx="0">
                  <c:v>111.195</c:v>
                </c:pt>
                <c:pt idx="1">
                  <c:v>121.242</c:v>
                </c:pt>
                <c:pt idx="2">
                  <c:v>125.829</c:v>
                </c:pt>
                <c:pt idx="3">
                  <c:v>130.66</c:v>
                </c:pt>
                <c:pt idx="4">
                  <c:v>138.679</c:v>
                </c:pt>
                <c:pt idx="5">
                  <c:v>150.546</c:v>
                </c:pt>
                <c:pt idx="6">
                  <c:v>164.825</c:v>
                </c:pt>
                <c:pt idx="7">
                  <c:v>179.469</c:v>
                </c:pt>
                <c:pt idx="8">
                  <c:v>193.647</c:v>
                </c:pt>
                <c:pt idx="9">
                  <c:v>206.481</c:v>
                </c:pt>
                <c:pt idx="10">
                  <c:v>215.0</c:v>
                </c:pt>
                <c:pt idx="11">
                  <c:v>220.746</c:v>
                </c:pt>
                <c:pt idx="12">
                  <c:v>223.363</c:v>
                </c:pt>
                <c:pt idx="13">
                  <c:v>226.769</c:v>
                </c:pt>
                <c:pt idx="14">
                  <c:v>231.334</c:v>
                </c:pt>
                <c:pt idx="15">
                  <c:v>237.299</c:v>
                </c:pt>
                <c:pt idx="16">
                  <c:v>245.489</c:v>
                </c:pt>
                <c:pt idx="17">
                  <c:v>254.823</c:v>
                </c:pt>
                <c:pt idx="18">
                  <c:v>264.79</c:v>
                </c:pt>
                <c:pt idx="19">
                  <c:v>272.805</c:v>
                </c:pt>
                <c:pt idx="20">
                  <c:v>280.442</c:v>
                </c:pt>
                <c:pt idx="21">
                  <c:v>289.9709999999992</c:v>
                </c:pt>
                <c:pt idx="22">
                  <c:v>298.848</c:v>
                </c:pt>
                <c:pt idx="23">
                  <c:v>307.3999999999999</c:v>
                </c:pt>
                <c:pt idx="24">
                  <c:v>315.034</c:v>
                </c:pt>
                <c:pt idx="25">
                  <c:v>322.65</c:v>
                </c:pt>
                <c:pt idx="26">
                  <c:v>331.06</c:v>
                </c:pt>
                <c:pt idx="27">
                  <c:v>340.874</c:v>
                </c:pt>
                <c:pt idx="28">
                  <c:v>351.823</c:v>
                </c:pt>
                <c:pt idx="29">
                  <c:v>364.558</c:v>
                </c:pt>
                <c:pt idx="30">
                  <c:v>378.514</c:v>
                </c:pt>
                <c:pt idx="31">
                  <c:v>393.484</c:v>
                </c:pt>
                <c:pt idx="32">
                  <c:v>409.3189999999996</c:v>
                </c:pt>
                <c:pt idx="33">
                  <c:v>425.268</c:v>
                </c:pt>
                <c:pt idx="34">
                  <c:v>441.13</c:v>
                </c:pt>
                <c:pt idx="35">
                  <c:v>456.245</c:v>
                </c:pt>
                <c:pt idx="36">
                  <c:v>470.213</c:v>
                </c:pt>
                <c:pt idx="37">
                  <c:v>483.9080000000001</c:v>
                </c:pt>
                <c:pt idx="38">
                  <c:v>497.6679999999999</c:v>
                </c:pt>
                <c:pt idx="39">
                  <c:v>512.2549999999999</c:v>
                </c:pt>
                <c:pt idx="40">
                  <c:v>528.504</c:v>
                </c:pt>
                <c:pt idx="41">
                  <c:v>546.498</c:v>
                </c:pt>
                <c:pt idx="42">
                  <c:v>566.12</c:v>
                </c:pt>
                <c:pt idx="43">
                  <c:v>586.4109999999994</c:v>
                </c:pt>
                <c:pt idx="44">
                  <c:v>606.8969999999994</c:v>
                </c:pt>
                <c:pt idx="45">
                  <c:v>626.8680000000001</c:v>
                </c:pt>
                <c:pt idx="46">
                  <c:v>645.4430000000001</c:v>
                </c:pt>
                <c:pt idx="47">
                  <c:v>661.8269999999991</c:v>
                </c:pt>
                <c:pt idx="48">
                  <c:v>675.9680000000001</c:v>
                </c:pt>
                <c:pt idx="49">
                  <c:v>688.5169999999994</c:v>
                </c:pt>
                <c:pt idx="50">
                  <c:v>697.9879999999994</c:v>
                </c:pt>
              </c:numCache>
            </c:numRef>
          </c:val>
        </c:ser>
        <c:ser>
          <c:idx val="5"/>
          <c:order val="5"/>
          <c:tx>
            <c:strRef>
              <c:f>'data US$2000'!$G$3</c:f>
              <c:strCache>
                <c:ptCount val="1"/>
                <c:pt idx="0">
                  <c:v>Sub-Saharan Africa</c:v>
                </c:pt>
              </c:strCache>
            </c:strRef>
          </c:tx>
          <c:spPr>
            <a:ln>
              <a:solidFill>
                <a:schemeClr val="accent6">
                  <a:lumMod val="75000"/>
                </a:schemeClr>
              </a:solidFill>
            </a:ln>
          </c:spPr>
          <c:marker>
            <c:symbol val="none"/>
          </c:marker>
          <c:cat>
            <c:numRef>
              <c:f>'data US$2000'!$A$4:$A$54</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cat>
          <c:val>
            <c:numRef>
              <c:f>'data US$2000'!$G$4:$G$54</c:f>
              <c:numCache>
                <c:formatCode>General</c:formatCode>
                <c:ptCount val="51"/>
                <c:pt idx="0">
                  <c:v>44.545</c:v>
                </c:pt>
                <c:pt idx="1">
                  <c:v>49.16299999999998</c:v>
                </c:pt>
                <c:pt idx="2">
                  <c:v>55.17599999999998</c:v>
                </c:pt>
                <c:pt idx="3">
                  <c:v>60.04599999999998</c:v>
                </c:pt>
                <c:pt idx="4">
                  <c:v>64.242</c:v>
                </c:pt>
                <c:pt idx="5">
                  <c:v>69.27100000000001</c:v>
                </c:pt>
                <c:pt idx="6">
                  <c:v>75.49800000000001</c:v>
                </c:pt>
                <c:pt idx="7">
                  <c:v>82.23900000000001</c:v>
                </c:pt>
                <c:pt idx="8">
                  <c:v>89.057</c:v>
                </c:pt>
                <c:pt idx="9">
                  <c:v>95.54</c:v>
                </c:pt>
                <c:pt idx="10">
                  <c:v>100.767</c:v>
                </c:pt>
                <c:pt idx="11">
                  <c:v>105.508</c:v>
                </c:pt>
                <c:pt idx="12">
                  <c:v>110.286</c:v>
                </c:pt>
                <c:pt idx="13">
                  <c:v>114.816</c:v>
                </c:pt>
                <c:pt idx="14">
                  <c:v>118.518</c:v>
                </c:pt>
                <c:pt idx="15">
                  <c:v>122.21</c:v>
                </c:pt>
                <c:pt idx="16">
                  <c:v>127.072</c:v>
                </c:pt>
                <c:pt idx="17">
                  <c:v>131.905</c:v>
                </c:pt>
                <c:pt idx="18">
                  <c:v>137.263</c:v>
                </c:pt>
                <c:pt idx="19">
                  <c:v>143.262</c:v>
                </c:pt>
                <c:pt idx="20">
                  <c:v>150.311</c:v>
                </c:pt>
                <c:pt idx="21">
                  <c:v>158.134</c:v>
                </c:pt>
                <c:pt idx="22">
                  <c:v>166.23</c:v>
                </c:pt>
                <c:pt idx="23">
                  <c:v>174.437</c:v>
                </c:pt>
                <c:pt idx="24">
                  <c:v>183.097</c:v>
                </c:pt>
                <c:pt idx="25">
                  <c:v>192.102</c:v>
                </c:pt>
                <c:pt idx="26">
                  <c:v>201.565</c:v>
                </c:pt>
                <c:pt idx="27">
                  <c:v>211.195</c:v>
                </c:pt>
                <c:pt idx="28">
                  <c:v>220.855</c:v>
                </c:pt>
                <c:pt idx="29">
                  <c:v>231.07</c:v>
                </c:pt>
                <c:pt idx="30">
                  <c:v>241.855</c:v>
                </c:pt>
                <c:pt idx="31">
                  <c:v>252.655</c:v>
                </c:pt>
                <c:pt idx="32">
                  <c:v>263.9250000000001</c:v>
                </c:pt>
                <c:pt idx="33">
                  <c:v>275.667</c:v>
                </c:pt>
                <c:pt idx="34">
                  <c:v>287.6489999999999</c:v>
                </c:pt>
                <c:pt idx="35">
                  <c:v>300.794</c:v>
                </c:pt>
                <c:pt idx="36">
                  <c:v>312.36</c:v>
                </c:pt>
                <c:pt idx="37">
                  <c:v>323.63</c:v>
                </c:pt>
                <c:pt idx="38">
                  <c:v>334.07</c:v>
                </c:pt>
                <c:pt idx="39">
                  <c:v>343.623</c:v>
                </c:pt>
                <c:pt idx="40">
                  <c:v>352.659</c:v>
                </c:pt>
                <c:pt idx="41">
                  <c:v>361.317</c:v>
                </c:pt>
                <c:pt idx="42">
                  <c:v>369.9409999999999</c:v>
                </c:pt>
                <c:pt idx="43">
                  <c:v>378.742</c:v>
                </c:pt>
                <c:pt idx="44">
                  <c:v>388.109</c:v>
                </c:pt>
                <c:pt idx="45">
                  <c:v>398.01</c:v>
                </c:pt>
                <c:pt idx="46">
                  <c:v>408.598</c:v>
                </c:pt>
                <c:pt idx="47">
                  <c:v>419.927</c:v>
                </c:pt>
                <c:pt idx="48">
                  <c:v>432.164</c:v>
                </c:pt>
                <c:pt idx="49">
                  <c:v>445.155</c:v>
                </c:pt>
                <c:pt idx="50">
                  <c:v>457.425</c:v>
                </c:pt>
              </c:numCache>
            </c:numRef>
          </c:val>
        </c:ser>
        <c:ser>
          <c:idx val="6"/>
          <c:order val="6"/>
          <c:tx>
            <c:strRef>
              <c:f>'data US$2000'!$H$3</c:f>
              <c:strCache>
                <c:ptCount val="1"/>
                <c:pt idx="0">
                  <c:v>High-income countries</c:v>
                </c:pt>
              </c:strCache>
            </c:strRef>
          </c:tx>
          <c:spPr>
            <a:ln>
              <a:solidFill>
                <a:schemeClr val="tx2"/>
              </a:solidFill>
            </a:ln>
          </c:spPr>
          <c:marker>
            <c:symbol val="none"/>
          </c:marker>
          <c:cat>
            <c:numRef>
              <c:f>'data US$2000'!$A$4:$A$54</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cat>
          <c:val>
            <c:numRef>
              <c:f>'data US$2000'!$H$4:$H$54</c:f>
              <c:numCache>
                <c:formatCode>General</c:formatCode>
                <c:ptCount val="51"/>
                <c:pt idx="0">
                  <c:v>882.4550000000003</c:v>
                </c:pt>
                <c:pt idx="1">
                  <c:v>894.1969999999997</c:v>
                </c:pt>
                <c:pt idx="2">
                  <c:v>891.085</c:v>
                </c:pt>
                <c:pt idx="3">
                  <c:v>890.879</c:v>
                </c:pt>
                <c:pt idx="4">
                  <c:v>898.2969999999998</c:v>
                </c:pt>
                <c:pt idx="5">
                  <c:v>907.3059999999994</c:v>
                </c:pt>
                <c:pt idx="6">
                  <c:v>914.3039999999999</c:v>
                </c:pt>
                <c:pt idx="7">
                  <c:v>918.6199999999999</c:v>
                </c:pt>
                <c:pt idx="8">
                  <c:v>920.6320000000002</c:v>
                </c:pt>
                <c:pt idx="9">
                  <c:v>921.532999999999</c:v>
                </c:pt>
                <c:pt idx="10">
                  <c:v>922.8430000000001</c:v>
                </c:pt>
                <c:pt idx="11">
                  <c:v>925.726</c:v>
                </c:pt>
                <c:pt idx="12">
                  <c:v>930.272</c:v>
                </c:pt>
                <c:pt idx="13">
                  <c:v>936.445999999999</c:v>
                </c:pt>
                <c:pt idx="14">
                  <c:v>943.463</c:v>
                </c:pt>
                <c:pt idx="15">
                  <c:v>950.79</c:v>
                </c:pt>
                <c:pt idx="16">
                  <c:v>957.981</c:v>
                </c:pt>
                <c:pt idx="17">
                  <c:v>964.6259999999994</c:v>
                </c:pt>
                <c:pt idx="18">
                  <c:v>971.7369999999999</c:v>
                </c:pt>
                <c:pt idx="19">
                  <c:v>978.9919999999994</c:v>
                </c:pt>
                <c:pt idx="20">
                  <c:v>985.8519999999986</c:v>
                </c:pt>
                <c:pt idx="21">
                  <c:v>991.9860000000002</c:v>
                </c:pt>
                <c:pt idx="22">
                  <c:v>997.6400000000001</c:v>
                </c:pt>
                <c:pt idx="23">
                  <c:v>1002.737</c:v>
                </c:pt>
                <c:pt idx="24">
                  <c:v>1009.488</c:v>
                </c:pt>
                <c:pt idx="25">
                  <c:v>1018.473</c:v>
                </c:pt>
                <c:pt idx="26">
                  <c:v>1030.009</c:v>
                </c:pt>
                <c:pt idx="27">
                  <c:v>1044.497</c:v>
                </c:pt>
                <c:pt idx="28">
                  <c:v>1061.682</c:v>
                </c:pt>
                <c:pt idx="29">
                  <c:v>1082.278</c:v>
                </c:pt>
                <c:pt idx="30">
                  <c:v>1104.392</c:v>
                </c:pt>
                <c:pt idx="31">
                  <c:v>1129.056</c:v>
                </c:pt>
                <c:pt idx="32">
                  <c:v>1153.287</c:v>
                </c:pt>
                <c:pt idx="33">
                  <c:v>1176.286</c:v>
                </c:pt>
                <c:pt idx="34">
                  <c:v>1192.696</c:v>
                </c:pt>
                <c:pt idx="35">
                  <c:v>1208.502</c:v>
                </c:pt>
                <c:pt idx="36">
                  <c:v>1220.51</c:v>
                </c:pt>
                <c:pt idx="37">
                  <c:v>1231.703</c:v>
                </c:pt>
                <c:pt idx="38">
                  <c:v>1242.438</c:v>
                </c:pt>
                <c:pt idx="39">
                  <c:v>1253.991</c:v>
                </c:pt>
                <c:pt idx="40">
                  <c:v>1265.842</c:v>
                </c:pt>
                <c:pt idx="41">
                  <c:v>1277.94</c:v>
                </c:pt>
                <c:pt idx="42">
                  <c:v>1289.578</c:v>
                </c:pt>
                <c:pt idx="43">
                  <c:v>1301.802</c:v>
                </c:pt>
                <c:pt idx="44">
                  <c:v>1314.227</c:v>
                </c:pt>
                <c:pt idx="45">
                  <c:v>1326.605</c:v>
                </c:pt>
                <c:pt idx="46">
                  <c:v>1338.56</c:v>
                </c:pt>
                <c:pt idx="47">
                  <c:v>1350.71</c:v>
                </c:pt>
                <c:pt idx="48">
                  <c:v>1362.578</c:v>
                </c:pt>
                <c:pt idx="49">
                  <c:v>1374.788</c:v>
                </c:pt>
                <c:pt idx="50">
                  <c:v>1386.936</c:v>
                </c:pt>
              </c:numCache>
            </c:numRef>
          </c:val>
        </c:ser>
        <c:marker val="1"/>
        <c:axId val="741156376"/>
        <c:axId val="706489752"/>
      </c:lineChart>
      <c:catAx>
        <c:axId val="741156376"/>
        <c:scaling>
          <c:orientation val="minMax"/>
        </c:scaling>
        <c:axPos val="b"/>
        <c:title>
          <c:tx>
            <c:rich>
              <a:bodyPr/>
              <a:lstStyle/>
              <a:p>
                <a:pPr>
                  <a:defRPr/>
                </a:pPr>
                <a:r>
                  <a:rPr lang="en-US"/>
                  <a:t>Year</a:t>
                </a:r>
              </a:p>
            </c:rich>
          </c:tx>
        </c:title>
        <c:numFmt formatCode="General" sourceLinked="1"/>
        <c:tickLblPos val="nextTo"/>
        <c:crossAx val="706489752"/>
        <c:crosses val="autoZero"/>
        <c:auto val="1"/>
        <c:lblAlgn val="ctr"/>
        <c:lblOffset val="100"/>
        <c:tickLblSkip val="10"/>
        <c:tickMarkSkip val="1"/>
      </c:catAx>
      <c:valAx>
        <c:axId val="706489752"/>
        <c:scaling>
          <c:orientation val="minMax"/>
        </c:scaling>
        <c:axPos val="l"/>
        <c:majorGridlines/>
        <c:numFmt formatCode="#,##0" sourceLinked="0"/>
        <c:tickLblPos val="nextTo"/>
        <c:crossAx val="741156376"/>
        <c:crosses val="autoZero"/>
        <c:crossBetween val="between"/>
      </c:valAx>
    </c:plotArea>
    <c:legend>
      <c:legendPos val="t"/>
      <c:layout>
        <c:manualLayout>
          <c:xMode val="edge"/>
          <c:yMode val="edge"/>
          <c:x val="0.0159574468085106"/>
          <c:y val="0.0232911423357776"/>
          <c:w val="0.960106382978723"/>
          <c:h val="0.183756109339993"/>
        </c:manualLayout>
      </c:layout>
    </c:legend>
    <c:plotVisOnly val="1"/>
  </c:chart>
  <c:txPr>
    <a:bodyPr/>
    <a:lstStyle/>
    <a:p>
      <a:pPr>
        <a:defRPr b="0">
          <a:latin typeface="Times New Roman"/>
          <a:cs typeface="Times New Roman"/>
        </a:defRPr>
      </a:pPr>
      <a:endParaRPr lang="en-US"/>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069375"/>
          <c:y val="0.113726672374223"/>
          <c:w val="0.891590842811315"/>
          <c:h val="0.706011289170783"/>
        </c:manualLayout>
      </c:layout>
      <c:lineChart>
        <c:grouping val="standard"/>
        <c:ser>
          <c:idx val="0"/>
          <c:order val="0"/>
          <c:tx>
            <c:strRef>
              <c:f>'Data % GDP'!$I$4</c:f>
              <c:strCache>
                <c:ptCount val="1"/>
                <c:pt idx="0">
                  <c:v>Low-income economies</c:v>
                </c:pt>
              </c:strCache>
            </c:strRef>
          </c:tx>
          <c:spPr>
            <a:ln>
              <a:solidFill>
                <a:schemeClr val="accent1"/>
              </a:solidFill>
            </a:ln>
          </c:spPr>
          <c:marker>
            <c:symbol val="none"/>
          </c:marker>
          <c:cat>
            <c:numRef>
              <c:f>'Data % GDP'!$A$5:$A$55</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cat>
          <c:val>
            <c:numRef>
              <c:f>'Data % GDP'!$I$5:$I$55</c:f>
              <c:numCache>
                <c:formatCode>General</c:formatCode>
                <c:ptCount val="51"/>
                <c:pt idx="0">
                  <c:v>9.378977091950363</c:v>
                </c:pt>
                <c:pt idx="1">
                  <c:v>10.05888677735547</c:v>
                </c:pt>
                <c:pt idx="2">
                  <c:v>10.89454845409418</c:v>
                </c:pt>
                <c:pt idx="3">
                  <c:v>11.00892479118007</c:v>
                </c:pt>
                <c:pt idx="4">
                  <c:v>11.21090402742074</c:v>
                </c:pt>
                <c:pt idx="5">
                  <c:v>11.56927917184686</c:v>
                </c:pt>
                <c:pt idx="6">
                  <c:v>12.08312497595876</c:v>
                </c:pt>
                <c:pt idx="7">
                  <c:v>12.55570594993004</c:v>
                </c:pt>
                <c:pt idx="8">
                  <c:v>12.93937773654836</c:v>
                </c:pt>
                <c:pt idx="9">
                  <c:v>13.05783818591974</c:v>
                </c:pt>
                <c:pt idx="10">
                  <c:v>12.84487710666786</c:v>
                </c:pt>
                <c:pt idx="11">
                  <c:v>12.4028333935151</c:v>
                </c:pt>
                <c:pt idx="12">
                  <c:v>11.94539710428951</c:v>
                </c:pt>
                <c:pt idx="13">
                  <c:v>11.49265524890281</c:v>
                </c:pt>
                <c:pt idx="14">
                  <c:v>11.08000988621915</c:v>
                </c:pt>
                <c:pt idx="15">
                  <c:v>10.75149494983334</c:v>
                </c:pt>
                <c:pt idx="16">
                  <c:v>10.49691578987321</c:v>
                </c:pt>
                <c:pt idx="17">
                  <c:v>10.25397261551068</c:v>
                </c:pt>
                <c:pt idx="18">
                  <c:v>10.02402720859965</c:v>
                </c:pt>
                <c:pt idx="19">
                  <c:v>9.79998986635446</c:v>
                </c:pt>
                <c:pt idx="20">
                  <c:v>9.59284660126747</c:v>
                </c:pt>
                <c:pt idx="21">
                  <c:v>9.388057727908117</c:v>
                </c:pt>
                <c:pt idx="22">
                  <c:v>9.171279606943893</c:v>
                </c:pt>
                <c:pt idx="23">
                  <c:v>8.94494215882404</c:v>
                </c:pt>
                <c:pt idx="24">
                  <c:v>8.733623776270438</c:v>
                </c:pt>
                <c:pt idx="25">
                  <c:v>8.538647659096792</c:v>
                </c:pt>
                <c:pt idx="26">
                  <c:v>8.34966693072649</c:v>
                </c:pt>
                <c:pt idx="27">
                  <c:v>8.178392511655168</c:v>
                </c:pt>
                <c:pt idx="28">
                  <c:v>8.00503716605278</c:v>
                </c:pt>
                <c:pt idx="29">
                  <c:v>7.822438782856706</c:v>
                </c:pt>
                <c:pt idx="30">
                  <c:v>7.638653625201892</c:v>
                </c:pt>
                <c:pt idx="31">
                  <c:v>7.460722674757703</c:v>
                </c:pt>
                <c:pt idx="32">
                  <c:v>7.282867059863893</c:v>
                </c:pt>
                <c:pt idx="33">
                  <c:v>7.10772368596749</c:v>
                </c:pt>
                <c:pt idx="34">
                  <c:v>6.940501542394974</c:v>
                </c:pt>
                <c:pt idx="35">
                  <c:v>6.776654628618014</c:v>
                </c:pt>
                <c:pt idx="36">
                  <c:v>6.599244339649442</c:v>
                </c:pt>
                <c:pt idx="37">
                  <c:v>6.409963314310282</c:v>
                </c:pt>
                <c:pt idx="38">
                  <c:v>6.227439331057548</c:v>
                </c:pt>
                <c:pt idx="39">
                  <c:v>6.050738991008989</c:v>
                </c:pt>
                <c:pt idx="40">
                  <c:v>5.88326814255075</c:v>
                </c:pt>
                <c:pt idx="41">
                  <c:v>5.732099952555773</c:v>
                </c:pt>
                <c:pt idx="42">
                  <c:v>5.595642465175687</c:v>
                </c:pt>
                <c:pt idx="43">
                  <c:v>5.47604803367547</c:v>
                </c:pt>
                <c:pt idx="44">
                  <c:v>5.358686551360248</c:v>
                </c:pt>
                <c:pt idx="45">
                  <c:v>5.243691665390716</c:v>
                </c:pt>
                <c:pt idx="46">
                  <c:v>5.135375415430607</c:v>
                </c:pt>
                <c:pt idx="47">
                  <c:v>5.023388150574326</c:v>
                </c:pt>
                <c:pt idx="48">
                  <c:v>4.916857911430656</c:v>
                </c:pt>
                <c:pt idx="49">
                  <c:v>4.81279066358263</c:v>
                </c:pt>
                <c:pt idx="50">
                  <c:v>4.686758488045372</c:v>
                </c:pt>
              </c:numCache>
            </c:numRef>
          </c:val>
        </c:ser>
        <c:ser>
          <c:idx val="1"/>
          <c:order val="1"/>
          <c:tx>
            <c:strRef>
              <c:f>'Data % GDP'!$J$4</c:f>
              <c:strCache>
                <c:ptCount val="1"/>
                <c:pt idx="0">
                  <c:v>Lower-middle-income economies</c:v>
                </c:pt>
              </c:strCache>
            </c:strRef>
          </c:tx>
          <c:spPr>
            <a:ln>
              <a:solidFill>
                <a:schemeClr val="accent2"/>
              </a:solidFill>
            </a:ln>
          </c:spPr>
          <c:marker>
            <c:symbol val="none"/>
          </c:marker>
          <c:cat>
            <c:numRef>
              <c:f>'Data % GDP'!$A$5:$A$55</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cat>
          <c:val>
            <c:numRef>
              <c:f>'Data % GDP'!$J$5:$J$55</c:f>
              <c:numCache>
                <c:formatCode>General</c:formatCode>
                <c:ptCount val="51"/>
                <c:pt idx="0">
                  <c:v>9.182161769673298</c:v>
                </c:pt>
                <c:pt idx="1">
                  <c:v>8.80469105025762</c:v>
                </c:pt>
                <c:pt idx="2">
                  <c:v>8.65776387567837</c:v>
                </c:pt>
                <c:pt idx="3">
                  <c:v>8.586928736182461</c:v>
                </c:pt>
                <c:pt idx="4">
                  <c:v>8.523299889214396</c:v>
                </c:pt>
                <c:pt idx="5">
                  <c:v>8.613423714123105</c:v>
                </c:pt>
                <c:pt idx="6">
                  <c:v>8.73246257260543</c:v>
                </c:pt>
                <c:pt idx="7">
                  <c:v>8.86596761464269</c:v>
                </c:pt>
                <c:pt idx="8">
                  <c:v>8.902973703704995</c:v>
                </c:pt>
                <c:pt idx="9">
                  <c:v>8.846724531763406</c:v>
                </c:pt>
                <c:pt idx="10">
                  <c:v>8.64065023804261</c:v>
                </c:pt>
                <c:pt idx="11">
                  <c:v>8.318874011301906</c:v>
                </c:pt>
                <c:pt idx="12">
                  <c:v>7.935713929724315</c:v>
                </c:pt>
                <c:pt idx="13">
                  <c:v>7.553182230329395</c:v>
                </c:pt>
                <c:pt idx="14">
                  <c:v>7.20329833080339</c:v>
                </c:pt>
                <c:pt idx="15">
                  <c:v>6.878449779691307</c:v>
                </c:pt>
                <c:pt idx="16">
                  <c:v>6.632810359664861</c:v>
                </c:pt>
                <c:pt idx="17">
                  <c:v>6.416006352324014</c:v>
                </c:pt>
                <c:pt idx="18">
                  <c:v>6.221761476297061</c:v>
                </c:pt>
                <c:pt idx="19">
                  <c:v>6.012972869402739</c:v>
                </c:pt>
                <c:pt idx="20">
                  <c:v>5.812952410891362</c:v>
                </c:pt>
                <c:pt idx="21">
                  <c:v>5.64291714284283</c:v>
                </c:pt>
                <c:pt idx="22">
                  <c:v>5.466728377519972</c:v>
                </c:pt>
                <c:pt idx="23">
                  <c:v>5.289735381237067</c:v>
                </c:pt>
                <c:pt idx="24">
                  <c:v>5.110998372298788</c:v>
                </c:pt>
                <c:pt idx="25">
                  <c:v>4.93823913459184</c:v>
                </c:pt>
                <c:pt idx="26">
                  <c:v>4.778708970128606</c:v>
                </c:pt>
                <c:pt idx="27">
                  <c:v>4.631319512209391</c:v>
                </c:pt>
                <c:pt idx="28">
                  <c:v>4.492920893658786</c:v>
                </c:pt>
                <c:pt idx="29">
                  <c:v>4.373623258943658</c:v>
                </c:pt>
                <c:pt idx="30">
                  <c:v>4.265962588417381</c:v>
                </c:pt>
                <c:pt idx="31">
                  <c:v>4.163157495504237</c:v>
                </c:pt>
                <c:pt idx="32">
                  <c:v>4.06862179291215</c:v>
                </c:pt>
                <c:pt idx="33">
                  <c:v>3.979184080057707</c:v>
                </c:pt>
                <c:pt idx="34">
                  <c:v>3.894146831189137</c:v>
                </c:pt>
                <c:pt idx="35">
                  <c:v>3.814593476670013</c:v>
                </c:pt>
                <c:pt idx="36">
                  <c:v>3.726922848154004</c:v>
                </c:pt>
                <c:pt idx="37">
                  <c:v>3.642785183838427</c:v>
                </c:pt>
                <c:pt idx="38">
                  <c:v>3.56010390692758</c:v>
                </c:pt>
                <c:pt idx="39">
                  <c:v>3.479179715284569</c:v>
                </c:pt>
                <c:pt idx="40">
                  <c:v>3.404383845190378</c:v>
                </c:pt>
                <c:pt idx="41">
                  <c:v>3.334704847915465</c:v>
                </c:pt>
                <c:pt idx="42">
                  <c:v>3.27353141499747</c:v>
                </c:pt>
                <c:pt idx="43">
                  <c:v>3.217951377233427</c:v>
                </c:pt>
                <c:pt idx="44">
                  <c:v>3.16937616640641</c:v>
                </c:pt>
                <c:pt idx="45">
                  <c:v>3.125070408421627</c:v>
                </c:pt>
                <c:pt idx="46">
                  <c:v>3.081294543453882</c:v>
                </c:pt>
                <c:pt idx="47">
                  <c:v>3.03807488636002</c:v>
                </c:pt>
                <c:pt idx="48">
                  <c:v>2.993668628797085</c:v>
                </c:pt>
                <c:pt idx="49">
                  <c:v>2.9513339020338</c:v>
                </c:pt>
                <c:pt idx="50">
                  <c:v>2.903666272619839</c:v>
                </c:pt>
              </c:numCache>
            </c:numRef>
          </c:val>
        </c:ser>
        <c:ser>
          <c:idx val="2"/>
          <c:order val="2"/>
          <c:tx>
            <c:strRef>
              <c:f>'Data % GDP'!$K$4</c:f>
              <c:strCache>
                <c:ptCount val="1"/>
                <c:pt idx="0">
                  <c:v>Upper-middle-income economies</c:v>
                </c:pt>
              </c:strCache>
            </c:strRef>
          </c:tx>
          <c:spPr>
            <a:ln>
              <a:solidFill>
                <a:schemeClr val="accent3"/>
              </a:solidFill>
            </a:ln>
          </c:spPr>
          <c:marker>
            <c:symbol val="none"/>
          </c:marker>
          <c:cat>
            <c:numRef>
              <c:f>'Data % GDP'!$A$5:$A$55</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cat>
          <c:val>
            <c:numRef>
              <c:f>'Data % GDP'!$K$5:$K$55</c:f>
              <c:numCache>
                <c:formatCode>General</c:formatCode>
                <c:ptCount val="51"/>
                <c:pt idx="0">
                  <c:v>7.57136980552234</c:v>
                </c:pt>
                <c:pt idx="1">
                  <c:v>7.13185904422879</c:v>
                </c:pt>
                <c:pt idx="2">
                  <c:v>6.872683450187544</c:v>
                </c:pt>
                <c:pt idx="3">
                  <c:v>6.570532632309996</c:v>
                </c:pt>
                <c:pt idx="4">
                  <c:v>6.326495804733187</c:v>
                </c:pt>
                <c:pt idx="5">
                  <c:v>6.124567147830945</c:v>
                </c:pt>
                <c:pt idx="6">
                  <c:v>5.911258909725854</c:v>
                </c:pt>
                <c:pt idx="7">
                  <c:v>5.713564908086976</c:v>
                </c:pt>
                <c:pt idx="8">
                  <c:v>5.519335614037209</c:v>
                </c:pt>
                <c:pt idx="9">
                  <c:v>5.391650933501153</c:v>
                </c:pt>
                <c:pt idx="10">
                  <c:v>5.33281130130054</c:v>
                </c:pt>
                <c:pt idx="11">
                  <c:v>5.324722178188587</c:v>
                </c:pt>
                <c:pt idx="12">
                  <c:v>5.32506385976504</c:v>
                </c:pt>
                <c:pt idx="13">
                  <c:v>5.300007960937509</c:v>
                </c:pt>
                <c:pt idx="14">
                  <c:v>5.238701764592382</c:v>
                </c:pt>
                <c:pt idx="15">
                  <c:v>5.133166442707926</c:v>
                </c:pt>
                <c:pt idx="16">
                  <c:v>4.994987803593951</c:v>
                </c:pt>
                <c:pt idx="17">
                  <c:v>4.831985617235259</c:v>
                </c:pt>
                <c:pt idx="18">
                  <c:v>4.656809895217623</c:v>
                </c:pt>
                <c:pt idx="19">
                  <c:v>4.483914999225854</c:v>
                </c:pt>
                <c:pt idx="20">
                  <c:v>4.326051879948017</c:v>
                </c:pt>
                <c:pt idx="21">
                  <c:v>4.17873116006814</c:v>
                </c:pt>
                <c:pt idx="22">
                  <c:v>4.052325796452527</c:v>
                </c:pt>
                <c:pt idx="23">
                  <c:v>3.946778090209038</c:v>
                </c:pt>
                <c:pt idx="24">
                  <c:v>3.860052128790674</c:v>
                </c:pt>
                <c:pt idx="25">
                  <c:v>3.779864890481858</c:v>
                </c:pt>
                <c:pt idx="26">
                  <c:v>3.708178884124416</c:v>
                </c:pt>
                <c:pt idx="27">
                  <c:v>3.643811029425645</c:v>
                </c:pt>
                <c:pt idx="28">
                  <c:v>3.586472886363982</c:v>
                </c:pt>
                <c:pt idx="29">
                  <c:v>3.534481963703349</c:v>
                </c:pt>
                <c:pt idx="30">
                  <c:v>3.48325892757363</c:v>
                </c:pt>
                <c:pt idx="31">
                  <c:v>3.431470620144833</c:v>
                </c:pt>
                <c:pt idx="32">
                  <c:v>3.381836501349119</c:v>
                </c:pt>
                <c:pt idx="33">
                  <c:v>3.33842821036498</c:v>
                </c:pt>
                <c:pt idx="34">
                  <c:v>3.297499773703848</c:v>
                </c:pt>
                <c:pt idx="35">
                  <c:v>3.258408911583198</c:v>
                </c:pt>
                <c:pt idx="36">
                  <c:v>3.216975611965647</c:v>
                </c:pt>
                <c:pt idx="37">
                  <c:v>3.172423432944798</c:v>
                </c:pt>
                <c:pt idx="38">
                  <c:v>3.124289472864853</c:v>
                </c:pt>
                <c:pt idx="39">
                  <c:v>3.071970101577323</c:v>
                </c:pt>
                <c:pt idx="40">
                  <c:v>3.011984482871615</c:v>
                </c:pt>
                <c:pt idx="41">
                  <c:v>2.96219357033586</c:v>
                </c:pt>
                <c:pt idx="42">
                  <c:v>2.921690896653951</c:v>
                </c:pt>
                <c:pt idx="43">
                  <c:v>2.887701090771741</c:v>
                </c:pt>
                <c:pt idx="44">
                  <c:v>2.858867483234738</c:v>
                </c:pt>
                <c:pt idx="45">
                  <c:v>2.832946110718246</c:v>
                </c:pt>
                <c:pt idx="46">
                  <c:v>2.809445039511401</c:v>
                </c:pt>
                <c:pt idx="47">
                  <c:v>2.787647736627172</c:v>
                </c:pt>
                <c:pt idx="48">
                  <c:v>2.767050393293421</c:v>
                </c:pt>
                <c:pt idx="49">
                  <c:v>2.747492400005144</c:v>
                </c:pt>
                <c:pt idx="50">
                  <c:v>2.728430305236685</c:v>
                </c:pt>
              </c:numCache>
            </c:numRef>
          </c:val>
        </c:ser>
        <c:ser>
          <c:idx val="3"/>
          <c:order val="3"/>
          <c:tx>
            <c:strRef>
              <c:f>'Data % GDP'!$L$4</c:f>
              <c:strCache>
                <c:ptCount val="1"/>
                <c:pt idx="0">
                  <c:v>High-income economies</c:v>
                </c:pt>
              </c:strCache>
            </c:strRef>
          </c:tx>
          <c:spPr>
            <a:ln>
              <a:solidFill>
                <a:schemeClr val="tx2"/>
              </a:solidFill>
            </a:ln>
          </c:spPr>
          <c:marker>
            <c:symbol val="none"/>
          </c:marker>
          <c:cat>
            <c:numRef>
              <c:f>'Data % GDP'!$A$5:$A$55</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cat>
          <c:val>
            <c:numRef>
              <c:f>'Data % GDP'!$L$5:$L$55</c:f>
              <c:numCache>
                <c:formatCode>General</c:formatCode>
                <c:ptCount val="51"/>
                <c:pt idx="0">
                  <c:v>2.869340043823642</c:v>
                </c:pt>
                <c:pt idx="1">
                  <c:v>2.838945497429073</c:v>
                </c:pt>
                <c:pt idx="2">
                  <c:v>2.758014921325457</c:v>
                </c:pt>
                <c:pt idx="3">
                  <c:v>2.707422094440476</c:v>
                </c:pt>
                <c:pt idx="4">
                  <c:v>2.683069396240165</c:v>
                </c:pt>
                <c:pt idx="5">
                  <c:v>2.66590624346236</c:v>
                </c:pt>
                <c:pt idx="6">
                  <c:v>2.641586525939453</c:v>
                </c:pt>
                <c:pt idx="7">
                  <c:v>2.61223151772693</c:v>
                </c:pt>
                <c:pt idx="8">
                  <c:v>2.576413211195181</c:v>
                </c:pt>
                <c:pt idx="9">
                  <c:v>2.539180857901588</c:v>
                </c:pt>
                <c:pt idx="10">
                  <c:v>2.504449342626249</c:v>
                </c:pt>
                <c:pt idx="11">
                  <c:v>2.475368078659998</c:v>
                </c:pt>
                <c:pt idx="12">
                  <c:v>2.451731742166095</c:v>
                </c:pt>
                <c:pt idx="13">
                  <c:v>2.433675528970323</c:v>
                </c:pt>
                <c:pt idx="14">
                  <c:v>2.418333196840176</c:v>
                </c:pt>
                <c:pt idx="15">
                  <c:v>2.404652003513736</c:v>
                </c:pt>
                <c:pt idx="16">
                  <c:v>2.390784048472286</c:v>
                </c:pt>
                <c:pt idx="17">
                  <c:v>2.376491608015394</c:v>
                </c:pt>
                <c:pt idx="18">
                  <c:v>2.363442399237812</c:v>
                </c:pt>
                <c:pt idx="19">
                  <c:v>2.350946210751635</c:v>
                </c:pt>
                <c:pt idx="20">
                  <c:v>2.338273277927544</c:v>
                </c:pt>
                <c:pt idx="21">
                  <c:v>2.324010693692544</c:v>
                </c:pt>
                <c:pt idx="22">
                  <c:v>2.308814464596262</c:v>
                </c:pt>
                <c:pt idx="23">
                  <c:v>2.29409422369213</c:v>
                </c:pt>
                <c:pt idx="24">
                  <c:v>2.281096270615214</c:v>
                </c:pt>
                <c:pt idx="25">
                  <c:v>2.273544550812144</c:v>
                </c:pt>
                <c:pt idx="26">
                  <c:v>2.271967483709032</c:v>
                </c:pt>
                <c:pt idx="27">
                  <c:v>2.275340817951756</c:v>
                </c:pt>
                <c:pt idx="28">
                  <c:v>2.284803509269773</c:v>
                </c:pt>
                <c:pt idx="29">
                  <c:v>2.299783304287788</c:v>
                </c:pt>
                <c:pt idx="30">
                  <c:v>2.31842812289639</c:v>
                </c:pt>
                <c:pt idx="31">
                  <c:v>2.340953668417975</c:v>
                </c:pt>
                <c:pt idx="32">
                  <c:v>2.361399703151941</c:v>
                </c:pt>
                <c:pt idx="33">
                  <c:v>2.378344454006956</c:v>
                </c:pt>
                <c:pt idx="34">
                  <c:v>2.381869167863347</c:v>
                </c:pt>
                <c:pt idx="35">
                  <c:v>2.384111886451991</c:v>
                </c:pt>
                <c:pt idx="36">
                  <c:v>2.380339481410871</c:v>
                </c:pt>
                <c:pt idx="37">
                  <c:v>2.375471233464436</c:v>
                </c:pt>
                <c:pt idx="38">
                  <c:v>2.370411439060358</c:v>
                </c:pt>
                <c:pt idx="39">
                  <c:v>2.366541706454513</c:v>
                </c:pt>
                <c:pt idx="40">
                  <c:v>2.36358816255435</c:v>
                </c:pt>
                <c:pt idx="41">
                  <c:v>2.360025103868137</c:v>
                </c:pt>
                <c:pt idx="42">
                  <c:v>2.355571899359834</c:v>
                </c:pt>
                <c:pt idx="43">
                  <c:v>2.352063168897425</c:v>
                </c:pt>
                <c:pt idx="44">
                  <c:v>2.348860030067007</c:v>
                </c:pt>
                <c:pt idx="45">
                  <c:v>2.345872297106773</c:v>
                </c:pt>
                <c:pt idx="46">
                  <c:v>2.342918389317119</c:v>
                </c:pt>
                <c:pt idx="47">
                  <c:v>2.339931717531813</c:v>
                </c:pt>
                <c:pt idx="48">
                  <c:v>2.336461835253357</c:v>
                </c:pt>
                <c:pt idx="49">
                  <c:v>2.333262872071738</c:v>
                </c:pt>
                <c:pt idx="50">
                  <c:v>2.330344557929788</c:v>
                </c:pt>
              </c:numCache>
            </c:numRef>
          </c:val>
        </c:ser>
        <c:marker val="1"/>
        <c:axId val="765481112"/>
        <c:axId val="706425784"/>
      </c:lineChart>
      <c:catAx>
        <c:axId val="765481112"/>
        <c:scaling>
          <c:orientation val="minMax"/>
        </c:scaling>
        <c:axPos val="b"/>
        <c:title>
          <c:tx>
            <c:rich>
              <a:bodyPr/>
              <a:lstStyle/>
              <a:p>
                <a:pPr>
                  <a:defRPr/>
                </a:pPr>
                <a:r>
                  <a:rPr lang="en-US"/>
                  <a:t>Year</a:t>
                </a:r>
              </a:p>
            </c:rich>
          </c:tx>
        </c:title>
        <c:numFmt formatCode="General" sourceLinked="1"/>
        <c:tickLblPos val="nextTo"/>
        <c:crossAx val="706425784"/>
        <c:crosses val="autoZero"/>
        <c:auto val="1"/>
        <c:lblAlgn val="ctr"/>
        <c:lblOffset val="100"/>
        <c:tickLblSkip val="10"/>
        <c:tickMarkSkip val="1"/>
      </c:catAx>
      <c:valAx>
        <c:axId val="706425784"/>
        <c:scaling>
          <c:orientation val="minMax"/>
        </c:scaling>
        <c:axPos val="l"/>
        <c:majorGridlines/>
        <c:numFmt formatCode="General" sourceLinked="1"/>
        <c:tickLblPos val="nextTo"/>
        <c:crossAx val="765481112"/>
        <c:crosses val="autoZero"/>
        <c:crossBetween val="between"/>
      </c:valAx>
    </c:plotArea>
    <c:legend>
      <c:legendPos val="t"/>
      <c:layout>
        <c:manualLayout>
          <c:xMode val="edge"/>
          <c:yMode val="edge"/>
          <c:x val="0.0567736220472441"/>
          <c:y val="0.0277777777777778"/>
          <c:w val="0.886452755905512"/>
          <c:h val="0.0880531204656079"/>
        </c:manualLayout>
      </c:layout>
    </c:legend>
    <c:plotVisOnly val="1"/>
  </c:chart>
  <c:txPr>
    <a:bodyPr/>
    <a:lstStyle/>
    <a:p>
      <a:pPr>
        <a:defRPr b="0">
          <a:latin typeface="Times New Roman"/>
          <a:cs typeface="Times New Roman"/>
        </a:defRPr>
      </a:pPr>
      <a:endParaRPr lang="en-US"/>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0450174019796099"/>
          <c:y val="0.154280332110094"/>
          <c:w val="0.933354281833396"/>
          <c:h val="0.753938146705628"/>
        </c:manualLayout>
      </c:layout>
      <c:lineChart>
        <c:grouping val="standard"/>
        <c:ser>
          <c:idx val="0"/>
          <c:order val="0"/>
          <c:tx>
            <c:strRef>
              <c:f>'Data % GDP'!$B$4</c:f>
              <c:strCache>
                <c:ptCount val="1"/>
                <c:pt idx="0">
                  <c:v>East Asia and Pacific</c:v>
                </c:pt>
              </c:strCache>
            </c:strRef>
          </c:tx>
          <c:spPr>
            <a:ln>
              <a:solidFill>
                <a:schemeClr val="accent5"/>
              </a:solidFill>
            </a:ln>
          </c:spPr>
          <c:marker>
            <c:symbol val="none"/>
          </c:marker>
          <c:cat>
            <c:numRef>
              <c:f>'Data % GDP'!$A$5:$A$55</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cat>
          <c:val>
            <c:numRef>
              <c:f>'Data % GDP'!$B$5:$B$55</c:f>
              <c:numCache>
                <c:formatCode>General</c:formatCode>
                <c:ptCount val="51"/>
                <c:pt idx="0">
                  <c:v>10.27740228879873</c:v>
                </c:pt>
                <c:pt idx="1">
                  <c:v>9.272262881523178</c:v>
                </c:pt>
                <c:pt idx="2">
                  <c:v>8.661032159430767</c:v>
                </c:pt>
                <c:pt idx="3">
                  <c:v>8.028671529855618</c:v>
                </c:pt>
                <c:pt idx="4">
                  <c:v>7.495549730565108</c:v>
                </c:pt>
                <c:pt idx="5">
                  <c:v>7.082705339235479</c:v>
                </c:pt>
                <c:pt idx="6">
                  <c:v>6.660922272309243</c:v>
                </c:pt>
                <c:pt idx="7">
                  <c:v>6.30169860524391</c:v>
                </c:pt>
                <c:pt idx="8">
                  <c:v>5.97712501715913</c:v>
                </c:pt>
                <c:pt idx="9">
                  <c:v>5.79169109811369</c:v>
                </c:pt>
                <c:pt idx="10">
                  <c:v>5.715431261291565</c:v>
                </c:pt>
                <c:pt idx="11">
                  <c:v>5.701999326047017</c:v>
                </c:pt>
                <c:pt idx="12">
                  <c:v>5.713083156521321</c:v>
                </c:pt>
                <c:pt idx="13">
                  <c:v>5.687371614915976</c:v>
                </c:pt>
                <c:pt idx="14">
                  <c:v>5.619013092243695</c:v>
                </c:pt>
                <c:pt idx="15">
                  <c:v>5.490449031701761</c:v>
                </c:pt>
                <c:pt idx="16">
                  <c:v>5.320736793294499</c:v>
                </c:pt>
                <c:pt idx="17">
                  <c:v>5.114151349004473</c:v>
                </c:pt>
                <c:pt idx="18">
                  <c:v>4.8917590820044</c:v>
                </c:pt>
                <c:pt idx="19">
                  <c:v>4.672782058144031</c:v>
                </c:pt>
                <c:pt idx="20">
                  <c:v>4.47614359089894</c:v>
                </c:pt>
                <c:pt idx="21">
                  <c:v>4.29877120377063</c:v>
                </c:pt>
                <c:pt idx="22">
                  <c:v>4.152437985719361</c:v>
                </c:pt>
                <c:pt idx="23">
                  <c:v>4.032298892900481</c:v>
                </c:pt>
                <c:pt idx="24">
                  <c:v>3.934576181215174</c:v>
                </c:pt>
                <c:pt idx="25">
                  <c:v>3.852313381080026</c:v>
                </c:pt>
                <c:pt idx="26">
                  <c:v>3.781083379148826</c:v>
                </c:pt>
                <c:pt idx="27">
                  <c:v>3.714896815142114</c:v>
                </c:pt>
                <c:pt idx="28">
                  <c:v>3.652811375609854</c:v>
                </c:pt>
                <c:pt idx="29">
                  <c:v>3.59846671277939</c:v>
                </c:pt>
                <c:pt idx="30">
                  <c:v>3.545862591724413</c:v>
                </c:pt>
                <c:pt idx="31">
                  <c:v>3.492349886824166</c:v>
                </c:pt>
                <c:pt idx="32">
                  <c:v>3.441874728697889</c:v>
                </c:pt>
                <c:pt idx="33">
                  <c:v>3.398116994585838</c:v>
                </c:pt>
                <c:pt idx="34">
                  <c:v>3.356613827277167</c:v>
                </c:pt>
                <c:pt idx="35">
                  <c:v>3.31537417373974</c:v>
                </c:pt>
                <c:pt idx="36">
                  <c:v>3.271025592104606</c:v>
                </c:pt>
                <c:pt idx="37">
                  <c:v>3.220989126164294</c:v>
                </c:pt>
                <c:pt idx="38">
                  <c:v>3.165475571995006</c:v>
                </c:pt>
                <c:pt idx="39">
                  <c:v>3.103740321709786</c:v>
                </c:pt>
                <c:pt idx="40">
                  <c:v>3.030865425846466</c:v>
                </c:pt>
                <c:pt idx="41">
                  <c:v>2.970085685169696</c:v>
                </c:pt>
                <c:pt idx="42">
                  <c:v>2.919394897808985</c:v>
                </c:pt>
                <c:pt idx="43">
                  <c:v>2.876478792421262</c:v>
                </c:pt>
                <c:pt idx="44">
                  <c:v>2.840323043805577</c:v>
                </c:pt>
                <c:pt idx="45">
                  <c:v>2.8088242027897</c:v>
                </c:pt>
                <c:pt idx="46">
                  <c:v>2.780666339941147</c:v>
                </c:pt>
                <c:pt idx="47">
                  <c:v>2.75553834639367</c:v>
                </c:pt>
                <c:pt idx="48">
                  <c:v>2.73266806228041</c:v>
                </c:pt>
                <c:pt idx="49">
                  <c:v>2.711434105048232</c:v>
                </c:pt>
                <c:pt idx="50">
                  <c:v>2.690748796509565</c:v>
                </c:pt>
              </c:numCache>
            </c:numRef>
          </c:val>
        </c:ser>
        <c:ser>
          <c:idx val="1"/>
          <c:order val="1"/>
          <c:tx>
            <c:strRef>
              <c:f>'Data % GDP'!$C$4</c:f>
              <c:strCache>
                <c:ptCount val="1"/>
                <c:pt idx="0">
                  <c:v>Europe and Central Asia</c:v>
                </c:pt>
              </c:strCache>
            </c:strRef>
          </c:tx>
          <c:spPr>
            <a:ln>
              <a:solidFill>
                <a:srgbClr val="FFFF00"/>
              </a:solidFill>
            </a:ln>
          </c:spPr>
          <c:marker>
            <c:symbol val="none"/>
          </c:marker>
          <c:cat>
            <c:numRef>
              <c:f>'Data % GDP'!$A$5:$A$55</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cat>
          <c:val>
            <c:numRef>
              <c:f>'Data % GDP'!$C$5:$C$55</c:f>
              <c:numCache>
                <c:formatCode>General</c:formatCode>
                <c:ptCount val="51"/>
                <c:pt idx="0">
                  <c:v>7.597485757501166</c:v>
                </c:pt>
                <c:pt idx="1">
                  <c:v>7.123383664784352</c:v>
                </c:pt>
                <c:pt idx="2">
                  <c:v>7.205430647088574</c:v>
                </c:pt>
                <c:pt idx="3">
                  <c:v>7.317477346158851</c:v>
                </c:pt>
                <c:pt idx="4">
                  <c:v>7.392468549718067</c:v>
                </c:pt>
                <c:pt idx="5">
                  <c:v>7.399529070820503</c:v>
                </c:pt>
                <c:pt idx="6">
                  <c:v>7.361130521908231</c:v>
                </c:pt>
                <c:pt idx="7">
                  <c:v>7.329676566671814</c:v>
                </c:pt>
                <c:pt idx="8">
                  <c:v>7.187392462497288</c:v>
                </c:pt>
                <c:pt idx="9">
                  <c:v>7.034979591886477</c:v>
                </c:pt>
                <c:pt idx="10">
                  <c:v>6.866061575714636</c:v>
                </c:pt>
                <c:pt idx="11">
                  <c:v>6.687836260702873</c:v>
                </c:pt>
                <c:pt idx="12">
                  <c:v>6.511437163947872</c:v>
                </c:pt>
                <c:pt idx="13">
                  <c:v>6.298742786479803</c:v>
                </c:pt>
                <c:pt idx="14">
                  <c:v>6.099287813971274</c:v>
                </c:pt>
                <c:pt idx="15">
                  <c:v>5.869643881388752</c:v>
                </c:pt>
                <c:pt idx="16">
                  <c:v>5.679788738545365</c:v>
                </c:pt>
                <c:pt idx="17">
                  <c:v>5.512852554021379</c:v>
                </c:pt>
                <c:pt idx="18">
                  <c:v>5.357481037008967</c:v>
                </c:pt>
                <c:pt idx="19">
                  <c:v>5.207710240233347</c:v>
                </c:pt>
                <c:pt idx="20">
                  <c:v>5.066390136667469</c:v>
                </c:pt>
                <c:pt idx="21">
                  <c:v>4.924395428203002</c:v>
                </c:pt>
                <c:pt idx="22">
                  <c:v>4.782574741725265</c:v>
                </c:pt>
                <c:pt idx="23">
                  <c:v>4.674964626875617</c:v>
                </c:pt>
                <c:pt idx="24">
                  <c:v>4.61411574446833</c:v>
                </c:pt>
                <c:pt idx="25">
                  <c:v>4.519733920475311</c:v>
                </c:pt>
                <c:pt idx="26">
                  <c:v>4.414279879305865</c:v>
                </c:pt>
                <c:pt idx="27">
                  <c:v>4.321366698356605</c:v>
                </c:pt>
                <c:pt idx="28">
                  <c:v>4.23753995137334</c:v>
                </c:pt>
                <c:pt idx="29">
                  <c:v>4.164534594155719</c:v>
                </c:pt>
                <c:pt idx="30">
                  <c:v>4.100440278666791</c:v>
                </c:pt>
                <c:pt idx="31">
                  <c:v>4.035439660863291</c:v>
                </c:pt>
                <c:pt idx="32">
                  <c:v>3.959505533600697</c:v>
                </c:pt>
                <c:pt idx="33">
                  <c:v>3.890840276381917</c:v>
                </c:pt>
                <c:pt idx="34">
                  <c:v>3.830323366378721</c:v>
                </c:pt>
                <c:pt idx="35">
                  <c:v>3.77181152661243</c:v>
                </c:pt>
                <c:pt idx="36">
                  <c:v>3.720692401364745</c:v>
                </c:pt>
                <c:pt idx="37">
                  <c:v>3.67183076475333</c:v>
                </c:pt>
                <c:pt idx="38">
                  <c:v>3.627300800695377</c:v>
                </c:pt>
                <c:pt idx="39">
                  <c:v>3.587942805284017</c:v>
                </c:pt>
                <c:pt idx="40">
                  <c:v>3.555699581960905</c:v>
                </c:pt>
                <c:pt idx="41">
                  <c:v>3.530045783565197</c:v>
                </c:pt>
                <c:pt idx="42">
                  <c:v>3.513143483681981</c:v>
                </c:pt>
                <c:pt idx="43">
                  <c:v>3.498521841983691</c:v>
                </c:pt>
                <c:pt idx="44">
                  <c:v>3.482005853209178</c:v>
                </c:pt>
                <c:pt idx="45">
                  <c:v>3.462021182288994</c:v>
                </c:pt>
                <c:pt idx="46">
                  <c:v>3.443164051724675</c:v>
                </c:pt>
                <c:pt idx="47">
                  <c:v>3.423973915537942</c:v>
                </c:pt>
                <c:pt idx="48">
                  <c:v>3.402964792133403</c:v>
                </c:pt>
                <c:pt idx="49">
                  <c:v>3.381757109163793</c:v>
                </c:pt>
                <c:pt idx="50">
                  <c:v>3.361064068578846</c:v>
                </c:pt>
              </c:numCache>
            </c:numRef>
          </c:val>
        </c:ser>
        <c:ser>
          <c:idx val="2"/>
          <c:order val="2"/>
          <c:tx>
            <c:strRef>
              <c:f>'Data % GDP'!$D$4</c:f>
              <c:strCache>
                <c:ptCount val="1"/>
                <c:pt idx="0">
                  <c:v>Latin America and the Caribbean</c:v>
                </c:pt>
              </c:strCache>
            </c:strRef>
          </c:tx>
          <c:spPr>
            <a:ln>
              <a:solidFill>
                <a:schemeClr val="accent3"/>
              </a:solidFill>
            </a:ln>
          </c:spPr>
          <c:marker>
            <c:symbol val="none"/>
          </c:marker>
          <c:cat>
            <c:numRef>
              <c:f>'Data % GDP'!$A$5:$A$55</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cat>
          <c:val>
            <c:numRef>
              <c:f>'Data % GDP'!$D$5:$D$55</c:f>
              <c:numCache>
                <c:formatCode>General</c:formatCode>
                <c:ptCount val="51"/>
                <c:pt idx="0">
                  <c:v>4.267948341721927</c:v>
                </c:pt>
                <c:pt idx="1">
                  <c:v>4.263551292493763</c:v>
                </c:pt>
                <c:pt idx="2">
                  <c:v>4.303876749832119</c:v>
                </c:pt>
                <c:pt idx="3">
                  <c:v>4.324222189142147</c:v>
                </c:pt>
                <c:pt idx="4">
                  <c:v>4.378654046578709</c:v>
                </c:pt>
                <c:pt idx="5">
                  <c:v>4.455772048195276</c:v>
                </c:pt>
                <c:pt idx="6">
                  <c:v>4.524167530725473</c:v>
                </c:pt>
                <c:pt idx="7">
                  <c:v>4.576238317732046</c:v>
                </c:pt>
                <c:pt idx="8">
                  <c:v>4.617456531252487</c:v>
                </c:pt>
                <c:pt idx="9">
                  <c:v>4.610527631136046</c:v>
                </c:pt>
                <c:pt idx="10">
                  <c:v>4.580629160095362</c:v>
                </c:pt>
                <c:pt idx="11">
                  <c:v>4.54357642206383</c:v>
                </c:pt>
                <c:pt idx="12">
                  <c:v>4.492328671621308</c:v>
                </c:pt>
                <c:pt idx="13">
                  <c:v>4.43439809439803</c:v>
                </c:pt>
                <c:pt idx="14">
                  <c:v>4.376385596696401</c:v>
                </c:pt>
                <c:pt idx="15">
                  <c:v>4.307694343043151</c:v>
                </c:pt>
                <c:pt idx="16">
                  <c:v>4.25266272034355</c:v>
                </c:pt>
                <c:pt idx="17">
                  <c:v>4.20127832044627</c:v>
                </c:pt>
                <c:pt idx="18">
                  <c:v>4.149620500449372</c:v>
                </c:pt>
                <c:pt idx="19">
                  <c:v>4.095514679996874</c:v>
                </c:pt>
                <c:pt idx="20">
                  <c:v>4.037393694184</c:v>
                </c:pt>
                <c:pt idx="21">
                  <c:v>3.973463664280637</c:v>
                </c:pt>
                <c:pt idx="22">
                  <c:v>3.902814899704826</c:v>
                </c:pt>
                <c:pt idx="23">
                  <c:v>3.830199429866782</c:v>
                </c:pt>
                <c:pt idx="24">
                  <c:v>3.757602959966094</c:v>
                </c:pt>
                <c:pt idx="25">
                  <c:v>3.687312947923604</c:v>
                </c:pt>
                <c:pt idx="26">
                  <c:v>3.628341956838103</c:v>
                </c:pt>
                <c:pt idx="27">
                  <c:v>3.574949084527487</c:v>
                </c:pt>
                <c:pt idx="28">
                  <c:v>3.5278797354529</c:v>
                </c:pt>
                <c:pt idx="29">
                  <c:v>3.478867698965157</c:v>
                </c:pt>
                <c:pt idx="30">
                  <c:v>3.429078486748633</c:v>
                </c:pt>
                <c:pt idx="31">
                  <c:v>3.385098253211894</c:v>
                </c:pt>
                <c:pt idx="32">
                  <c:v>3.345231118804206</c:v>
                </c:pt>
                <c:pt idx="33">
                  <c:v>3.306240217289447</c:v>
                </c:pt>
                <c:pt idx="34">
                  <c:v>3.26851414319732</c:v>
                </c:pt>
                <c:pt idx="35">
                  <c:v>3.235020407456822</c:v>
                </c:pt>
                <c:pt idx="36">
                  <c:v>3.19839245828705</c:v>
                </c:pt>
                <c:pt idx="37">
                  <c:v>3.163233489309976</c:v>
                </c:pt>
                <c:pt idx="38">
                  <c:v>3.129394872491191</c:v>
                </c:pt>
                <c:pt idx="39">
                  <c:v>3.097210098284397</c:v>
                </c:pt>
                <c:pt idx="40">
                  <c:v>3.067592553935584</c:v>
                </c:pt>
                <c:pt idx="41">
                  <c:v>3.043532142816785</c:v>
                </c:pt>
                <c:pt idx="42">
                  <c:v>3.024749657271607</c:v>
                </c:pt>
                <c:pt idx="43">
                  <c:v>3.009589453835626</c:v>
                </c:pt>
                <c:pt idx="44">
                  <c:v>2.996723572361446</c:v>
                </c:pt>
                <c:pt idx="45">
                  <c:v>2.982629778161117</c:v>
                </c:pt>
                <c:pt idx="46">
                  <c:v>2.967036250242272</c:v>
                </c:pt>
                <c:pt idx="47">
                  <c:v>2.949362078605222</c:v>
                </c:pt>
                <c:pt idx="48">
                  <c:v>2.930078549632848</c:v>
                </c:pt>
                <c:pt idx="49">
                  <c:v>2.908856368152302</c:v>
                </c:pt>
                <c:pt idx="50">
                  <c:v>2.88507332718531</c:v>
                </c:pt>
              </c:numCache>
            </c:numRef>
          </c:val>
        </c:ser>
        <c:ser>
          <c:idx val="3"/>
          <c:order val="3"/>
          <c:tx>
            <c:strRef>
              <c:f>'Data % GDP'!$E$4</c:f>
              <c:strCache>
                <c:ptCount val="1"/>
                <c:pt idx="0">
                  <c:v>Middle East and North Africa</c:v>
                </c:pt>
              </c:strCache>
            </c:strRef>
          </c:tx>
          <c:spPr>
            <a:ln>
              <a:solidFill>
                <a:schemeClr val="accent2"/>
              </a:solidFill>
            </a:ln>
          </c:spPr>
          <c:marker>
            <c:symbol val="none"/>
          </c:marker>
          <c:cat>
            <c:numRef>
              <c:f>'Data % GDP'!$A$5:$A$55</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cat>
          <c:val>
            <c:numRef>
              <c:f>'Data % GDP'!$E$5:$E$55</c:f>
              <c:numCache>
                <c:formatCode>General</c:formatCode>
                <c:ptCount val="51"/>
                <c:pt idx="0">
                  <c:v>7.942115622505375</c:v>
                </c:pt>
                <c:pt idx="1">
                  <c:v>7.673937390325268</c:v>
                </c:pt>
                <c:pt idx="2">
                  <c:v>7.655478932507304</c:v>
                </c:pt>
                <c:pt idx="3">
                  <c:v>7.692697390548104</c:v>
                </c:pt>
                <c:pt idx="4">
                  <c:v>7.667608178636923</c:v>
                </c:pt>
                <c:pt idx="5">
                  <c:v>7.645422922030506</c:v>
                </c:pt>
                <c:pt idx="6">
                  <c:v>7.665822759526399</c:v>
                </c:pt>
                <c:pt idx="7">
                  <c:v>7.703425849908899</c:v>
                </c:pt>
                <c:pt idx="8">
                  <c:v>7.725912565958514</c:v>
                </c:pt>
                <c:pt idx="9">
                  <c:v>7.672250598278385</c:v>
                </c:pt>
                <c:pt idx="10">
                  <c:v>7.676159727212638</c:v>
                </c:pt>
                <c:pt idx="11">
                  <c:v>7.703751128009292</c:v>
                </c:pt>
                <c:pt idx="12">
                  <c:v>7.701112265568351</c:v>
                </c:pt>
                <c:pt idx="13">
                  <c:v>7.675585493375632</c:v>
                </c:pt>
                <c:pt idx="14">
                  <c:v>7.583062657099688</c:v>
                </c:pt>
                <c:pt idx="15">
                  <c:v>7.470397908885768</c:v>
                </c:pt>
                <c:pt idx="16">
                  <c:v>7.265990399885454</c:v>
                </c:pt>
                <c:pt idx="17">
                  <c:v>7.034178170062474</c:v>
                </c:pt>
                <c:pt idx="18">
                  <c:v>6.798269840923596</c:v>
                </c:pt>
                <c:pt idx="19">
                  <c:v>6.591643971496027</c:v>
                </c:pt>
                <c:pt idx="20">
                  <c:v>6.439535270203247</c:v>
                </c:pt>
                <c:pt idx="21">
                  <c:v>6.26157011692889</c:v>
                </c:pt>
                <c:pt idx="22">
                  <c:v>6.105245766805724</c:v>
                </c:pt>
                <c:pt idx="23">
                  <c:v>5.93402340327058</c:v>
                </c:pt>
                <c:pt idx="24">
                  <c:v>5.766422031581434</c:v>
                </c:pt>
                <c:pt idx="25">
                  <c:v>5.596980206394847</c:v>
                </c:pt>
                <c:pt idx="26">
                  <c:v>5.428008209801528</c:v>
                </c:pt>
                <c:pt idx="27">
                  <c:v>5.28291229631017</c:v>
                </c:pt>
                <c:pt idx="28">
                  <c:v>5.171351087706088</c:v>
                </c:pt>
                <c:pt idx="29">
                  <c:v>5.08869214816966</c:v>
                </c:pt>
                <c:pt idx="30">
                  <c:v>4.98900660307112</c:v>
                </c:pt>
                <c:pt idx="31">
                  <c:v>4.880228336894885</c:v>
                </c:pt>
                <c:pt idx="32">
                  <c:v>4.783215282249411</c:v>
                </c:pt>
                <c:pt idx="33">
                  <c:v>4.69684468136699</c:v>
                </c:pt>
                <c:pt idx="34">
                  <c:v>4.619278371352411</c:v>
                </c:pt>
                <c:pt idx="35">
                  <c:v>4.548966051580977</c:v>
                </c:pt>
                <c:pt idx="36">
                  <c:v>4.478746134105056</c:v>
                </c:pt>
                <c:pt idx="37">
                  <c:v>4.418211060020543</c:v>
                </c:pt>
                <c:pt idx="38">
                  <c:v>4.357752965199636</c:v>
                </c:pt>
                <c:pt idx="39">
                  <c:v>4.297718631565631</c:v>
                </c:pt>
                <c:pt idx="40">
                  <c:v>4.23628203368068</c:v>
                </c:pt>
                <c:pt idx="41">
                  <c:v>4.166526307606585</c:v>
                </c:pt>
                <c:pt idx="42">
                  <c:v>4.107164298927846</c:v>
                </c:pt>
                <c:pt idx="43">
                  <c:v>4.057770746443946</c:v>
                </c:pt>
                <c:pt idx="44">
                  <c:v>4.013472228341204</c:v>
                </c:pt>
                <c:pt idx="45">
                  <c:v>3.975774698275722</c:v>
                </c:pt>
                <c:pt idx="46">
                  <c:v>3.946901721202852</c:v>
                </c:pt>
                <c:pt idx="47">
                  <c:v>3.920332660967566</c:v>
                </c:pt>
                <c:pt idx="48">
                  <c:v>3.891631624059777</c:v>
                </c:pt>
                <c:pt idx="49">
                  <c:v>3.86490266864018</c:v>
                </c:pt>
                <c:pt idx="50">
                  <c:v>3.835232948083116</c:v>
                </c:pt>
              </c:numCache>
            </c:numRef>
          </c:val>
        </c:ser>
        <c:ser>
          <c:idx val="4"/>
          <c:order val="4"/>
          <c:tx>
            <c:strRef>
              <c:f>'Data % GDP'!$F$4</c:f>
              <c:strCache>
                <c:ptCount val="1"/>
                <c:pt idx="0">
                  <c:v>South Asia</c:v>
                </c:pt>
              </c:strCache>
            </c:strRef>
          </c:tx>
          <c:spPr>
            <a:ln>
              <a:solidFill>
                <a:schemeClr val="accent2">
                  <a:lumMod val="40000"/>
                  <a:lumOff val="60000"/>
                </a:schemeClr>
              </a:solidFill>
            </a:ln>
          </c:spPr>
          <c:marker>
            <c:symbol val="none"/>
          </c:marker>
          <c:cat>
            <c:numRef>
              <c:f>'Data % GDP'!$A$5:$A$55</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cat>
          <c:val>
            <c:numRef>
              <c:f>'Data % GDP'!$F$5:$F$55</c:f>
              <c:numCache>
                <c:formatCode>General</c:formatCode>
                <c:ptCount val="51"/>
                <c:pt idx="0">
                  <c:v>9.05510753016537</c:v>
                </c:pt>
                <c:pt idx="1">
                  <c:v>9.180646148114604</c:v>
                </c:pt>
                <c:pt idx="2">
                  <c:v>8.881718957676151</c:v>
                </c:pt>
                <c:pt idx="3">
                  <c:v>8.588910274613741</c:v>
                </c:pt>
                <c:pt idx="4">
                  <c:v>8.48669736701192</c:v>
                </c:pt>
                <c:pt idx="5">
                  <c:v>8.57064293200632</c:v>
                </c:pt>
                <c:pt idx="6">
                  <c:v>8.73014695990144</c:v>
                </c:pt>
                <c:pt idx="7">
                  <c:v>8.8533280450843</c:v>
                </c:pt>
                <c:pt idx="8">
                  <c:v>8.86832226512321</c:v>
                </c:pt>
                <c:pt idx="9">
                  <c:v>8.774432562812023</c:v>
                </c:pt>
                <c:pt idx="10">
                  <c:v>8.468551149064227</c:v>
                </c:pt>
                <c:pt idx="11">
                  <c:v>8.05472716147</c:v>
                </c:pt>
                <c:pt idx="12">
                  <c:v>7.544566421253128</c:v>
                </c:pt>
                <c:pt idx="13">
                  <c:v>7.089327103376398</c:v>
                </c:pt>
                <c:pt idx="14">
                  <c:v>6.695379535756841</c:v>
                </c:pt>
                <c:pt idx="15">
                  <c:v>6.362179805128266</c:v>
                </c:pt>
                <c:pt idx="16">
                  <c:v>6.102796075937595</c:v>
                </c:pt>
                <c:pt idx="17">
                  <c:v>5.879080897434063</c:v>
                </c:pt>
                <c:pt idx="18">
                  <c:v>5.67771124703157</c:v>
                </c:pt>
                <c:pt idx="19">
                  <c:v>5.444097941677777</c:v>
                </c:pt>
                <c:pt idx="20">
                  <c:v>5.215945756336485</c:v>
                </c:pt>
                <c:pt idx="21">
                  <c:v>5.034042208936421</c:v>
                </c:pt>
                <c:pt idx="22">
                  <c:v>4.848985186685145</c:v>
                </c:pt>
                <c:pt idx="23">
                  <c:v>4.666997435428734</c:v>
                </c:pt>
                <c:pt idx="24">
                  <c:v>4.480038180026618</c:v>
                </c:pt>
                <c:pt idx="25">
                  <c:v>4.302473272059927</c:v>
                </c:pt>
                <c:pt idx="26">
                  <c:v>4.140945755686944</c:v>
                </c:pt>
                <c:pt idx="27">
                  <c:v>4.000414976424027</c:v>
                </c:pt>
                <c:pt idx="28">
                  <c:v>3.874721419354896</c:v>
                </c:pt>
                <c:pt idx="29">
                  <c:v>3.769191385319841</c:v>
                </c:pt>
                <c:pt idx="30">
                  <c:v>3.677447780472746</c:v>
                </c:pt>
                <c:pt idx="31">
                  <c:v>3.593605587804442</c:v>
                </c:pt>
                <c:pt idx="32">
                  <c:v>3.516544863376588</c:v>
                </c:pt>
                <c:pt idx="33">
                  <c:v>3.442184035449797</c:v>
                </c:pt>
                <c:pt idx="34">
                  <c:v>3.370714827958908</c:v>
                </c:pt>
                <c:pt idx="35">
                  <c:v>3.296907376662698</c:v>
                </c:pt>
                <c:pt idx="36">
                  <c:v>3.218852287036742</c:v>
                </c:pt>
                <c:pt idx="37">
                  <c:v>3.143959315669023</c:v>
                </c:pt>
                <c:pt idx="38">
                  <c:v>3.071111509620873</c:v>
                </c:pt>
                <c:pt idx="39">
                  <c:v>3.003261372238726</c:v>
                </c:pt>
                <c:pt idx="40">
                  <c:v>2.944872077619664</c:v>
                </c:pt>
                <c:pt idx="41">
                  <c:v>2.896491522364945</c:v>
                </c:pt>
                <c:pt idx="42">
                  <c:v>2.858712002086114</c:v>
                </c:pt>
                <c:pt idx="43">
                  <c:v>2.826865497379916</c:v>
                </c:pt>
                <c:pt idx="44">
                  <c:v>2.798570024635285</c:v>
                </c:pt>
                <c:pt idx="45">
                  <c:v>2.771509742161718</c:v>
                </c:pt>
                <c:pt idx="46">
                  <c:v>2.742225539524758</c:v>
                </c:pt>
                <c:pt idx="47">
                  <c:v>2.708567342558566</c:v>
                </c:pt>
                <c:pt idx="48">
                  <c:v>2.670967285621514</c:v>
                </c:pt>
                <c:pt idx="49">
                  <c:v>2.633282794164943</c:v>
                </c:pt>
                <c:pt idx="50">
                  <c:v>2.588082048060917</c:v>
                </c:pt>
              </c:numCache>
            </c:numRef>
          </c:val>
        </c:ser>
        <c:ser>
          <c:idx val="5"/>
          <c:order val="5"/>
          <c:tx>
            <c:strRef>
              <c:f>'Data % GDP'!$G$4</c:f>
              <c:strCache>
                <c:ptCount val="1"/>
                <c:pt idx="0">
                  <c:v>Sub-Saharan Africa</c:v>
                </c:pt>
              </c:strCache>
            </c:strRef>
          </c:tx>
          <c:spPr>
            <a:ln>
              <a:solidFill>
                <a:schemeClr val="accent6">
                  <a:lumMod val="75000"/>
                </a:schemeClr>
              </a:solidFill>
            </a:ln>
          </c:spPr>
          <c:marker>
            <c:symbol val="none"/>
          </c:marker>
          <c:cat>
            <c:numRef>
              <c:f>'Data % GDP'!$A$5:$A$55</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cat>
          <c:val>
            <c:numRef>
              <c:f>'Data % GDP'!$G$5:$G$55</c:f>
              <c:numCache>
                <c:formatCode>General</c:formatCode>
                <c:ptCount val="51"/>
                <c:pt idx="0">
                  <c:v>8.247577291528568</c:v>
                </c:pt>
                <c:pt idx="1">
                  <c:v>8.656113050811944</c:v>
                </c:pt>
                <c:pt idx="2">
                  <c:v>9.201306086509883</c:v>
                </c:pt>
                <c:pt idx="3">
                  <c:v>9.561815162020263</c:v>
                </c:pt>
                <c:pt idx="4">
                  <c:v>9.762524561315528</c:v>
                </c:pt>
                <c:pt idx="5">
                  <c:v>10.00036091441276</c:v>
                </c:pt>
                <c:pt idx="6">
                  <c:v>10.33092682499631</c:v>
                </c:pt>
                <c:pt idx="7">
                  <c:v>10.64519135430124</c:v>
                </c:pt>
                <c:pt idx="8">
                  <c:v>10.87272887096105</c:v>
                </c:pt>
                <c:pt idx="9">
                  <c:v>10.9768021130976</c:v>
                </c:pt>
                <c:pt idx="10">
                  <c:v>10.97119227758368</c:v>
                </c:pt>
                <c:pt idx="11">
                  <c:v>10.82254323816714</c:v>
                </c:pt>
                <c:pt idx="12">
                  <c:v>10.64360998329427</c:v>
                </c:pt>
                <c:pt idx="13">
                  <c:v>10.39459556353852</c:v>
                </c:pt>
                <c:pt idx="14">
                  <c:v>10.04375360693956</c:v>
                </c:pt>
                <c:pt idx="15">
                  <c:v>9.708251974458726</c:v>
                </c:pt>
                <c:pt idx="16">
                  <c:v>9.436373614214547</c:v>
                </c:pt>
                <c:pt idx="17">
                  <c:v>9.169378911088895</c:v>
                </c:pt>
                <c:pt idx="18">
                  <c:v>8.918196856154177</c:v>
                </c:pt>
                <c:pt idx="19">
                  <c:v>8.696391163385563</c:v>
                </c:pt>
                <c:pt idx="20">
                  <c:v>8.49683695463541</c:v>
                </c:pt>
                <c:pt idx="21">
                  <c:v>8.32295161778445</c:v>
                </c:pt>
                <c:pt idx="22">
                  <c:v>8.13242402301325</c:v>
                </c:pt>
                <c:pt idx="23">
                  <c:v>7.932877714069501</c:v>
                </c:pt>
                <c:pt idx="24">
                  <c:v>7.743978440004756</c:v>
                </c:pt>
                <c:pt idx="25">
                  <c:v>7.555408373240368</c:v>
                </c:pt>
                <c:pt idx="26">
                  <c:v>7.375887199588988</c:v>
                </c:pt>
                <c:pt idx="27">
                  <c:v>7.20002181876448</c:v>
                </c:pt>
                <c:pt idx="28">
                  <c:v>7.019900976661146</c:v>
                </c:pt>
                <c:pt idx="29">
                  <c:v>6.835597764992934</c:v>
                </c:pt>
                <c:pt idx="30">
                  <c:v>6.665900455372045</c:v>
                </c:pt>
                <c:pt idx="31">
                  <c:v>6.492526996197326</c:v>
                </c:pt>
                <c:pt idx="32">
                  <c:v>6.327183912303328</c:v>
                </c:pt>
                <c:pt idx="33">
                  <c:v>6.174190808694084</c:v>
                </c:pt>
                <c:pt idx="34">
                  <c:v>6.024797158522775</c:v>
                </c:pt>
                <c:pt idx="35">
                  <c:v>5.907306077223073</c:v>
                </c:pt>
                <c:pt idx="36">
                  <c:v>5.759007760353299</c:v>
                </c:pt>
                <c:pt idx="37">
                  <c:v>5.610280770603604</c:v>
                </c:pt>
                <c:pt idx="38">
                  <c:v>5.472712123907692</c:v>
                </c:pt>
                <c:pt idx="39">
                  <c:v>5.33316798928968</c:v>
                </c:pt>
                <c:pt idx="40">
                  <c:v>5.198453048251435</c:v>
                </c:pt>
                <c:pt idx="41">
                  <c:v>5.066617344376064</c:v>
                </c:pt>
                <c:pt idx="42">
                  <c:v>4.94114821748366</c:v>
                </c:pt>
                <c:pt idx="43">
                  <c:v>4.822764898901886</c:v>
                </c:pt>
                <c:pt idx="44">
                  <c:v>4.716241588946484</c:v>
                </c:pt>
                <c:pt idx="45">
                  <c:v>4.617353946787137</c:v>
                </c:pt>
                <c:pt idx="46">
                  <c:v>4.52675111399503</c:v>
                </c:pt>
                <c:pt idx="47">
                  <c:v>4.44306779448509</c:v>
                </c:pt>
                <c:pt idx="48">
                  <c:v>4.36629100167038</c:v>
                </c:pt>
                <c:pt idx="49">
                  <c:v>4.295841220775284</c:v>
                </c:pt>
                <c:pt idx="50">
                  <c:v>4.214534817350794</c:v>
                </c:pt>
              </c:numCache>
            </c:numRef>
          </c:val>
        </c:ser>
        <c:ser>
          <c:idx val="6"/>
          <c:order val="6"/>
          <c:tx>
            <c:strRef>
              <c:f>'Data % GDP'!$H$4</c:f>
              <c:strCache>
                <c:ptCount val="1"/>
                <c:pt idx="0">
                  <c:v>High-income countries</c:v>
                </c:pt>
              </c:strCache>
            </c:strRef>
          </c:tx>
          <c:spPr>
            <a:ln>
              <a:solidFill>
                <a:schemeClr val="tx2"/>
              </a:solidFill>
            </a:ln>
          </c:spPr>
          <c:marker>
            <c:symbol val="none"/>
          </c:marker>
          <c:cat>
            <c:numRef>
              <c:f>'Data % GDP'!$A$5:$A$55</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cat>
          <c:val>
            <c:numRef>
              <c:f>'Data % GDP'!$H$5:$H$55</c:f>
              <c:numCache>
                <c:formatCode>General</c:formatCode>
                <c:ptCount val="51"/>
                <c:pt idx="0">
                  <c:v>2.869340043823642</c:v>
                </c:pt>
                <c:pt idx="1">
                  <c:v>2.838945497429073</c:v>
                </c:pt>
                <c:pt idx="2">
                  <c:v>2.758014921325457</c:v>
                </c:pt>
                <c:pt idx="3">
                  <c:v>2.707422094440476</c:v>
                </c:pt>
                <c:pt idx="4">
                  <c:v>2.683069396240165</c:v>
                </c:pt>
                <c:pt idx="5">
                  <c:v>2.66590624346236</c:v>
                </c:pt>
                <c:pt idx="6">
                  <c:v>2.641586525939453</c:v>
                </c:pt>
                <c:pt idx="7">
                  <c:v>2.61223151772693</c:v>
                </c:pt>
                <c:pt idx="8">
                  <c:v>2.576413211195181</c:v>
                </c:pt>
                <c:pt idx="9">
                  <c:v>2.539180857901588</c:v>
                </c:pt>
                <c:pt idx="10">
                  <c:v>2.504449342626249</c:v>
                </c:pt>
                <c:pt idx="11">
                  <c:v>2.475368078659998</c:v>
                </c:pt>
                <c:pt idx="12">
                  <c:v>2.451731742166095</c:v>
                </c:pt>
                <c:pt idx="13">
                  <c:v>2.433675528970323</c:v>
                </c:pt>
                <c:pt idx="14">
                  <c:v>2.418333196840176</c:v>
                </c:pt>
                <c:pt idx="15">
                  <c:v>2.404652003513736</c:v>
                </c:pt>
                <c:pt idx="16">
                  <c:v>2.390784048472286</c:v>
                </c:pt>
                <c:pt idx="17">
                  <c:v>2.376491608015394</c:v>
                </c:pt>
                <c:pt idx="18">
                  <c:v>2.363442399237812</c:v>
                </c:pt>
                <c:pt idx="19">
                  <c:v>2.350946210751635</c:v>
                </c:pt>
                <c:pt idx="20">
                  <c:v>2.338273277927544</c:v>
                </c:pt>
                <c:pt idx="21">
                  <c:v>2.324010693692544</c:v>
                </c:pt>
                <c:pt idx="22">
                  <c:v>2.308814464596262</c:v>
                </c:pt>
                <c:pt idx="23">
                  <c:v>2.29409422369213</c:v>
                </c:pt>
                <c:pt idx="24">
                  <c:v>2.281096270615214</c:v>
                </c:pt>
                <c:pt idx="25">
                  <c:v>2.273544550812144</c:v>
                </c:pt>
                <c:pt idx="26">
                  <c:v>2.271967483709032</c:v>
                </c:pt>
                <c:pt idx="27">
                  <c:v>2.275340817951756</c:v>
                </c:pt>
                <c:pt idx="28">
                  <c:v>2.284803509269773</c:v>
                </c:pt>
                <c:pt idx="29">
                  <c:v>2.299783304287788</c:v>
                </c:pt>
                <c:pt idx="30">
                  <c:v>2.31842812289639</c:v>
                </c:pt>
                <c:pt idx="31">
                  <c:v>2.340953668417975</c:v>
                </c:pt>
                <c:pt idx="32">
                  <c:v>2.361399703151941</c:v>
                </c:pt>
                <c:pt idx="33">
                  <c:v>2.378344454006956</c:v>
                </c:pt>
                <c:pt idx="34">
                  <c:v>2.381869167863347</c:v>
                </c:pt>
                <c:pt idx="35">
                  <c:v>2.384111886451991</c:v>
                </c:pt>
                <c:pt idx="36">
                  <c:v>2.380339481410871</c:v>
                </c:pt>
                <c:pt idx="37">
                  <c:v>2.375471233464436</c:v>
                </c:pt>
                <c:pt idx="38">
                  <c:v>2.370411439060358</c:v>
                </c:pt>
                <c:pt idx="39">
                  <c:v>2.366541706454513</c:v>
                </c:pt>
                <c:pt idx="40">
                  <c:v>2.36358816255435</c:v>
                </c:pt>
                <c:pt idx="41">
                  <c:v>2.360025103868137</c:v>
                </c:pt>
                <c:pt idx="42">
                  <c:v>2.355571899359834</c:v>
                </c:pt>
                <c:pt idx="43">
                  <c:v>2.352063168897425</c:v>
                </c:pt>
                <c:pt idx="44">
                  <c:v>2.348860030067007</c:v>
                </c:pt>
                <c:pt idx="45">
                  <c:v>2.345872297106773</c:v>
                </c:pt>
                <c:pt idx="46">
                  <c:v>2.342918389317119</c:v>
                </c:pt>
                <c:pt idx="47">
                  <c:v>2.339931717531813</c:v>
                </c:pt>
                <c:pt idx="48">
                  <c:v>2.336461835253357</c:v>
                </c:pt>
                <c:pt idx="49">
                  <c:v>2.333262872071738</c:v>
                </c:pt>
                <c:pt idx="50">
                  <c:v>2.330344557929788</c:v>
                </c:pt>
              </c:numCache>
            </c:numRef>
          </c:val>
        </c:ser>
        <c:marker val="1"/>
        <c:axId val="765775800"/>
        <c:axId val="766451016"/>
      </c:lineChart>
      <c:catAx>
        <c:axId val="765775800"/>
        <c:scaling>
          <c:orientation val="minMax"/>
        </c:scaling>
        <c:axPos val="b"/>
        <c:title>
          <c:tx>
            <c:rich>
              <a:bodyPr/>
              <a:lstStyle/>
              <a:p>
                <a:pPr>
                  <a:defRPr/>
                </a:pPr>
                <a:r>
                  <a:rPr lang="en-US"/>
                  <a:t>Year</a:t>
                </a:r>
              </a:p>
            </c:rich>
          </c:tx>
        </c:title>
        <c:numFmt formatCode="General" sourceLinked="1"/>
        <c:tickLblPos val="nextTo"/>
        <c:crossAx val="766451016"/>
        <c:crosses val="autoZero"/>
        <c:auto val="1"/>
        <c:lblAlgn val="ctr"/>
        <c:lblOffset val="100"/>
        <c:tickLblSkip val="10"/>
        <c:tickMarkSkip val="1"/>
      </c:catAx>
      <c:valAx>
        <c:axId val="766451016"/>
        <c:scaling>
          <c:orientation val="minMax"/>
        </c:scaling>
        <c:axPos val="l"/>
        <c:majorGridlines/>
        <c:numFmt formatCode="General" sourceLinked="1"/>
        <c:tickLblPos val="nextTo"/>
        <c:crossAx val="765775800"/>
        <c:crosses val="autoZero"/>
        <c:crossBetween val="between"/>
      </c:valAx>
    </c:plotArea>
    <c:legend>
      <c:legendPos val="t"/>
      <c:layout>
        <c:manualLayout>
          <c:xMode val="edge"/>
          <c:yMode val="edge"/>
          <c:x val="0.0160325957417745"/>
          <c:y val="0.0130564788664098"/>
          <c:w val="0.972375369925374"/>
          <c:h val="0.108976002808225"/>
        </c:manualLayout>
      </c:layout>
    </c:legend>
    <c:plotVisOnly val="1"/>
  </c:chart>
  <c:txPr>
    <a:bodyPr/>
    <a:lstStyle/>
    <a:p>
      <a:pPr>
        <a:defRPr b="0">
          <a:latin typeface="Times New Roman"/>
          <a:cs typeface="Times New Roman"/>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18"/>
  <c:chart>
    <c:title>
      <c:txPr>
        <a:bodyPr/>
        <a:lstStyle/>
        <a:p>
          <a:pPr>
            <a:defRPr sz="1200" b="1">
              <a:latin typeface="Times New Roman"/>
              <a:cs typeface="Times New Roman"/>
            </a:defRPr>
          </a:pPr>
          <a:endParaRPr lang="en-US"/>
        </a:p>
      </c:txPr>
    </c:title>
    <c:plotArea>
      <c:layout/>
      <c:pieChart>
        <c:varyColors val="1"/>
        <c:ser>
          <c:idx val="0"/>
          <c:order val="0"/>
          <c:tx>
            <c:strRef>
              <c:f>'Figure 2.1'!$J$17</c:f>
              <c:strCache>
                <c:ptCount val="1"/>
                <c:pt idx="0">
                  <c:v>1975</c:v>
                </c:pt>
              </c:strCache>
            </c:strRef>
          </c:tx>
          <c:explosion val="7"/>
          <c:dLbls>
            <c:dLbl>
              <c:idx val="0"/>
              <c:dLblPos val="outEnd"/>
              <c:showPercent val="1"/>
            </c:dLbl>
            <c:dLbl>
              <c:idx val="1"/>
              <c:dLblPos val="outEnd"/>
              <c:showPercent val="1"/>
            </c:dLbl>
            <c:dLbl>
              <c:idx val="2"/>
              <c:dLblPos val="outEnd"/>
              <c:showPercent val="1"/>
            </c:dLbl>
            <c:dLbl>
              <c:idx val="3"/>
              <c:dLblPos val="outEnd"/>
              <c:showPercent val="1"/>
            </c:dLbl>
            <c:txPr>
              <a:bodyPr/>
              <a:lstStyle/>
              <a:p>
                <a:pPr>
                  <a:defRPr sz="1200" b="1"/>
                </a:pPr>
                <a:endParaRPr lang="en-US"/>
              </a:p>
            </c:txPr>
            <c:showPercent val="1"/>
            <c:showLeaderLines val="1"/>
          </c:dLbls>
          <c:cat>
            <c:strRef>
              <c:f>'Figure 2.1'!$H$18:$H$24</c:f>
              <c:strCache>
                <c:ptCount val="7"/>
                <c:pt idx="0">
                  <c:v>East Asia and Pacific</c:v>
                </c:pt>
                <c:pt idx="1">
                  <c:v>Europe and Central Asia</c:v>
                </c:pt>
                <c:pt idx="2">
                  <c:v>Latin America and the Caribbean</c:v>
                </c:pt>
                <c:pt idx="3">
                  <c:v>Middle East and North Africa</c:v>
                </c:pt>
                <c:pt idx="4">
                  <c:v>South Asia</c:v>
                </c:pt>
                <c:pt idx="5">
                  <c:v>Sub-Saharan Africa</c:v>
                </c:pt>
                <c:pt idx="6">
                  <c:v>High-income countries</c:v>
                </c:pt>
              </c:strCache>
            </c:strRef>
          </c:cat>
          <c:val>
            <c:numRef>
              <c:f>'Figure 2.1'!$J$18:$J$24</c:f>
              <c:numCache>
                <c:formatCode>0.00%</c:formatCode>
                <c:ptCount val="7"/>
                <c:pt idx="0">
                  <c:v>0.0532</c:v>
                </c:pt>
                <c:pt idx="1">
                  <c:v>0.0875</c:v>
                </c:pt>
                <c:pt idx="2">
                  <c:v>0.1151</c:v>
                </c:pt>
                <c:pt idx="3">
                  <c:v>0.0127</c:v>
                </c:pt>
                <c:pt idx="4">
                  <c:v>0.0635</c:v>
                </c:pt>
                <c:pt idx="5">
                  <c:v>0.0579</c:v>
                </c:pt>
                <c:pt idx="6">
                  <c:v>0.6101</c:v>
                </c:pt>
              </c:numCache>
            </c:numRef>
          </c:val>
        </c:ser>
        <c:dLbls>
          <c:showPercent val="1"/>
        </c:dLbls>
        <c:firstSliceAng val="0"/>
      </c:pieChart>
    </c:plotArea>
    <c:plotVisOnly val="1"/>
  </c:chart>
  <c:spPr>
    <a:ln>
      <a:noFill/>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en-US"/>
  <c:style val="18"/>
  <c:chart>
    <c:plotArea>
      <c:layout>
        <c:manualLayout>
          <c:layoutTarget val="inner"/>
          <c:xMode val="edge"/>
          <c:yMode val="edge"/>
          <c:x val="0.0795004009915427"/>
          <c:y val="0.179509069788941"/>
          <c:w val="0.895036636045494"/>
          <c:h val="0.61783088752497"/>
        </c:manualLayout>
      </c:layout>
      <c:barChart>
        <c:barDir val="col"/>
        <c:grouping val="stacked"/>
        <c:ser>
          <c:idx val="0"/>
          <c:order val="0"/>
          <c:tx>
            <c:strRef>
              <c:f>'formatted data'!$D$2</c:f>
              <c:strCache>
                <c:ptCount val="1"/>
                <c:pt idx="0">
                  <c:v>Roads (paved, unpaved)</c:v>
                </c:pt>
              </c:strCache>
            </c:strRef>
          </c:tx>
          <c:cat>
            <c:multiLvlStrRef>
              <c:f>'formatted data'!$A$3:$B$14</c:f>
              <c:multiLvlStrCache>
                <c:ptCount val="12"/>
                <c:lvl>
                  <c:pt idx="0">
                    <c:v>2010</c:v>
                  </c:pt>
                  <c:pt idx="1">
                    <c:v>2030</c:v>
                  </c:pt>
                  <c:pt idx="2">
                    <c:v>2060</c:v>
                  </c:pt>
                  <c:pt idx="3">
                    <c:v>2010</c:v>
                  </c:pt>
                  <c:pt idx="4">
                    <c:v>2030</c:v>
                  </c:pt>
                  <c:pt idx="5">
                    <c:v>2060</c:v>
                  </c:pt>
                  <c:pt idx="6">
                    <c:v>2010</c:v>
                  </c:pt>
                  <c:pt idx="7">
                    <c:v>2030</c:v>
                  </c:pt>
                  <c:pt idx="8">
                    <c:v>2060</c:v>
                  </c:pt>
                  <c:pt idx="9">
                    <c:v>2010</c:v>
                  </c:pt>
                  <c:pt idx="10">
                    <c:v>2030</c:v>
                  </c:pt>
                  <c:pt idx="11">
                    <c:v>2060</c:v>
                  </c:pt>
                </c:lvl>
                <c:lvl>
                  <c:pt idx="0">
                    <c:v>High-income</c:v>
                  </c:pt>
                  <c:pt idx="3">
                    <c:v>Upper-middle-income</c:v>
                  </c:pt>
                  <c:pt idx="6">
                    <c:v>Lower-middle-income</c:v>
                  </c:pt>
                  <c:pt idx="9">
                    <c:v>Low-income</c:v>
                  </c:pt>
                </c:lvl>
              </c:multiLvlStrCache>
            </c:multiLvlStrRef>
          </c:cat>
          <c:val>
            <c:numRef>
              <c:f>'formatted data'!$D$3:$D$14</c:f>
              <c:numCache>
                <c:formatCode>General</c:formatCode>
                <c:ptCount val="12"/>
                <c:pt idx="0">
                  <c:v>0.33</c:v>
                </c:pt>
                <c:pt idx="1">
                  <c:v>0.239</c:v>
                </c:pt>
                <c:pt idx="2">
                  <c:v>0.172</c:v>
                </c:pt>
                <c:pt idx="3">
                  <c:v>0.875</c:v>
                </c:pt>
                <c:pt idx="4">
                  <c:v>0.723</c:v>
                </c:pt>
                <c:pt idx="5">
                  <c:v>0.218</c:v>
                </c:pt>
                <c:pt idx="6">
                  <c:v>1.397</c:v>
                </c:pt>
                <c:pt idx="7">
                  <c:v>0.992</c:v>
                </c:pt>
                <c:pt idx="8">
                  <c:v>0.28</c:v>
                </c:pt>
                <c:pt idx="9">
                  <c:v>1.92</c:v>
                </c:pt>
                <c:pt idx="10">
                  <c:v>1.72</c:v>
                </c:pt>
                <c:pt idx="11">
                  <c:v>0.661</c:v>
                </c:pt>
              </c:numCache>
            </c:numRef>
          </c:val>
        </c:ser>
        <c:ser>
          <c:idx val="1"/>
          <c:order val="1"/>
          <c:tx>
            <c:strRef>
              <c:f>'formatted data'!$C$2</c:f>
              <c:strCache>
                <c:ptCount val="1"/>
                <c:pt idx="0">
                  <c:v>Electricty generation, access (rural, urban)</c:v>
                </c:pt>
              </c:strCache>
            </c:strRef>
          </c:tx>
          <c:cat>
            <c:multiLvlStrRef>
              <c:f>'formatted data'!$A$3:$B$14</c:f>
              <c:multiLvlStrCache>
                <c:ptCount val="12"/>
                <c:lvl>
                  <c:pt idx="0">
                    <c:v>2010</c:v>
                  </c:pt>
                  <c:pt idx="1">
                    <c:v>2030</c:v>
                  </c:pt>
                  <c:pt idx="2">
                    <c:v>2060</c:v>
                  </c:pt>
                  <c:pt idx="3">
                    <c:v>2010</c:v>
                  </c:pt>
                  <c:pt idx="4">
                    <c:v>2030</c:v>
                  </c:pt>
                  <c:pt idx="5">
                    <c:v>2060</c:v>
                  </c:pt>
                  <c:pt idx="6">
                    <c:v>2010</c:v>
                  </c:pt>
                  <c:pt idx="7">
                    <c:v>2030</c:v>
                  </c:pt>
                  <c:pt idx="8">
                    <c:v>2060</c:v>
                  </c:pt>
                  <c:pt idx="9">
                    <c:v>2010</c:v>
                  </c:pt>
                  <c:pt idx="10">
                    <c:v>2030</c:v>
                  </c:pt>
                  <c:pt idx="11">
                    <c:v>2060</c:v>
                  </c:pt>
                </c:lvl>
                <c:lvl>
                  <c:pt idx="0">
                    <c:v>High-income</c:v>
                  </c:pt>
                  <c:pt idx="3">
                    <c:v>Upper-middle-income</c:v>
                  </c:pt>
                  <c:pt idx="6">
                    <c:v>Lower-middle-income</c:v>
                  </c:pt>
                  <c:pt idx="9">
                    <c:v>Low-income</c:v>
                  </c:pt>
                </c:lvl>
              </c:multiLvlStrCache>
            </c:multiLvlStrRef>
          </c:cat>
          <c:val>
            <c:numRef>
              <c:f>'formatted data'!$C$3:$C$14</c:f>
              <c:numCache>
                <c:formatCode>General</c:formatCode>
                <c:ptCount val="12"/>
                <c:pt idx="0">
                  <c:v>0.551</c:v>
                </c:pt>
                <c:pt idx="1">
                  <c:v>0.33</c:v>
                </c:pt>
                <c:pt idx="2">
                  <c:v>0.213</c:v>
                </c:pt>
                <c:pt idx="3">
                  <c:v>3.335999999999998</c:v>
                </c:pt>
                <c:pt idx="4">
                  <c:v>1.143</c:v>
                </c:pt>
                <c:pt idx="5">
                  <c:v>0.341</c:v>
                </c:pt>
                <c:pt idx="6">
                  <c:v>2.306</c:v>
                </c:pt>
                <c:pt idx="7">
                  <c:v>1.685</c:v>
                </c:pt>
                <c:pt idx="8">
                  <c:v>0.541</c:v>
                </c:pt>
                <c:pt idx="9">
                  <c:v>1.389</c:v>
                </c:pt>
                <c:pt idx="10">
                  <c:v>2.238</c:v>
                </c:pt>
                <c:pt idx="11">
                  <c:v>1.194</c:v>
                </c:pt>
              </c:numCache>
            </c:numRef>
          </c:val>
        </c:ser>
        <c:ser>
          <c:idx val="3"/>
          <c:order val="2"/>
          <c:tx>
            <c:strRef>
              <c:f>'formatted data'!$F$2</c:f>
              <c:strCache>
                <c:ptCount val="1"/>
                <c:pt idx="0">
                  <c:v>Water, sanitation, irrigation, wastewater</c:v>
                </c:pt>
              </c:strCache>
            </c:strRef>
          </c:tx>
          <c:cat>
            <c:multiLvlStrRef>
              <c:f>'formatted data'!$A$3:$B$14</c:f>
              <c:multiLvlStrCache>
                <c:ptCount val="12"/>
                <c:lvl>
                  <c:pt idx="0">
                    <c:v>2010</c:v>
                  </c:pt>
                  <c:pt idx="1">
                    <c:v>2030</c:v>
                  </c:pt>
                  <c:pt idx="2">
                    <c:v>2060</c:v>
                  </c:pt>
                  <c:pt idx="3">
                    <c:v>2010</c:v>
                  </c:pt>
                  <c:pt idx="4">
                    <c:v>2030</c:v>
                  </c:pt>
                  <c:pt idx="5">
                    <c:v>2060</c:v>
                  </c:pt>
                  <c:pt idx="6">
                    <c:v>2010</c:v>
                  </c:pt>
                  <c:pt idx="7">
                    <c:v>2030</c:v>
                  </c:pt>
                  <c:pt idx="8">
                    <c:v>2060</c:v>
                  </c:pt>
                  <c:pt idx="9">
                    <c:v>2010</c:v>
                  </c:pt>
                  <c:pt idx="10">
                    <c:v>2030</c:v>
                  </c:pt>
                  <c:pt idx="11">
                    <c:v>2060</c:v>
                  </c:pt>
                </c:lvl>
                <c:lvl>
                  <c:pt idx="0">
                    <c:v>High-income</c:v>
                  </c:pt>
                  <c:pt idx="3">
                    <c:v>Upper-middle-income</c:v>
                  </c:pt>
                  <c:pt idx="6">
                    <c:v>Lower-middle-income</c:v>
                  </c:pt>
                  <c:pt idx="9">
                    <c:v>Low-income</c:v>
                  </c:pt>
                </c:lvl>
              </c:multiLvlStrCache>
            </c:multiLvlStrRef>
          </c:cat>
          <c:val>
            <c:numRef>
              <c:f>'formatted data'!$F$3:$F$14</c:f>
              <c:numCache>
                <c:formatCode>General</c:formatCode>
                <c:ptCount val="12"/>
                <c:pt idx="0">
                  <c:v>0.0563</c:v>
                </c:pt>
                <c:pt idx="1">
                  <c:v>0.0463</c:v>
                </c:pt>
                <c:pt idx="2">
                  <c:v>0.0311</c:v>
                </c:pt>
                <c:pt idx="3">
                  <c:v>0.584</c:v>
                </c:pt>
                <c:pt idx="4">
                  <c:v>0.21</c:v>
                </c:pt>
                <c:pt idx="5">
                  <c:v>0.064</c:v>
                </c:pt>
                <c:pt idx="6">
                  <c:v>1.217</c:v>
                </c:pt>
                <c:pt idx="7">
                  <c:v>0.506</c:v>
                </c:pt>
                <c:pt idx="8">
                  <c:v>0.147</c:v>
                </c:pt>
                <c:pt idx="9">
                  <c:v>1.695</c:v>
                </c:pt>
                <c:pt idx="10">
                  <c:v>0.983</c:v>
                </c:pt>
                <c:pt idx="11">
                  <c:v>0.35</c:v>
                </c:pt>
              </c:numCache>
            </c:numRef>
          </c:val>
        </c:ser>
        <c:ser>
          <c:idx val="5"/>
          <c:order val="3"/>
          <c:tx>
            <c:strRef>
              <c:f>'formatted data'!$H$2</c:f>
              <c:strCache>
                <c:ptCount val="1"/>
                <c:pt idx="0">
                  <c:v>Fixed line telephones</c:v>
                </c:pt>
              </c:strCache>
            </c:strRef>
          </c:tx>
          <c:cat>
            <c:multiLvlStrRef>
              <c:f>'formatted data'!$A$3:$B$14</c:f>
              <c:multiLvlStrCache>
                <c:ptCount val="12"/>
                <c:lvl>
                  <c:pt idx="0">
                    <c:v>2010</c:v>
                  </c:pt>
                  <c:pt idx="1">
                    <c:v>2030</c:v>
                  </c:pt>
                  <c:pt idx="2">
                    <c:v>2060</c:v>
                  </c:pt>
                  <c:pt idx="3">
                    <c:v>2010</c:v>
                  </c:pt>
                  <c:pt idx="4">
                    <c:v>2030</c:v>
                  </c:pt>
                  <c:pt idx="5">
                    <c:v>2060</c:v>
                  </c:pt>
                  <c:pt idx="6">
                    <c:v>2010</c:v>
                  </c:pt>
                  <c:pt idx="7">
                    <c:v>2030</c:v>
                  </c:pt>
                  <c:pt idx="8">
                    <c:v>2060</c:v>
                  </c:pt>
                  <c:pt idx="9">
                    <c:v>2010</c:v>
                  </c:pt>
                  <c:pt idx="10">
                    <c:v>2030</c:v>
                  </c:pt>
                  <c:pt idx="11">
                    <c:v>2060</c:v>
                  </c:pt>
                </c:lvl>
                <c:lvl>
                  <c:pt idx="0">
                    <c:v>High-income</c:v>
                  </c:pt>
                  <c:pt idx="3">
                    <c:v>Upper-middle-income</c:v>
                  </c:pt>
                  <c:pt idx="6">
                    <c:v>Lower-middle-income</c:v>
                  </c:pt>
                  <c:pt idx="9">
                    <c:v>Low-income</c:v>
                  </c:pt>
                </c:lvl>
              </c:multiLvlStrCache>
            </c:multiLvlStrRef>
          </c:cat>
          <c:val>
            <c:numRef>
              <c:f>'formatted data'!$H$3:$H$14</c:f>
              <c:numCache>
                <c:formatCode>General</c:formatCode>
                <c:ptCount val="12"/>
                <c:pt idx="0">
                  <c:v>0.021</c:v>
                </c:pt>
                <c:pt idx="1">
                  <c:v>0.003</c:v>
                </c:pt>
                <c:pt idx="2">
                  <c:v>0.001</c:v>
                </c:pt>
                <c:pt idx="3">
                  <c:v>0.147</c:v>
                </c:pt>
                <c:pt idx="4">
                  <c:v>0.012</c:v>
                </c:pt>
                <c:pt idx="5">
                  <c:v>0.002</c:v>
                </c:pt>
                <c:pt idx="6">
                  <c:v>0.141</c:v>
                </c:pt>
                <c:pt idx="7">
                  <c:v>0.018</c:v>
                </c:pt>
                <c:pt idx="8">
                  <c:v>0.004</c:v>
                </c:pt>
                <c:pt idx="9">
                  <c:v>0.044</c:v>
                </c:pt>
                <c:pt idx="10">
                  <c:v>0.035</c:v>
                </c:pt>
                <c:pt idx="11">
                  <c:v>0.011</c:v>
                </c:pt>
              </c:numCache>
            </c:numRef>
          </c:val>
        </c:ser>
        <c:ser>
          <c:idx val="2"/>
          <c:order val="4"/>
          <c:tx>
            <c:strRef>
              <c:f>'formatted data'!$E$2</c:f>
              <c:strCache>
                <c:ptCount val="1"/>
                <c:pt idx="0">
                  <c:v>Mobile phones</c:v>
                </c:pt>
              </c:strCache>
            </c:strRef>
          </c:tx>
          <c:cat>
            <c:multiLvlStrRef>
              <c:f>'formatted data'!$A$3:$B$14</c:f>
              <c:multiLvlStrCache>
                <c:ptCount val="12"/>
                <c:lvl>
                  <c:pt idx="0">
                    <c:v>2010</c:v>
                  </c:pt>
                  <c:pt idx="1">
                    <c:v>2030</c:v>
                  </c:pt>
                  <c:pt idx="2">
                    <c:v>2060</c:v>
                  </c:pt>
                  <c:pt idx="3">
                    <c:v>2010</c:v>
                  </c:pt>
                  <c:pt idx="4">
                    <c:v>2030</c:v>
                  </c:pt>
                  <c:pt idx="5">
                    <c:v>2060</c:v>
                  </c:pt>
                  <c:pt idx="6">
                    <c:v>2010</c:v>
                  </c:pt>
                  <c:pt idx="7">
                    <c:v>2030</c:v>
                  </c:pt>
                  <c:pt idx="8">
                    <c:v>2060</c:v>
                  </c:pt>
                  <c:pt idx="9">
                    <c:v>2010</c:v>
                  </c:pt>
                  <c:pt idx="10">
                    <c:v>2030</c:v>
                  </c:pt>
                  <c:pt idx="11">
                    <c:v>2060</c:v>
                  </c:pt>
                </c:lvl>
                <c:lvl>
                  <c:pt idx="0">
                    <c:v>High-income</c:v>
                  </c:pt>
                  <c:pt idx="3">
                    <c:v>Upper-middle-income</c:v>
                  </c:pt>
                  <c:pt idx="6">
                    <c:v>Lower-middle-income</c:v>
                  </c:pt>
                  <c:pt idx="9">
                    <c:v>Low-income</c:v>
                  </c:pt>
                </c:lvl>
              </c:multiLvlStrCache>
            </c:multiLvlStrRef>
          </c:cat>
          <c:val>
            <c:numRef>
              <c:f>'formatted data'!$E$3:$E$14</c:f>
              <c:numCache>
                <c:formatCode>General</c:formatCode>
                <c:ptCount val="12"/>
                <c:pt idx="0">
                  <c:v>0.048</c:v>
                </c:pt>
                <c:pt idx="1">
                  <c:v>0.032</c:v>
                </c:pt>
                <c:pt idx="2">
                  <c:v>0.021</c:v>
                </c:pt>
                <c:pt idx="3">
                  <c:v>0.571</c:v>
                </c:pt>
                <c:pt idx="4">
                  <c:v>0.127</c:v>
                </c:pt>
                <c:pt idx="5">
                  <c:v>0.046</c:v>
                </c:pt>
                <c:pt idx="6">
                  <c:v>2.445</c:v>
                </c:pt>
                <c:pt idx="7">
                  <c:v>0.409</c:v>
                </c:pt>
                <c:pt idx="8">
                  <c:v>0.111</c:v>
                </c:pt>
                <c:pt idx="9">
                  <c:v>2.925</c:v>
                </c:pt>
                <c:pt idx="10">
                  <c:v>1.361</c:v>
                </c:pt>
                <c:pt idx="11">
                  <c:v>0.317</c:v>
                </c:pt>
              </c:numCache>
            </c:numRef>
          </c:val>
        </c:ser>
        <c:ser>
          <c:idx val="4"/>
          <c:order val="5"/>
          <c:tx>
            <c:strRef>
              <c:f>'formatted data'!$G$2</c:f>
              <c:strCache>
                <c:ptCount val="1"/>
                <c:pt idx="0">
                  <c:v>Broadband (fixed, mobile)</c:v>
                </c:pt>
              </c:strCache>
            </c:strRef>
          </c:tx>
          <c:cat>
            <c:multiLvlStrRef>
              <c:f>'formatted data'!$A$3:$B$14</c:f>
              <c:multiLvlStrCache>
                <c:ptCount val="12"/>
                <c:lvl>
                  <c:pt idx="0">
                    <c:v>2010</c:v>
                  </c:pt>
                  <c:pt idx="1">
                    <c:v>2030</c:v>
                  </c:pt>
                  <c:pt idx="2">
                    <c:v>2060</c:v>
                  </c:pt>
                  <c:pt idx="3">
                    <c:v>2010</c:v>
                  </c:pt>
                  <c:pt idx="4">
                    <c:v>2030</c:v>
                  </c:pt>
                  <c:pt idx="5">
                    <c:v>2060</c:v>
                  </c:pt>
                  <c:pt idx="6">
                    <c:v>2010</c:v>
                  </c:pt>
                  <c:pt idx="7">
                    <c:v>2030</c:v>
                  </c:pt>
                  <c:pt idx="8">
                    <c:v>2060</c:v>
                  </c:pt>
                  <c:pt idx="9">
                    <c:v>2010</c:v>
                  </c:pt>
                  <c:pt idx="10">
                    <c:v>2030</c:v>
                  </c:pt>
                  <c:pt idx="11">
                    <c:v>2060</c:v>
                  </c:pt>
                </c:lvl>
                <c:lvl>
                  <c:pt idx="0">
                    <c:v>High-income</c:v>
                  </c:pt>
                  <c:pt idx="3">
                    <c:v>Upper-middle-income</c:v>
                  </c:pt>
                  <c:pt idx="6">
                    <c:v>Lower-middle-income</c:v>
                  </c:pt>
                  <c:pt idx="9">
                    <c:v>Low-income</c:v>
                  </c:pt>
                </c:lvl>
              </c:multiLvlStrCache>
            </c:multiLvlStrRef>
          </c:cat>
          <c:val>
            <c:numRef>
              <c:f>'formatted data'!$G$3:$G$14</c:f>
              <c:numCache>
                <c:formatCode>General</c:formatCode>
                <c:ptCount val="12"/>
                <c:pt idx="0">
                  <c:v>0.094</c:v>
                </c:pt>
                <c:pt idx="1">
                  <c:v>0.066</c:v>
                </c:pt>
                <c:pt idx="2">
                  <c:v>0.05</c:v>
                </c:pt>
                <c:pt idx="3">
                  <c:v>0.218</c:v>
                </c:pt>
                <c:pt idx="4">
                  <c:v>0.264</c:v>
                </c:pt>
                <c:pt idx="5">
                  <c:v>0.105</c:v>
                </c:pt>
                <c:pt idx="6">
                  <c:v>0.165</c:v>
                </c:pt>
                <c:pt idx="7">
                  <c:v>0.724</c:v>
                </c:pt>
                <c:pt idx="8">
                  <c:v>0.23</c:v>
                </c:pt>
                <c:pt idx="9">
                  <c:v>0.095</c:v>
                </c:pt>
                <c:pt idx="10">
                  <c:v>2.158</c:v>
                </c:pt>
                <c:pt idx="11">
                  <c:v>0.618</c:v>
                </c:pt>
              </c:numCache>
            </c:numRef>
          </c:val>
        </c:ser>
        <c:overlap val="100"/>
        <c:axId val="766460856"/>
        <c:axId val="766464056"/>
      </c:barChart>
      <c:catAx>
        <c:axId val="766460856"/>
        <c:scaling>
          <c:orientation val="minMax"/>
        </c:scaling>
        <c:axPos val="b"/>
        <c:tickLblPos val="nextTo"/>
        <c:crossAx val="766464056"/>
        <c:crosses val="autoZero"/>
        <c:auto val="1"/>
        <c:lblAlgn val="ctr"/>
        <c:lblOffset val="100"/>
      </c:catAx>
      <c:valAx>
        <c:axId val="766464056"/>
        <c:scaling>
          <c:orientation val="minMax"/>
        </c:scaling>
        <c:axPos val="l"/>
        <c:majorGridlines/>
        <c:title>
          <c:tx>
            <c:rich>
              <a:bodyPr/>
              <a:lstStyle/>
              <a:p>
                <a:pPr>
                  <a:defRPr b="0"/>
                </a:pPr>
                <a:r>
                  <a:rPr lang="en-US" b="0"/>
                  <a:t>Percent of GDP</a:t>
                </a:r>
              </a:p>
            </c:rich>
          </c:tx>
        </c:title>
        <c:numFmt formatCode="General" sourceLinked="1"/>
        <c:tickLblPos val="nextTo"/>
        <c:crossAx val="766460856"/>
        <c:crosses val="autoZero"/>
        <c:crossBetween val="between"/>
      </c:valAx>
    </c:plotArea>
    <c:legend>
      <c:legendPos val="t"/>
      <c:layout>
        <c:manualLayout>
          <c:xMode val="edge"/>
          <c:yMode val="edge"/>
          <c:x val="0.014643664333625"/>
          <c:y val="0.0204185809086268"/>
          <c:w val="0.959138597258676"/>
          <c:h val="0.128462617517374"/>
        </c:manualLayout>
      </c:layout>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en-US"/>
  <c:style val="18"/>
  <c:chart>
    <c:plotArea>
      <c:layout>
        <c:manualLayout>
          <c:layoutTarget val="inner"/>
          <c:xMode val="edge"/>
          <c:yMode val="edge"/>
          <c:x val="0.0821316345873432"/>
          <c:y val="0.114568067965471"/>
          <c:w val="0.892405402449694"/>
          <c:h val="0.641934727531187"/>
        </c:manualLayout>
      </c:layout>
      <c:barChart>
        <c:barDir val="col"/>
        <c:grouping val="stacked"/>
        <c:ser>
          <c:idx val="0"/>
          <c:order val="0"/>
          <c:tx>
            <c:strRef>
              <c:f>Sheet2!$C$21</c:f>
              <c:strCache>
                <c:ptCount val="1"/>
                <c:pt idx="0">
                  <c:v>Low-income economies</c:v>
                </c:pt>
              </c:strCache>
            </c:strRef>
          </c:tx>
          <c:spPr>
            <a:solidFill>
              <a:schemeClr val="accent1"/>
            </a:solidFill>
          </c:spPr>
          <c:cat>
            <c:multiLvlStrRef>
              <c:f>Sheet2!$A$22:$B$37</c:f>
              <c:multiLvlStrCache>
                <c:ptCount val="16"/>
                <c:lvl>
                  <c:pt idx="0">
                    <c:v>Total</c:v>
                  </c:pt>
                  <c:pt idx="1">
                    <c:v>2010</c:v>
                  </c:pt>
                  <c:pt idx="2">
                    <c:v>2030</c:v>
                  </c:pt>
                  <c:pt idx="3">
                    <c:v>2060</c:v>
                  </c:pt>
                  <c:pt idx="4">
                    <c:v>2010</c:v>
                  </c:pt>
                  <c:pt idx="5">
                    <c:v>2030</c:v>
                  </c:pt>
                  <c:pt idx="6">
                    <c:v>2060</c:v>
                  </c:pt>
                  <c:pt idx="7">
                    <c:v>2010</c:v>
                  </c:pt>
                  <c:pt idx="8">
                    <c:v>2030</c:v>
                  </c:pt>
                  <c:pt idx="9">
                    <c:v>2060</c:v>
                  </c:pt>
                  <c:pt idx="10">
                    <c:v>2010</c:v>
                  </c:pt>
                  <c:pt idx="11">
                    <c:v>2030</c:v>
                  </c:pt>
                  <c:pt idx="12">
                    <c:v>2060</c:v>
                  </c:pt>
                  <c:pt idx="13">
                    <c:v>2010</c:v>
                  </c:pt>
                  <c:pt idx="14">
                    <c:v>2030</c:v>
                  </c:pt>
                  <c:pt idx="15">
                    <c:v>2060</c:v>
                  </c:pt>
                </c:lvl>
                <c:lvl>
                  <c:pt idx="1">
                    <c:v>All-season road</c:v>
                  </c:pt>
                  <c:pt idx="4">
                    <c:v>Electricity total</c:v>
                  </c:pt>
                  <c:pt idx="7">
                    <c:v>Water</c:v>
                  </c:pt>
                  <c:pt idx="10">
                    <c:v>Sanitation</c:v>
                  </c:pt>
                  <c:pt idx="13">
                    <c:v>Mobile communications</c:v>
                  </c:pt>
                </c:lvl>
              </c:multiLvlStrCache>
            </c:multiLvlStrRef>
          </c:cat>
          <c:val>
            <c:numRef>
              <c:f>Sheet2!$C$22:$C$37</c:f>
              <c:numCache>
                <c:formatCode>General</c:formatCode>
                <c:ptCount val="16"/>
                <c:pt idx="0">
                  <c:v>35.0</c:v>
                </c:pt>
                <c:pt idx="1">
                  <c:v>0.0</c:v>
                </c:pt>
                <c:pt idx="2">
                  <c:v>0.0</c:v>
                </c:pt>
                <c:pt idx="3">
                  <c:v>1.0</c:v>
                </c:pt>
                <c:pt idx="4">
                  <c:v>0.0</c:v>
                </c:pt>
                <c:pt idx="5">
                  <c:v>0.0</c:v>
                </c:pt>
                <c:pt idx="6">
                  <c:v>1.0</c:v>
                </c:pt>
                <c:pt idx="7">
                  <c:v>0.0</c:v>
                </c:pt>
                <c:pt idx="8">
                  <c:v>1.0</c:v>
                </c:pt>
                <c:pt idx="9">
                  <c:v>7.0</c:v>
                </c:pt>
                <c:pt idx="10">
                  <c:v>0.0</c:v>
                </c:pt>
                <c:pt idx="11">
                  <c:v>0.0</c:v>
                </c:pt>
                <c:pt idx="12">
                  <c:v>0.0</c:v>
                </c:pt>
                <c:pt idx="13">
                  <c:v>0.0</c:v>
                </c:pt>
                <c:pt idx="14">
                  <c:v>27.0</c:v>
                </c:pt>
                <c:pt idx="15">
                  <c:v>35.0</c:v>
                </c:pt>
              </c:numCache>
            </c:numRef>
          </c:val>
        </c:ser>
        <c:ser>
          <c:idx val="1"/>
          <c:order val="1"/>
          <c:tx>
            <c:strRef>
              <c:f>Sheet2!$D$21</c:f>
              <c:strCache>
                <c:ptCount val="1"/>
                <c:pt idx="0">
                  <c:v>Lower-middle-income economies</c:v>
                </c:pt>
              </c:strCache>
            </c:strRef>
          </c:tx>
          <c:spPr>
            <a:solidFill>
              <a:schemeClr val="accent2"/>
            </a:solidFill>
          </c:spPr>
          <c:cat>
            <c:multiLvlStrRef>
              <c:f>Sheet2!$A$22:$B$37</c:f>
              <c:multiLvlStrCache>
                <c:ptCount val="16"/>
                <c:lvl>
                  <c:pt idx="0">
                    <c:v>Total</c:v>
                  </c:pt>
                  <c:pt idx="1">
                    <c:v>2010</c:v>
                  </c:pt>
                  <c:pt idx="2">
                    <c:v>2030</c:v>
                  </c:pt>
                  <c:pt idx="3">
                    <c:v>2060</c:v>
                  </c:pt>
                  <c:pt idx="4">
                    <c:v>2010</c:v>
                  </c:pt>
                  <c:pt idx="5">
                    <c:v>2030</c:v>
                  </c:pt>
                  <c:pt idx="6">
                    <c:v>2060</c:v>
                  </c:pt>
                  <c:pt idx="7">
                    <c:v>2010</c:v>
                  </c:pt>
                  <c:pt idx="8">
                    <c:v>2030</c:v>
                  </c:pt>
                  <c:pt idx="9">
                    <c:v>2060</c:v>
                  </c:pt>
                  <c:pt idx="10">
                    <c:v>2010</c:v>
                  </c:pt>
                  <c:pt idx="11">
                    <c:v>2030</c:v>
                  </c:pt>
                  <c:pt idx="12">
                    <c:v>2060</c:v>
                  </c:pt>
                  <c:pt idx="13">
                    <c:v>2010</c:v>
                  </c:pt>
                  <c:pt idx="14">
                    <c:v>2030</c:v>
                  </c:pt>
                  <c:pt idx="15">
                    <c:v>2060</c:v>
                  </c:pt>
                </c:lvl>
                <c:lvl>
                  <c:pt idx="1">
                    <c:v>All-season road</c:v>
                  </c:pt>
                  <c:pt idx="4">
                    <c:v>Electricity total</c:v>
                  </c:pt>
                  <c:pt idx="7">
                    <c:v>Water</c:v>
                  </c:pt>
                  <c:pt idx="10">
                    <c:v>Sanitation</c:v>
                  </c:pt>
                  <c:pt idx="13">
                    <c:v>Mobile communications</c:v>
                  </c:pt>
                </c:lvl>
              </c:multiLvlStrCache>
            </c:multiLvlStrRef>
          </c:cat>
          <c:val>
            <c:numRef>
              <c:f>Sheet2!$D$22:$D$37</c:f>
              <c:numCache>
                <c:formatCode>General</c:formatCode>
                <c:ptCount val="16"/>
                <c:pt idx="0">
                  <c:v>52.0</c:v>
                </c:pt>
                <c:pt idx="1">
                  <c:v>0.0</c:v>
                </c:pt>
                <c:pt idx="2">
                  <c:v>4.0</c:v>
                </c:pt>
                <c:pt idx="3">
                  <c:v>11.0</c:v>
                </c:pt>
                <c:pt idx="4">
                  <c:v>3.0</c:v>
                </c:pt>
                <c:pt idx="5">
                  <c:v>5.0</c:v>
                </c:pt>
                <c:pt idx="6">
                  <c:v>18.0</c:v>
                </c:pt>
                <c:pt idx="7">
                  <c:v>7.0</c:v>
                </c:pt>
                <c:pt idx="8">
                  <c:v>14.0</c:v>
                </c:pt>
                <c:pt idx="9">
                  <c:v>27.0</c:v>
                </c:pt>
                <c:pt idx="10">
                  <c:v>3.0</c:v>
                </c:pt>
                <c:pt idx="11">
                  <c:v>0.0</c:v>
                </c:pt>
                <c:pt idx="12">
                  <c:v>9.0</c:v>
                </c:pt>
                <c:pt idx="13">
                  <c:v>0.0</c:v>
                </c:pt>
                <c:pt idx="14">
                  <c:v>47.0</c:v>
                </c:pt>
                <c:pt idx="15">
                  <c:v>52.0</c:v>
                </c:pt>
              </c:numCache>
            </c:numRef>
          </c:val>
        </c:ser>
        <c:ser>
          <c:idx val="2"/>
          <c:order val="2"/>
          <c:tx>
            <c:strRef>
              <c:f>Sheet2!$E$21</c:f>
              <c:strCache>
                <c:ptCount val="1"/>
                <c:pt idx="0">
                  <c:v>Upper-middle-income economies</c:v>
                </c:pt>
              </c:strCache>
            </c:strRef>
          </c:tx>
          <c:spPr>
            <a:solidFill>
              <a:schemeClr val="accent3"/>
            </a:solidFill>
          </c:spPr>
          <c:cat>
            <c:multiLvlStrRef>
              <c:f>Sheet2!$A$22:$B$37</c:f>
              <c:multiLvlStrCache>
                <c:ptCount val="16"/>
                <c:lvl>
                  <c:pt idx="0">
                    <c:v>Total</c:v>
                  </c:pt>
                  <c:pt idx="1">
                    <c:v>2010</c:v>
                  </c:pt>
                  <c:pt idx="2">
                    <c:v>2030</c:v>
                  </c:pt>
                  <c:pt idx="3">
                    <c:v>2060</c:v>
                  </c:pt>
                  <c:pt idx="4">
                    <c:v>2010</c:v>
                  </c:pt>
                  <c:pt idx="5">
                    <c:v>2030</c:v>
                  </c:pt>
                  <c:pt idx="6">
                    <c:v>2060</c:v>
                  </c:pt>
                  <c:pt idx="7">
                    <c:v>2010</c:v>
                  </c:pt>
                  <c:pt idx="8">
                    <c:v>2030</c:v>
                  </c:pt>
                  <c:pt idx="9">
                    <c:v>2060</c:v>
                  </c:pt>
                  <c:pt idx="10">
                    <c:v>2010</c:v>
                  </c:pt>
                  <c:pt idx="11">
                    <c:v>2030</c:v>
                  </c:pt>
                  <c:pt idx="12">
                    <c:v>2060</c:v>
                  </c:pt>
                  <c:pt idx="13">
                    <c:v>2010</c:v>
                  </c:pt>
                  <c:pt idx="14">
                    <c:v>2030</c:v>
                  </c:pt>
                  <c:pt idx="15">
                    <c:v>2060</c:v>
                  </c:pt>
                </c:lvl>
                <c:lvl>
                  <c:pt idx="1">
                    <c:v>All-season road</c:v>
                  </c:pt>
                  <c:pt idx="4">
                    <c:v>Electricity total</c:v>
                  </c:pt>
                  <c:pt idx="7">
                    <c:v>Water</c:v>
                  </c:pt>
                  <c:pt idx="10">
                    <c:v>Sanitation</c:v>
                  </c:pt>
                  <c:pt idx="13">
                    <c:v>Mobile communications</c:v>
                  </c:pt>
                </c:lvl>
              </c:multiLvlStrCache>
            </c:multiLvlStrRef>
          </c:cat>
          <c:val>
            <c:numRef>
              <c:f>Sheet2!$E$22:$E$37</c:f>
              <c:numCache>
                <c:formatCode>General</c:formatCode>
                <c:ptCount val="16"/>
                <c:pt idx="0">
                  <c:v>47.0</c:v>
                </c:pt>
                <c:pt idx="1">
                  <c:v>2.0</c:v>
                </c:pt>
                <c:pt idx="2">
                  <c:v>11.0</c:v>
                </c:pt>
                <c:pt idx="3">
                  <c:v>25.0</c:v>
                </c:pt>
                <c:pt idx="4">
                  <c:v>22.0</c:v>
                </c:pt>
                <c:pt idx="5">
                  <c:v>26.0</c:v>
                </c:pt>
                <c:pt idx="6">
                  <c:v>33.0</c:v>
                </c:pt>
                <c:pt idx="7">
                  <c:v>15.0</c:v>
                </c:pt>
                <c:pt idx="8">
                  <c:v>25.0</c:v>
                </c:pt>
                <c:pt idx="9">
                  <c:v>38.0</c:v>
                </c:pt>
                <c:pt idx="10">
                  <c:v>5.0</c:v>
                </c:pt>
                <c:pt idx="11">
                  <c:v>0.0</c:v>
                </c:pt>
                <c:pt idx="12">
                  <c:v>12.0</c:v>
                </c:pt>
                <c:pt idx="13">
                  <c:v>0.0</c:v>
                </c:pt>
                <c:pt idx="14">
                  <c:v>45.0</c:v>
                </c:pt>
                <c:pt idx="15">
                  <c:v>47.0</c:v>
                </c:pt>
              </c:numCache>
            </c:numRef>
          </c:val>
        </c:ser>
        <c:ser>
          <c:idx val="3"/>
          <c:order val="3"/>
          <c:tx>
            <c:strRef>
              <c:f>Sheet2!$F$21</c:f>
              <c:strCache>
                <c:ptCount val="1"/>
                <c:pt idx="0">
                  <c:v>High-income economies</c:v>
                </c:pt>
              </c:strCache>
            </c:strRef>
          </c:tx>
          <c:spPr>
            <a:solidFill>
              <a:schemeClr val="tx2"/>
            </a:solidFill>
          </c:spPr>
          <c:cat>
            <c:multiLvlStrRef>
              <c:f>Sheet2!$A$22:$B$37</c:f>
              <c:multiLvlStrCache>
                <c:ptCount val="16"/>
                <c:lvl>
                  <c:pt idx="0">
                    <c:v>Total</c:v>
                  </c:pt>
                  <c:pt idx="1">
                    <c:v>2010</c:v>
                  </c:pt>
                  <c:pt idx="2">
                    <c:v>2030</c:v>
                  </c:pt>
                  <c:pt idx="3">
                    <c:v>2060</c:v>
                  </c:pt>
                  <c:pt idx="4">
                    <c:v>2010</c:v>
                  </c:pt>
                  <c:pt idx="5">
                    <c:v>2030</c:v>
                  </c:pt>
                  <c:pt idx="6">
                    <c:v>2060</c:v>
                  </c:pt>
                  <c:pt idx="7">
                    <c:v>2010</c:v>
                  </c:pt>
                  <c:pt idx="8">
                    <c:v>2030</c:v>
                  </c:pt>
                  <c:pt idx="9">
                    <c:v>2060</c:v>
                  </c:pt>
                  <c:pt idx="10">
                    <c:v>2010</c:v>
                  </c:pt>
                  <c:pt idx="11">
                    <c:v>2030</c:v>
                  </c:pt>
                  <c:pt idx="12">
                    <c:v>2060</c:v>
                  </c:pt>
                  <c:pt idx="13">
                    <c:v>2010</c:v>
                  </c:pt>
                  <c:pt idx="14">
                    <c:v>2030</c:v>
                  </c:pt>
                  <c:pt idx="15">
                    <c:v>2060</c:v>
                  </c:pt>
                </c:lvl>
                <c:lvl>
                  <c:pt idx="1">
                    <c:v>All-season road</c:v>
                  </c:pt>
                  <c:pt idx="4">
                    <c:v>Electricity total</c:v>
                  </c:pt>
                  <c:pt idx="7">
                    <c:v>Water</c:v>
                  </c:pt>
                  <c:pt idx="10">
                    <c:v>Sanitation</c:v>
                  </c:pt>
                  <c:pt idx="13">
                    <c:v>Mobile communications</c:v>
                  </c:pt>
                </c:lvl>
              </c:multiLvlStrCache>
            </c:multiLvlStrRef>
          </c:cat>
          <c:val>
            <c:numRef>
              <c:f>Sheet2!$F$22:$F$37</c:f>
              <c:numCache>
                <c:formatCode>General</c:formatCode>
                <c:ptCount val="16"/>
                <c:pt idx="0">
                  <c:v>49.0</c:v>
                </c:pt>
                <c:pt idx="1">
                  <c:v>36.0</c:v>
                </c:pt>
                <c:pt idx="2">
                  <c:v>36.0</c:v>
                </c:pt>
                <c:pt idx="3">
                  <c:v>43.0</c:v>
                </c:pt>
                <c:pt idx="4">
                  <c:v>37.0</c:v>
                </c:pt>
                <c:pt idx="5">
                  <c:v>37.0</c:v>
                </c:pt>
                <c:pt idx="6">
                  <c:v>45.0</c:v>
                </c:pt>
                <c:pt idx="7">
                  <c:v>44.0</c:v>
                </c:pt>
                <c:pt idx="8">
                  <c:v>44.0</c:v>
                </c:pt>
                <c:pt idx="9">
                  <c:v>44.0</c:v>
                </c:pt>
                <c:pt idx="10">
                  <c:v>22.0</c:v>
                </c:pt>
                <c:pt idx="11">
                  <c:v>22.0</c:v>
                </c:pt>
                <c:pt idx="12">
                  <c:v>36.0</c:v>
                </c:pt>
                <c:pt idx="13">
                  <c:v>49.0</c:v>
                </c:pt>
                <c:pt idx="14">
                  <c:v>49.0</c:v>
                </c:pt>
                <c:pt idx="15">
                  <c:v>49.0</c:v>
                </c:pt>
              </c:numCache>
            </c:numRef>
          </c:val>
        </c:ser>
        <c:overlap val="100"/>
        <c:axId val="726666120"/>
        <c:axId val="726670664"/>
      </c:barChart>
      <c:catAx>
        <c:axId val="726666120"/>
        <c:scaling>
          <c:orientation val="minMax"/>
        </c:scaling>
        <c:axPos val="b"/>
        <c:tickLblPos val="nextTo"/>
        <c:crossAx val="726670664"/>
        <c:crosses val="autoZero"/>
        <c:auto val="1"/>
        <c:lblAlgn val="ctr"/>
        <c:lblOffset val="100"/>
      </c:catAx>
      <c:valAx>
        <c:axId val="726670664"/>
        <c:scaling>
          <c:orientation val="minMax"/>
        </c:scaling>
        <c:axPos val="l"/>
        <c:majorGridlines/>
        <c:numFmt formatCode="General" sourceLinked="1"/>
        <c:tickLblPos val="nextTo"/>
        <c:crossAx val="726666120"/>
        <c:crosses val="autoZero"/>
        <c:crossBetween val="between"/>
      </c:valAx>
    </c:plotArea>
    <c:legend>
      <c:legendPos val="t"/>
      <c:layout>
        <c:manualLayout>
          <c:xMode val="edge"/>
          <c:yMode val="edge"/>
          <c:x val="0.0"/>
          <c:y val="0.0"/>
          <c:w val="1.0"/>
          <c:h val="0.0941494870568437"/>
        </c:manualLayout>
      </c:layout>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en-US"/>
  <c:style val="18"/>
  <c:chart>
    <c:plotArea>
      <c:layout>
        <c:manualLayout>
          <c:layoutTarget val="inner"/>
          <c:xMode val="edge"/>
          <c:yMode val="edge"/>
          <c:x val="0.075813816542163"/>
          <c:y val="0.163499540569051"/>
          <c:w val="0.900681909953563"/>
          <c:h val="0.628134735082098"/>
        </c:manualLayout>
      </c:layout>
      <c:barChart>
        <c:barDir val="col"/>
        <c:grouping val="stacked"/>
        <c:ser>
          <c:idx val="0"/>
          <c:order val="0"/>
          <c:tx>
            <c:strRef>
              <c:f>Sheet2!$C$2</c:f>
              <c:strCache>
                <c:ptCount val="1"/>
                <c:pt idx="0">
                  <c:v>East Asia and Pacific</c:v>
                </c:pt>
              </c:strCache>
            </c:strRef>
          </c:tx>
          <c:spPr>
            <a:solidFill>
              <a:schemeClr val="accent1"/>
            </a:solidFill>
          </c:spPr>
          <c:cat>
            <c:multiLvlStrRef>
              <c:f>Sheet2!$A$3:$B$18</c:f>
              <c:multiLvlStrCache>
                <c:ptCount val="16"/>
                <c:lvl>
                  <c:pt idx="0">
                    <c:v>Total</c:v>
                  </c:pt>
                  <c:pt idx="1">
                    <c:v>2010</c:v>
                  </c:pt>
                  <c:pt idx="2">
                    <c:v>2030</c:v>
                  </c:pt>
                  <c:pt idx="3">
                    <c:v>2060</c:v>
                  </c:pt>
                  <c:pt idx="4">
                    <c:v>2010</c:v>
                  </c:pt>
                  <c:pt idx="5">
                    <c:v>2030</c:v>
                  </c:pt>
                  <c:pt idx="6">
                    <c:v>2060</c:v>
                  </c:pt>
                  <c:pt idx="7">
                    <c:v>2010</c:v>
                  </c:pt>
                  <c:pt idx="8">
                    <c:v>2030</c:v>
                  </c:pt>
                  <c:pt idx="9">
                    <c:v>2060</c:v>
                  </c:pt>
                  <c:pt idx="10">
                    <c:v>2010</c:v>
                  </c:pt>
                  <c:pt idx="11">
                    <c:v>2030</c:v>
                  </c:pt>
                  <c:pt idx="12">
                    <c:v>2060</c:v>
                  </c:pt>
                  <c:pt idx="13">
                    <c:v>2010</c:v>
                  </c:pt>
                  <c:pt idx="14">
                    <c:v>2030</c:v>
                  </c:pt>
                  <c:pt idx="15">
                    <c:v>2060</c:v>
                  </c:pt>
                </c:lvl>
                <c:lvl>
                  <c:pt idx="1">
                    <c:v>All-season road</c:v>
                  </c:pt>
                  <c:pt idx="4">
                    <c:v>Electricity total</c:v>
                  </c:pt>
                  <c:pt idx="7">
                    <c:v>Water</c:v>
                  </c:pt>
                  <c:pt idx="10">
                    <c:v>Sanitation</c:v>
                  </c:pt>
                  <c:pt idx="13">
                    <c:v>Mobile communications</c:v>
                  </c:pt>
                </c:lvl>
              </c:multiLvlStrCache>
            </c:multiLvlStrRef>
          </c:cat>
          <c:val>
            <c:numRef>
              <c:f>Sheet2!$C$3:$C$18</c:f>
              <c:numCache>
                <c:formatCode>General</c:formatCode>
                <c:ptCount val="16"/>
                <c:pt idx="0">
                  <c:v>19.0</c:v>
                </c:pt>
                <c:pt idx="1">
                  <c:v>0.0</c:v>
                </c:pt>
                <c:pt idx="2">
                  <c:v>3.0</c:v>
                </c:pt>
                <c:pt idx="3">
                  <c:v>8.0</c:v>
                </c:pt>
                <c:pt idx="4">
                  <c:v>3.0</c:v>
                </c:pt>
                <c:pt idx="5">
                  <c:v>4.0</c:v>
                </c:pt>
                <c:pt idx="6">
                  <c:v>8.0</c:v>
                </c:pt>
                <c:pt idx="7">
                  <c:v>3.0</c:v>
                </c:pt>
                <c:pt idx="8">
                  <c:v>7.0</c:v>
                </c:pt>
                <c:pt idx="9">
                  <c:v>13.0</c:v>
                </c:pt>
                <c:pt idx="10">
                  <c:v>1.0</c:v>
                </c:pt>
                <c:pt idx="11">
                  <c:v>0.0</c:v>
                </c:pt>
                <c:pt idx="12">
                  <c:v>1.0</c:v>
                </c:pt>
                <c:pt idx="13">
                  <c:v>0.0</c:v>
                </c:pt>
                <c:pt idx="14">
                  <c:v>15.0</c:v>
                </c:pt>
                <c:pt idx="15">
                  <c:v>19.0</c:v>
                </c:pt>
              </c:numCache>
            </c:numRef>
          </c:val>
        </c:ser>
        <c:ser>
          <c:idx val="1"/>
          <c:order val="1"/>
          <c:tx>
            <c:strRef>
              <c:f>Sheet2!$D$2</c:f>
              <c:strCache>
                <c:ptCount val="1"/>
                <c:pt idx="0">
                  <c:v>Europe and Central Asia</c:v>
                </c:pt>
              </c:strCache>
            </c:strRef>
          </c:tx>
          <c:spPr>
            <a:solidFill>
              <a:srgbClr val="FFFF00"/>
            </a:solidFill>
          </c:spPr>
          <c:cat>
            <c:multiLvlStrRef>
              <c:f>Sheet2!$A$3:$B$18</c:f>
              <c:multiLvlStrCache>
                <c:ptCount val="16"/>
                <c:lvl>
                  <c:pt idx="0">
                    <c:v>Total</c:v>
                  </c:pt>
                  <c:pt idx="1">
                    <c:v>2010</c:v>
                  </c:pt>
                  <c:pt idx="2">
                    <c:v>2030</c:v>
                  </c:pt>
                  <c:pt idx="3">
                    <c:v>2060</c:v>
                  </c:pt>
                  <c:pt idx="4">
                    <c:v>2010</c:v>
                  </c:pt>
                  <c:pt idx="5">
                    <c:v>2030</c:v>
                  </c:pt>
                  <c:pt idx="6">
                    <c:v>2060</c:v>
                  </c:pt>
                  <c:pt idx="7">
                    <c:v>2010</c:v>
                  </c:pt>
                  <c:pt idx="8">
                    <c:v>2030</c:v>
                  </c:pt>
                  <c:pt idx="9">
                    <c:v>2060</c:v>
                  </c:pt>
                  <c:pt idx="10">
                    <c:v>2010</c:v>
                  </c:pt>
                  <c:pt idx="11">
                    <c:v>2030</c:v>
                  </c:pt>
                  <c:pt idx="12">
                    <c:v>2060</c:v>
                  </c:pt>
                  <c:pt idx="13">
                    <c:v>2010</c:v>
                  </c:pt>
                  <c:pt idx="14">
                    <c:v>2030</c:v>
                  </c:pt>
                  <c:pt idx="15">
                    <c:v>2060</c:v>
                  </c:pt>
                </c:lvl>
                <c:lvl>
                  <c:pt idx="1">
                    <c:v>All-season road</c:v>
                  </c:pt>
                  <c:pt idx="4">
                    <c:v>Electricity total</c:v>
                  </c:pt>
                  <c:pt idx="7">
                    <c:v>Water</c:v>
                  </c:pt>
                  <c:pt idx="10">
                    <c:v>Sanitation</c:v>
                  </c:pt>
                  <c:pt idx="13">
                    <c:v>Mobile communications</c:v>
                  </c:pt>
                </c:lvl>
              </c:multiLvlStrCache>
            </c:multiLvlStrRef>
          </c:cat>
          <c:val>
            <c:numRef>
              <c:f>Sheet2!$D$3:$D$18</c:f>
              <c:numCache>
                <c:formatCode>General</c:formatCode>
                <c:ptCount val="16"/>
                <c:pt idx="0">
                  <c:v>22.0</c:v>
                </c:pt>
                <c:pt idx="1">
                  <c:v>1.0</c:v>
                </c:pt>
                <c:pt idx="2">
                  <c:v>5.0</c:v>
                </c:pt>
                <c:pt idx="3">
                  <c:v>10.0</c:v>
                </c:pt>
                <c:pt idx="4">
                  <c:v>1.0</c:v>
                </c:pt>
                <c:pt idx="5">
                  <c:v>1.0</c:v>
                </c:pt>
                <c:pt idx="6">
                  <c:v>3.0</c:v>
                </c:pt>
                <c:pt idx="7">
                  <c:v>11.0</c:v>
                </c:pt>
                <c:pt idx="8">
                  <c:v>14.0</c:v>
                </c:pt>
                <c:pt idx="9">
                  <c:v>16.0</c:v>
                </c:pt>
                <c:pt idx="10">
                  <c:v>3.0</c:v>
                </c:pt>
                <c:pt idx="11">
                  <c:v>0.0</c:v>
                </c:pt>
                <c:pt idx="12">
                  <c:v>10.0</c:v>
                </c:pt>
                <c:pt idx="13">
                  <c:v>0.0</c:v>
                </c:pt>
                <c:pt idx="14">
                  <c:v>21.0</c:v>
                </c:pt>
                <c:pt idx="15">
                  <c:v>22.0</c:v>
                </c:pt>
              </c:numCache>
            </c:numRef>
          </c:val>
        </c:ser>
        <c:ser>
          <c:idx val="2"/>
          <c:order val="2"/>
          <c:tx>
            <c:strRef>
              <c:f>Sheet2!$E$2</c:f>
              <c:strCache>
                <c:ptCount val="1"/>
                <c:pt idx="0">
                  <c:v>Latin America and the Caribbean</c:v>
                </c:pt>
              </c:strCache>
            </c:strRef>
          </c:tx>
          <c:spPr>
            <a:solidFill>
              <a:schemeClr val="accent3"/>
            </a:solidFill>
          </c:spPr>
          <c:cat>
            <c:multiLvlStrRef>
              <c:f>Sheet2!$A$3:$B$18</c:f>
              <c:multiLvlStrCache>
                <c:ptCount val="16"/>
                <c:lvl>
                  <c:pt idx="0">
                    <c:v>Total</c:v>
                  </c:pt>
                  <c:pt idx="1">
                    <c:v>2010</c:v>
                  </c:pt>
                  <c:pt idx="2">
                    <c:v>2030</c:v>
                  </c:pt>
                  <c:pt idx="3">
                    <c:v>2060</c:v>
                  </c:pt>
                  <c:pt idx="4">
                    <c:v>2010</c:v>
                  </c:pt>
                  <c:pt idx="5">
                    <c:v>2030</c:v>
                  </c:pt>
                  <c:pt idx="6">
                    <c:v>2060</c:v>
                  </c:pt>
                  <c:pt idx="7">
                    <c:v>2010</c:v>
                  </c:pt>
                  <c:pt idx="8">
                    <c:v>2030</c:v>
                  </c:pt>
                  <c:pt idx="9">
                    <c:v>2060</c:v>
                  </c:pt>
                  <c:pt idx="10">
                    <c:v>2010</c:v>
                  </c:pt>
                  <c:pt idx="11">
                    <c:v>2030</c:v>
                  </c:pt>
                  <c:pt idx="12">
                    <c:v>2060</c:v>
                  </c:pt>
                  <c:pt idx="13">
                    <c:v>2010</c:v>
                  </c:pt>
                  <c:pt idx="14">
                    <c:v>2030</c:v>
                  </c:pt>
                  <c:pt idx="15">
                    <c:v>2060</c:v>
                  </c:pt>
                </c:lvl>
                <c:lvl>
                  <c:pt idx="1">
                    <c:v>All-season road</c:v>
                  </c:pt>
                  <c:pt idx="4">
                    <c:v>Electricity total</c:v>
                  </c:pt>
                  <c:pt idx="7">
                    <c:v>Water</c:v>
                  </c:pt>
                  <c:pt idx="10">
                    <c:v>Sanitation</c:v>
                  </c:pt>
                  <c:pt idx="13">
                    <c:v>Mobile communications</c:v>
                  </c:pt>
                </c:lvl>
              </c:multiLvlStrCache>
            </c:multiLvlStrRef>
          </c:cat>
          <c:val>
            <c:numRef>
              <c:f>Sheet2!$E$3:$E$18</c:f>
              <c:numCache>
                <c:formatCode>General</c:formatCode>
                <c:ptCount val="16"/>
                <c:pt idx="0">
                  <c:v>27.0</c:v>
                </c:pt>
                <c:pt idx="1">
                  <c:v>1.0</c:v>
                </c:pt>
                <c:pt idx="2">
                  <c:v>4.0</c:v>
                </c:pt>
                <c:pt idx="3">
                  <c:v>12.0</c:v>
                </c:pt>
                <c:pt idx="4">
                  <c:v>10.0</c:v>
                </c:pt>
                <c:pt idx="5">
                  <c:v>15.0</c:v>
                </c:pt>
                <c:pt idx="6">
                  <c:v>21.0</c:v>
                </c:pt>
                <c:pt idx="7">
                  <c:v>4.0</c:v>
                </c:pt>
                <c:pt idx="8">
                  <c:v>10.0</c:v>
                </c:pt>
                <c:pt idx="9">
                  <c:v>18.0</c:v>
                </c:pt>
                <c:pt idx="10">
                  <c:v>1.0</c:v>
                </c:pt>
                <c:pt idx="11">
                  <c:v>0.0</c:v>
                </c:pt>
                <c:pt idx="12">
                  <c:v>7.0</c:v>
                </c:pt>
                <c:pt idx="13">
                  <c:v>0.0</c:v>
                </c:pt>
                <c:pt idx="14">
                  <c:v>25.0</c:v>
                </c:pt>
                <c:pt idx="15">
                  <c:v>27.0</c:v>
                </c:pt>
              </c:numCache>
            </c:numRef>
          </c:val>
        </c:ser>
        <c:ser>
          <c:idx val="3"/>
          <c:order val="3"/>
          <c:tx>
            <c:strRef>
              <c:f>Sheet2!$F$2</c:f>
              <c:strCache>
                <c:ptCount val="1"/>
                <c:pt idx="0">
                  <c:v>Middle East and North Africa</c:v>
                </c:pt>
              </c:strCache>
            </c:strRef>
          </c:tx>
          <c:spPr>
            <a:solidFill>
              <a:schemeClr val="accent2"/>
            </a:solidFill>
          </c:spPr>
          <c:cat>
            <c:multiLvlStrRef>
              <c:f>Sheet2!$A$3:$B$18</c:f>
              <c:multiLvlStrCache>
                <c:ptCount val="16"/>
                <c:lvl>
                  <c:pt idx="0">
                    <c:v>Total</c:v>
                  </c:pt>
                  <c:pt idx="1">
                    <c:v>2010</c:v>
                  </c:pt>
                  <c:pt idx="2">
                    <c:v>2030</c:v>
                  </c:pt>
                  <c:pt idx="3">
                    <c:v>2060</c:v>
                  </c:pt>
                  <c:pt idx="4">
                    <c:v>2010</c:v>
                  </c:pt>
                  <c:pt idx="5">
                    <c:v>2030</c:v>
                  </c:pt>
                  <c:pt idx="6">
                    <c:v>2060</c:v>
                  </c:pt>
                  <c:pt idx="7">
                    <c:v>2010</c:v>
                  </c:pt>
                  <c:pt idx="8">
                    <c:v>2030</c:v>
                  </c:pt>
                  <c:pt idx="9">
                    <c:v>2060</c:v>
                  </c:pt>
                  <c:pt idx="10">
                    <c:v>2010</c:v>
                  </c:pt>
                  <c:pt idx="11">
                    <c:v>2030</c:v>
                  </c:pt>
                  <c:pt idx="12">
                    <c:v>2060</c:v>
                  </c:pt>
                  <c:pt idx="13">
                    <c:v>2010</c:v>
                  </c:pt>
                  <c:pt idx="14">
                    <c:v>2030</c:v>
                  </c:pt>
                  <c:pt idx="15">
                    <c:v>2060</c:v>
                  </c:pt>
                </c:lvl>
                <c:lvl>
                  <c:pt idx="1">
                    <c:v>All-season road</c:v>
                  </c:pt>
                  <c:pt idx="4">
                    <c:v>Electricity total</c:v>
                  </c:pt>
                  <c:pt idx="7">
                    <c:v>Water</c:v>
                  </c:pt>
                  <c:pt idx="10">
                    <c:v>Sanitation</c:v>
                  </c:pt>
                  <c:pt idx="13">
                    <c:v>Mobile communications</c:v>
                  </c:pt>
                </c:lvl>
              </c:multiLvlStrCache>
            </c:multiLvlStrRef>
          </c:cat>
          <c:val>
            <c:numRef>
              <c:f>Sheet2!$F$3:$F$18</c:f>
              <c:numCache>
                <c:formatCode>General</c:formatCode>
                <c:ptCount val="16"/>
                <c:pt idx="0">
                  <c:v>13.0</c:v>
                </c:pt>
                <c:pt idx="1">
                  <c:v>0.0</c:v>
                </c:pt>
                <c:pt idx="2">
                  <c:v>1.0</c:v>
                </c:pt>
                <c:pt idx="3">
                  <c:v>3.0</c:v>
                </c:pt>
                <c:pt idx="4">
                  <c:v>9.0</c:v>
                </c:pt>
                <c:pt idx="5">
                  <c:v>8.0</c:v>
                </c:pt>
                <c:pt idx="6">
                  <c:v>10.0</c:v>
                </c:pt>
                <c:pt idx="7">
                  <c:v>2.0</c:v>
                </c:pt>
                <c:pt idx="8">
                  <c:v>3.0</c:v>
                </c:pt>
                <c:pt idx="9">
                  <c:v>7.0</c:v>
                </c:pt>
                <c:pt idx="10">
                  <c:v>3.0</c:v>
                </c:pt>
                <c:pt idx="11">
                  <c:v>0.0</c:v>
                </c:pt>
                <c:pt idx="12">
                  <c:v>2.0</c:v>
                </c:pt>
                <c:pt idx="13">
                  <c:v>0.0</c:v>
                </c:pt>
                <c:pt idx="14">
                  <c:v>13.0</c:v>
                </c:pt>
                <c:pt idx="15">
                  <c:v>13.0</c:v>
                </c:pt>
              </c:numCache>
            </c:numRef>
          </c:val>
        </c:ser>
        <c:ser>
          <c:idx val="4"/>
          <c:order val="4"/>
          <c:tx>
            <c:strRef>
              <c:f>Sheet2!$G$2</c:f>
              <c:strCache>
                <c:ptCount val="1"/>
                <c:pt idx="0">
                  <c:v>South Asia</c:v>
                </c:pt>
              </c:strCache>
            </c:strRef>
          </c:tx>
          <c:cat>
            <c:multiLvlStrRef>
              <c:f>Sheet2!$A$3:$B$18</c:f>
              <c:multiLvlStrCache>
                <c:ptCount val="16"/>
                <c:lvl>
                  <c:pt idx="0">
                    <c:v>Total</c:v>
                  </c:pt>
                  <c:pt idx="1">
                    <c:v>2010</c:v>
                  </c:pt>
                  <c:pt idx="2">
                    <c:v>2030</c:v>
                  </c:pt>
                  <c:pt idx="3">
                    <c:v>2060</c:v>
                  </c:pt>
                  <c:pt idx="4">
                    <c:v>2010</c:v>
                  </c:pt>
                  <c:pt idx="5">
                    <c:v>2030</c:v>
                  </c:pt>
                  <c:pt idx="6">
                    <c:v>2060</c:v>
                  </c:pt>
                  <c:pt idx="7">
                    <c:v>2010</c:v>
                  </c:pt>
                  <c:pt idx="8">
                    <c:v>2030</c:v>
                  </c:pt>
                  <c:pt idx="9">
                    <c:v>2060</c:v>
                  </c:pt>
                  <c:pt idx="10">
                    <c:v>2010</c:v>
                  </c:pt>
                  <c:pt idx="11">
                    <c:v>2030</c:v>
                  </c:pt>
                  <c:pt idx="12">
                    <c:v>2060</c:v>
                  </c:pt>
                  <c:pt idx="13">
                    <c:v>2010</c:v>
                  </c:pt>
                  <c:pt idx="14">
                    <c:v>2030</c:v>
                  </c:pt>
                  <c:pt idx="15">
                    <c:v>2060</c:v>
                  </c:pt>
                </c:lvl>
                <c:lvl>
                  <c:pt idx="1">
                    <c:v>All-season road</c:v>
                  </c:pt>
                  <c:pt idx="4">
                    <c:v>Electricity total</c:v>
                  </c:pt>
                  <c:pt idx="7">
                    <c:v>Water</c:v>
                  </c:pt>
                  <c:pt idx="10">
                    <c:v>Sanitation</c:v>
                  </c:pt>
                  <c:pt idx="13">
                    <c:v>Mobile communications</c:v>
                  </c:pt>
                </c:lvl>
              </c:multiLvlStrCache>
            </c:multiLvlStrRef>
          </c:cat>
          <c:val>
            <c:numRef>
              <c:f>Sheet2!$G$3:$G$18</c:f>
              <c:numCache>
                <c:formatCode>General</c:formatCode>
                <c:ptCount val="16"/>
                <c:pt idx="0">
                  <c:v>8.0</c:v>
                </c:pt>
                <c:pt idx="1">
                  <c:v>0.0</c:v>
                </c:pt>
                <c:pt idx="2">
                  <c:v>1.0</c:v>
                </c:pt>
                <c:pt idx="3">
                  <c:v>1.0</c:v>
                </c:pt>
                <c:pt idx="4">
                  <c:v>1.0</c:v>
                </c:pt>
                <c:pt idx="5">
                  <c:v>2.0</c:v>
                </c:pt>
                <c:pt idx="6">
                  <c:v>4.0</c:v>
                </c:pt>
                <c:pt idx="7">
                  <c:v>1.0</c:v>
                </c:pt>
                <c:pt idx="8">
                  <c:v>3.0</c:v>
                </c:pt>
                <c:pt idx="9">
                  <c:v>7.0</c:v>
                </c:pt>
                <c:pt idx="10">
                  <c:v>0.0</c:v>
                </c:pt>
                <c:pt idx="11">
                  <c:v>0.0</c:v>
                </c:pt>
                <c:pt idx="12">
                  <c:v>0.0</c:v>
                </c:pt>
                <c:pt idx="13">
                  <c:v>0.0</c:v>
                </c:pt>
                <c:pt idx="14">
                  <c:v>8.0</c:v>
                </c:pt>
                <c:pt idx="15">
                  <c:v>8.0</c:v>
                </c:pt>
              </c:numCache>
            </c:numRef>
          </c:val>
        </c:ser>
        <c:ser>
          <c:idx val="5"/>
          <c:order val="5"/>
          <c:tx>
            <c:strRef>
              <c:f>Sheet2!$H$2</c:f>
              <c:strCache>
                <c:ptCount val="1"/>
                <c:pt idx="0">
                  <c:v>Sub-Saharan Africa</c:v>
                </c:pt>
              </c:strCache>
            </c:strRef>
          </c:tx>
          <c:spPr>
            <a:solidFill>
              <a:schemeClr val="accent6">
                <a:lumMod val="75000"/>
              </a:schemeClr>
            </a:solidFill>
          </c:spPr>
          <c:cat>
            <c:multiLvlStrRef>
              <c:f>Sheet2!$A$3:$B$18</c:f>
              <c:multiLvlStrCache>
                <c:ptCount val="16"/>
                <c:lvl>
                  <c:pt idx="0">
                    <c:v>Total</c:v>
                  </c:pt>
                  <c:pt idx="1">
                    <c:v>2010</c:v>
                  </c:pt>
                  <c:pt idx="2">
                    <c:v>2030</c:v>
                  </c:pt>
                  <c:pt idx="3">
                    <c:v>2060</c:v>
                  </c:pt>
                  <c:pt idx="4">
                    <c:v>2010</c:v>
                  </c:pt>
                  <c:pt idx="5">
                    <c:v>2030</c:v>
                  </c:pt>
                  <c:pt idx="6">
                    <c:v>2060</c:v>
                  </c:pt>
                  <c:pt idx="7">
                    <c:v>2010</c:v>
                  </c:pt>
                  <c:pt idx="8">
                    <c:v>2030</c:v>
                  </c:pt>
                  <c:pt idx="9">
                    <c:v>2060</c:v>
                  </c:pt>
                  <c:pt idx="10">
                    <c:v>2010</c:v>
                  </c:pt>
                  <c:pt idx="11">
                    <c:v>2030</c:v>
                  </c:pt>
                  <c:pt idx="12">
                    <c:v>2060</c:v>
                  </c:pt>
                  <c:pt idx="13">
                    <c:v>2010</c:v>
                  </c:pt>
                  <c:pt idx="14">
                    <c:v>2030</c:v>
                  </c:pt>
                  <c:pt idx="15">
                    <c:v>2060</c:v>
                  </c:pt>
                </c:lvl>
                <c:lvl>
                  <c:pt idx="1">
                    <c:v>All-season road</c:v>
                  </c:pt>
                  <c:pt idx="4">
                    <c:v>Electricity total</c:v>
                  </c:pt>
                  <c:pt idx="7">
                    <c:v>Water</c:v>
                  </c:pt>
                  <c:pt idx="10">
                    <c:v>Sanitation</c:v>
                  </c:pt>
                  <c:pt idx="13">
                    <c:v>Mobile communications</c:v>
                  </c:pt>
                </c:lvl>
              </c:multiLvlStrCache>
            </c:multiLvlStrRef>
          </c:cat>
          <c:val>
            <c:numRef>
              <c:f>Sheet2!$H$3:$H$18</c:f>
              <c:numCache>
                <c:formatCode>General</c:formatCode>
                <c:ptCount val="16"/>
                <c:pt idx="0">
                  <c:v>45.0</c:v>
                </c:pt>
                <c:pt idx="1">
                  <c:v>0.0</c:v>
                </c:pt>
                <c:pt idx="2">
                  <c:v>1.0</c:v>
                </c:pt>
                <c:pt idx="3">
                  <c:v>3.0</c:v>
                </c:pt>
                <c:pt idx="4">
                  <c:v>1.0</c:v>
                </c:pt>
                <c:pt idx="5">
                  <c:v>1.0</c:v>
                </c:pt>
                <c:pt idx="6">
                  <c:v>6.0</c:v>
                </c:pt>
                <c:pt idx="7">
                  <c:v>1.0</c:v>
                </c:pt>
                <c:pt idx="8">
                  <c:v>3.0</c:v>
                </c:pt>
                <c:pt idx="9">
                  <c:v>11.0</c:v>
                </c:pt>
                <c:pt idx="10">
                  <c:v>0.0</c:v>
                </c:pt>
                <c:pt idx="11">
                  <c:v>0.0</c:v>
                </c:pt>
                <c:pt idx="12">
                  <c:v>1.0</c:v>
                </c:pt>
                <c:pt idx="13">
                  <c:v>0.0</c:v>
                </c:pt>
                <c:pt idx="14">
                  <c:v>37.0</c:v>
                </c:pt>
                <c:pt idx="15">
                  <c:v>45.0</c:v>
                </c:pt>
              </c:numCache>
            </c:numRef>
          </c:val>
        </c:ser>
        <c:ser>
          <c:idx val="6"/>
          <c:order val="6"/>
          <c:tx>
            <c:strRef>
              <c:f>Sheet2!$I$2</c:f>
              <c:strCache>
                <c:ptCount val="1"/>
                <c:pt idx="0">
                  <c:v>high-income countries</c:v>
                </c:pt>
              </c:strCache>
            </c:strRef>
          </c:tx>
          <c:spPr>
            <a:solidFill>
              <a:schemeClr val="tx2"/>
            </a:solidFill>
          </c:spPr>
          <c:cat>
            <c:multiLvlStrRef>
              <c:f>Sheet2!$A$3:$B$18</c:f>
              <c:multiLvlStrCache>
                <c:ptCount val="16"/>
                <c:lvl>
                  <c:pt idx="0">
                    <c:v>Total</c:v>
                  </c:pt>
                  <c:pt idx="1">
                    <c:v>2010</c:v>
                  </c:pt>
                  <c:pt idx="2">
                    <c:v>2030</c:v>
                  </c:pt>
                  <c:pt idx="3">
                    <c:v>2060</c:v>
                  </c:pt>
                  <c:pt idx="4">
                    <c:v>2010</c:v>
                  </c:pt>
                  <c:pt idx="5">
                    <c:v>2030</c:v>
                  </c:pt>
                  <c:pt idx="6">
                    <c:v>2060</c:v>
                  </c:pt>
                  <c:pt idx="7">
                    <c:v>2010</c:v>
                  </c:pt>
                  <c:pt idx="8">
                    <c:v>2030</c:v>
                  </c:pt>
                  <c:pt idx="9">
                    <c:v>2060</c:v>
                  </c:pt>
                  <c:pt idx="10">
                    <c:v>2010</c:v>
                  </c:pt>
                  <c:pt idx="11">
                    <c:v>2030</c:v>
                  </c:pt>
                  <c:pt idx="12">
                    <c:v>2060</c:v>
                  </c:pt>
                  <c:pt idx="13">
                    <c:v>2010</c:v>
                  </c:pt>
                  <c:pt idx="14">
                    <c:v>2030</c:v>
                  </c:pt>
                  <c:pt idx="15">
                    <c:v>2060</c:v>
                  </c:pt>
                </c:lvl>
                <c:lvl>
                  <c:pt idx="1">
                    <c:v>All-season road</c:v>
                  </c:pt>
                  <c:pt idx="4">
                    <c:v>Electricity total</c:v>
                  </c:pt>
                  <c:pt idx="7">
                    <c:v>Water</c:v>
                  </c:pt>
                  <c:pt idx="10">
                    <c:v>Sanitation</c:v>
                  </c:pt>
                  <c:pt idx="13">
                    <c:v>Mobile communications</c:v>
                  </c:pt>
                </c:lvl>
              </c:multiLvlStrCache>
            </c:multiLvlStrRef>
          </c:cat>
          <c:val>
            <c:numRef>
              <c:f>Sheet2!$I$3:$I$18</c:f>
              <c:numCache>
                <c:formatCode>General</c:formatCode>
                <c:ptCount val="16"/>
                <c:pt idx="0">
                  <c:v>49.0</c:v>
                </c:pt>
                <c:pt idx="1">
                  <c:v>17.0</c:v>
                </c:pt>
                <c:pt idx="2">
                  <c:v>36.0</c:v>
                </c:pt>
                <c:pt idx="3">
                  <c:v>43.0</c:v>
                </c:pt>
                <c:pt idx="4">
                  <c:v>37.0</c:v>
                </c:pt>
                <c:pt idx="5">
                  <c:v>37.0</c:v>
                </c:pt>
                <c:pt idx="6">
                  <c:v>45.0</c:v>
                </c:pt>
                <c:pt idx="7">
                  <c:v>44.0</c:v>
                </c:pt>
                <c:pt idx="8">
                  <c:v>44.0</c:v>
                </c:pt>
                <c:pt idx="9">
                  <c:v>44.0</c:v>
                </c:pt>
                <c:pt idx="10">
                  <c:v>37.0</c:v>
                </c:pt>
                <c:pt idx="11">
                  <c:v>22.0</c:v>
                </c:pt>
                <c:pt idx="12">
                  <c:v>36.0</c:v>
                </c:pt>
                <c:pt idx="13">
                  <c:v>1.0</c:v>
                </c:pt>
                <c:pt idx="14">
                  <c:v>49.0</c:v>
                </c:pt>
                <c:pt idx="15">
                  <c:v>49.0</c:v>
                </c:pt>
              </c:numCache>
            </c:numRef>
          </c:val>
        </c:ser>
        <c:overlap val="100"/>
        <c:axId val="726785496"/>
        <c:axId val="726788456"/>
      </c:barChart>
      <c:catAx>
        <c:axId val="726785496"/>
        <c:scaling>
          <c:orientation val="minMax"/>
        </c:scaling>
        <c:axPos val="b"/>
        <c:tickLblPos val="nextTo"/>
        <c:crossAx val="726788456"/>
        <c:crosses val="autoZero"/>
        <c:auto val="1"/>
        <c:lblAlgn val="ctr"/>
        <c:lblOffset val="100"/>
      </c:catAx>
      <c:valAx>
        <c:axId val="726788456"/>
        <c:scaling>
          <c:orientation val="minMax"/>
        </c:scaling>
        <c:axPos val="l"/>
        <c:majorGridlines/>
        <c:numFmt formatCode="General" sourceLinked="1"/>
        <c:tickLblPos val="nextTo"/>
        <c:crossAx val="726785496"/>
        <c:crosses val="autoZero"/>
        <c:crossBetween val="between"/>
      </c:valAx>
    </c:plotArea>
    <c:legend>
      <c:legendPos val="t"/>
      <c:layout>
        <c:manualLayout>
          <c:xMode val="edge"/>
          <c:yMode val="edge"/>
          <c:x val="0.0"/>
          <c:y val="0.0"/>
          <c:w val="1.0"/>
          <c:h val="0.106271881712917"/>
        </c:manualLayout>
      </c:layout>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a:pPr>
            <a:r>
              <a:rPr lang="en-US"/>
              <a:t>World</a:t>
            </a:r>
          </a:p>
        </c:rich>
      </c:tx>
      <c:layout>
        <c:manualLayout>
          <c:xMode val="edge"/>
          <c:yMode val="edge"/>
          <c:x val="0.459489419291339"/>
          <c:y val="0.0"/>
        </c:manualLayout>
      </c:layout>
    </c:title>
    <c:plotArea>
      <c:layout>
        <c:manualLayout>
          <c:layoutTarget val="inner"/>
          <c:xMode val="edge"/>
          <c:yMode val="edge"/>
          <c:x val="0.116004464285714"/>
          <c:y val="0.22318049144719"/>
          <c:w val="0.848917498593926"/>
          <c:h val="0.621776405104534"/>
        </c:manualLayout>
      </c:layout>
      <c:scatterChart>
        <c:scatterStyle val="lineMarker"/>
        <c:ser>
          <c:idx val="0"/>
          <c:order val="0"/>
          <c:tx>
            <c:strRef>
              <c:f>'Figure 5.13'!$A$6</c:f>
              <c:strCache>
                <c:ptCount val="1"/>
                <c:pt idx="0">
                  <c:v>EIA IEO2011 Reference Case</c:v>
                </c:pt>
              </c:strCache>
            </c:strRef>
          </c:tx>
          <c:xVal>
            <c:numRef>
              <c:f>'Figure 5.13'!$B$5:$L$5</c:f>
              <c:numCache>
                <c:formatCode>General</c:formatCode>
                <c:ptCount val="11"/>
                <c:pt idx="0">
                  <c:v>2005.0</c:v>
                </c:pt>
                <c:pt idx="1">
                  <c:v>2009.0</c:v>
                </c:pt>
                <c:pt idx="2">
                  <c:v>2010.0</c:v>
                </c:pt>
                <c:pt idx="3">
                  <c:v>2015.0</c:v>
                </c:pt>
                <c:pt idx="4">
                  <c:v>2020.0</c:v>
                </c:pt>
                <c:pt idx="5">
                  <c:v>2025.0</c:v>
                </c:pt>
                <c:pt idx="6">
                  <c:v>2030.0</c:v>
                </c:pt>
                <c:pt idx="7">
                  <c:v>2035.0</c:v>
                </c:pt>
                <c:pt idx="8">
                  <c:v>2040.0</c:v>
                </c:pt>
                <c:pt idx="9">
                  <c:v>2045.0</c:v>
                </c:pt>
                <c:pt idx="10">
                  <c:v>2050.0</c:v>
                </c:pt>
              </c:numCache>
            </c:numRef>
          </c:xVal>
          <c:yVal>
            <c:numRef>
              <c:f>'Figure 5.13'!$B$6:$L$6</c:f>
              <c:numCache>
                <c:formatCode>General</c:formatCode>
                <c:ptCount val="11"/>
                <c:pt idx="0">
                  <c:v>4110.0</c:v>
                </c:pt>
                <c:pt idx="1">
                  <c:v>4750.0</c:v>
                </c:pt>
                <c:pt idx="2">
                  <c:v>4907.0</c:v>
                </c:pt>
                <c:pt idx="3">
                  <c:v>5312.0</c:v>
                </c:pt>
                <c:pt idx="4">
                  <c:v>5796.0</c:v>
                </c:pt>
                <c:pt idx="5">
                  <c:v>6269.0</c:v>
                </c:pt>
                <c:pt idx="6">
                  <c:v>6769.0</c:v>
                </c:pt>
                <c:pt idx="7">
                  <c:v>7272.0</c:v>
                </c:pt>
              </c:numCache>
            </c:numRef>
          </c:yVal>
        </c:ser>
        <c:ser>
          <c:idx val="1"/>
          <c:order val="1"/>
          <c:tx>
            <c:strRef>
              <c:f>'Figure 5.13'!$A$7</c:f>
              <c:strCache>
                <c:ptCount val="1"/>
                <c:pt idx="0">
                  <c:v>Gordon Hughes</c:v>
                </c:pt>
              </c:strCache>
            </c:strRef>
          </c:tx>
          <c:xVal>
            <c:numRef>
              <c:f>'Figure 5.13'!$B$5:$L$5</c:f>
              <c:numCache>
                <c:formatCode>General</c:formatCode>
                <c:ptCount val="11"/>
                <c:pt idx="0">
                  <c:v>2005.0</c:v>
                </c:pt>
                <c:pt idx="1">
                  <c:v>2009.0</c:v>
                </c:pt>
                <c:pt idx="2">
                  <c:v>2010.0</c:v>
                </c:pt>
                <c:pt idx="3">
                  <c:v>2015.0</c:v>
                </c:pt>
                <c:pt idx="4">
                  <c:v>2020.0</c:v>
                </c:pt>
                <c:pt idx="5">
                  <c:v>2025.0</c:v>
                </c:pt>
                <c:pt idx="6">
                  <c:v>2030.0</c:v>
                </c:pt>
                <c:pt idx="7">
                  <c:v>2035.0</c:v>
                </c:pt>
                <c:pt idx="8">
                  <c:v>2040.0</c:v>
                </c:pt>
                <c:pt idx="9">
                  <c:v>2045.0</c:v>
                </c:pt>
                <c:pt idx="10">
                  <c:v>2050.0</c:v>
                </c:pt>
              </c:numCache>
            </c:numRef>
          </c:xVal>
          <c:yVal>
            <c:numRef>
              <c:f>'Figure 5.13'!$B$7:$L$7</c:f>
              <c:numCache>
                <c:formatCode>General</c:formatCode>
                <c:ptCount val="11"/>
                <c:pt idx="0">
                  <c:v>3159.0</c:v>
                </c:pt>
                <c:pt idx="2">
                  <c:v>3472.0</c:v>
                </c:pt>
                <c:pt idx="3">
                  <c:v>3807.0</c:v>
                </c:pt>
                <c:pt idx="4">
                  <c:v>4148.0</c:v>
                </c:pt>
                <c:pt idx="5">
                  <c:v>4509.0</c:v>
                </c:pt>
                <c:pt idx="6">
                  <c:v>4887.0</c:v>
                </c:pt>
                <c:pt idx="7">
                  <c:v>5277.0</c:v>
                </c:pt>
                <c:pt idx="8">
                  <c:v>5674.0</c:v>
                </c:pt>
                <c:pt idx="9">
                  <c:v>6062.0</c:v>
                </c:pt>
                <c:pt idx="10">
                  <c:v>6450.0</c:v>
                </c:pt>
              </c:numCache>
            </c:numRef>
          </c:yVal>
        </c:ser>
        <c:ser>
          <c:idx val="2"/>
          <c:order val="2"/>
          <c:tx>
            <c:strRef>
              <c:f>'Figure 5.13'!$A$8</c:f>
              <c:strCache>
                <c:ptCount val="1"/>
                <c:pt idx="0">
                  <c:v>IEA WEO2011 Current Policies</c:v>
                </c:pt>
              </c:strCache>
            </c:strRef>
          </c:tx>
          <c:xVal>
            <c:numRef>
              <c:f>'Figure 5.13'!$B$5:$L$5</c:f>
              <c:numCache>
                <c:formatCode>General</c:formatCode>
                <c:ptCount val="11"/>
                <c:pt idx="0">
                  <c:v>2005.0</c:v>
                </c:pt>
                <c:pt idx="1">
                  <c:v>2009.0</c:v>
                </c:pt>
                <c:pt idx="2">
                  <c:v>2010.0</c:v>
                </c:pt>
                <c:pt idx="3">
                  <c:v>2015.0</c:v>
                </c:pt>
                <c:pt idx="4">
                  <c:v>2020.0</c:v>
                </c:pt>
                <c:pt idx="5">
                  <c:v>2025.0</c:v>
                </c:pt>
                <c:pt idx="6">
                  <c:v>2030.0</c:v>
                </c:pt>
                <c:pt idx="7">
                  <c:v>2035.0</c:v>
                </c:pt>
                <c:pt idx="8">
                  <c:v>2040.0</c:v>
                </c:pt>
                <c:pt idx="9">
                  <c:v>2045.0</c:v>
                </c:pt>
                <c:pt idx="10">
                  <c:v>2050.0</c:v>
                </c:pt>
              </c:numCache>
            </c:numRef>
          </c:xVal>
          <c:yVal>
            <c:numRef>
              <c:f>'Figure 5.13'!$B$8:$L$8</c:f>
              <c:numCache>
                <c:formatCode>General</c:formatCode>
                <c:ptCount val="11"/>
                <c:pt idx="1">
                  <c:v>4957.0</c:v>
                </c:pt>
                <c:pt idx="4">
                  <c:v>6955.0</c:v>
                </c:pt>
                <c:pt idx="6">
                  <c:v>8346.0</c:v>
                </c:pt>
                <c:pt idx="7">
                  <c:v>9126.0</c:v>
                </c:pt>
              </c:numCache>
            </c:numRef>
          </c:yVal>
        </c:ser>
        <c:ser>
          <c:idx val="3"/>
          <c:order val="3"/>
          <c:tx>
            <c:strRef>
              <c:f>'Figure 5.13'!$A$9</c:f>
              <c:strCache>
                <c:ptCount val="1"/>
                <c:pt idx="0">
                  <c:v>IEA WEO2011 New Policies</c:v>
                </c:pt>
              </c:strCache>
            </c:strRef>
          </c:tx>
          <c:xVal>
            <c:numRef>
              <c:f>'Figure 5.13'!$B$5:$L$5</c:f>
              <c:numCache>
                <c:formatCode>General</c:formatCode>
                <c:ptCount val="11"/>
                <c:pt idx="0">
                  <c:v>2005.0</c:v>
                </c:pt>
                <c:pt idx="1">
                  <c:v>2009.0</c:v>
                </c:pt>
                <c:pt idx="2">
                  <c:v>2010.0</c:v>
                </c:pt>
                <c:pt idx="3">
                  <c:v>2015.0</c:v>
                </c:pt>
                <c:pt idx="4">
                  <c:v>2020.0</c:v>
                </c:pt>
                <c:pt idx="5">
                  <c:v>2025.0</c:v>
                </c:pt>
                <c:pt idx="6">
                  <c:v>2030.0</c:v>
                </c:pt>
                <c:pt idx="7">
                  <c:v>2035.0</c:v>
                </c:pt>
                <c:pt idx="8">
                  <c:v>2040.0</c:v>
                </c:pt>
                <c:pt idx="9">
                  <c:v>2045.0</c:v>
                </c:pt>
                <c:pt idx="10">
                  <c:v>2050.0</c:v>
                </c:pt>
              </c:numCache>
            </c:numRef>
          </c:xVal>
          <c:yVal>
            <c:numRef>
              <c:f>'Figure 5.13'!$B$9:$L$9</c:f>
              <c:numCache>
                <c:formatCode>General</c:formatCode>
                <c:ptCount val="11"/>
                <c:pt idx="1">
                  <c:v>4957.0</c:v>
                </c:pt>
                <c:pt idx="3">
                  <c:v>6196.0</c:v>
                </c:pt>
                <c:pt idx="4">
                  <c:v>6941.0</c:v>
                </c:pt>
                <c:pt idx="5">
                  <c:v>7594.0</c:v>
                </c:pt>
                <c:pt idx="6">
                  <c:v>8293.0</c:v>
                </c:pt>
                <c:pt idx="7">
                  <c:v>9038.0</c:v>
                </c:pt>
              </c:numCache>
            </c:numRef>
          </c:yVal>
        </c:ser>
        <c:ser>
          <c:idx val="4"/>
          <c:order val="4"/>
          <c:tx>
            <c:strRef>
              <c:f>'Figure 5.13'!$A$10</c:f>
              <c:strCache>
                <c:ptCount val="1"/>
                <c:pt idx="0">
                  <c:v>IFs Base Case</c:v>
                </c:pt>
              </c:strCache>
            </c:strRef>
          </c:tx>
          <c:xVal>
            <c:numRef>
              <c:f>'Figure 5.13'!$B$5:$L$5</c:f>
              <c:numCache>
                <c:formatCode>General</c:formatCode>
                <c:ptCount val="11"/>
                <c:pt idx="0">
                  <c:v>2005.0</c:v>
                </c:pt>
                <c:pt idx="1">
                  <c:v>2009.0</c:v>
                </c:pt>
                <c:pt idx="2">
                  <c:v>2010.0</c:v>
                </c:pt>
                <c:pt idx="3">
                  <c:v>2015.0</c:v>
                </c:pt>
                <c:pt idx="4">
                  <c:v>2020.0</c:v>
                </c:pt>
                <c:pt idx="5">
                  <c:v>2025.0</c:v>
                </c:pt>
                <c:pt idx="6">
                  <c:v>2030.0</c:v>
                </c:pt>
                <c:pt idx="7">
                  <c:v>2035.0</c:v>
                </c:pt>
                <c:pt idx="8">
                  <c:v>2040.0</c:v>
                </c:pt>
                <c:pt idx="9">
                  <c:v>2045.0</c:v>
                </c:pt>
                <c:pt idx="10">
                  <c:v>2050.0</c:v>
                </c:pt>
              </c:numCache>
            </c:numRef>
          </c:xVal>
          <c:yVal>
            <c:numRef>
              <c:f>'Figure 5.13'!$B$10:$L$10</c:f>
              <c:numCache>
                <c:formatCode>#,##0</c:formatCode>
                <c:ptCount val="11"/>
                <c:pt idx="0">
                  <c:v>4102.0</c:v>
                </c:pt>
                <c:pt idx="1">
                  <c:v>4816.0</c:v>
                </c:pt>
                <c:pt idx="2">
                  <c:v>4986.0</c:v>
                </c:pt>
                <c:pt idx="3">
                  <c:v>5697.0</c:v>
                </c:pt>
                <c:pt idx="4">
                  <c:v>6358.0</c:v>
                </c:pt>
                <c:pt idx="5">
                  <c:v>7140.0</c:v>
                </c:pt>
                <c:pt idx="6">
                  <c:v>7946.0</c:v>
                </c:pt>
                <c:pt idx="7">
                  <c:v>8677.0</c:v>
                </c:pt>
                <c:pt idx="8">
                  <c:v>9411.0</c:v>
                </c:pt>
                <c:pt idx="9">
                  <c:v>10237.0</c:v>
                </c:pt>
                <c:pt idx="10">
                  <c:v>11025.0</c:v>
                </c:pt>
              </c:numCache>
            </c:numRef>
          </c:yVal>
        </c:ser>
        <c:axId val="726827240"/>
        <c:axId val="726834584"/>
      </c:scatterChart>
      <c:valAx>
        <c:axId val="726827240"/>
        <c:scaling>
          <c:orientation val="minMax"/>
          <c:max val="2050.0"/>
        </c:scaling>
        <c:axPos val="b"/>
        <c:title>
          <c:tx>
            <c:rich>
              <a:bodyPr/>
              <a:lstStyle/>
              <a:p>
                <a:pPr>
                  <a:defRPr/>
                </a:pPr>
                <a:r>
                  <a:rPr lang="en-US"/>
                  <a:t>Year</a:t>
                </a:r>
              </a:p>
            </c:rich>
          </c:tx>
        </c:title>
        <c:numFmt formatCode="General" sourceLinked="1"/>
        <c:tickLblPos val="nextTo"/>
        <c:crossAx val="726834584"/>
        <c:crosses val="autoZero"/>
        <c:crossBetween val="midCat"/>
      </c:valAx>
      <c:valAx>
        <c:axId val="726834584"/>
        <c:scaling>
          <c:orientation val="minMax"/>
        </c:scaling>
        <c:axPos val="l"/>
        <c:majorGridlines/>
        <c:title>
          <c:tx>
            <c:rich>
              <a:bodyPr rot="-5400000" vert="horz"/>
              <a:lstStyle/>
              <a:p>
                <a:pPr>
                  <a:defRPr/>
                </a:pPr>
                <a:r>
                  <a:rPr lang="en-US"/>
                  <a:t>Gigawatts</a:t>
                </a:r>
              </a:p>
            </c:rich>
          </c:tx>
        </c:title>
        <c:numFmt formatCode="#,##0" sourceLinked="0"/>
        <c:tickLblPos val="nextTo"/>
        <c:crossAx val="726827240"/>
        <c:crosses val="autoZero"/>
        <c:crossBetween val="midCat"/>
      </c:valAx>
    </c:plotArea>
    <c:legend>
      <c:legendPos val="t"/>
      <c:layout>
        <c:manualLayout>
          <c:xMode val="edge"/>
          <c:yMode val="edge"/>
          <c:x val="0.0"/>
          <c:y val="0.0706896551724138"/>
          <c:w val="1.0"/>
          <c:h val="0.152490836274776"/>
        </c:manualLayout>
      </c:layout>
    </c:legend>
    <c:plotVisOnly val="1"/>
    <c:dispBlanksAs val="gap"/>
  </c:chart>
  <c:txPr>
    <a:bodyPr/>
    <a:lstStyle/>
    <a:p>
      <a:pPr>
        <a:defRPr sz="1000" b="0">
          <a:latin typeface="Times New Roman"/>
          <a:cs typeface="Times New Roman"/>
        </a:defRPr>
      </a:pPr>
      <a:endParaRPr lang="en-US"/>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a:pPr>
            <a:r>
              <a:rPr lang="en-US"/>
              <a:t>Non-OECD</a:t>
            </a:r>
          </a:p>
        </c:rich>
      </c:tx>
      <c:layout>
        <c:manualLayout>
          <c:xMode val="edge"/>
          <c:yMode val="edge"/>
          <c:x val="0.31587362063613"/>
          <c:y val="0.0"/>
        </c:manualLayout>
      </c:layout>
    </c:title>
    <c:plotArea>
      <c:layout>
        <c:manualLayout>
          <c:layoutTarget val="inner"/>
          <c:xMode val="edge"/>
          <c:yMode val="edge"/>
          <c:x val="0.232840501792115"/>
          <c:y val="0.096498970285378"/>
          <c:w val="0.696751968503937"/>
          <c:h val="0.73892321270962"/>
        </c:manualLayout>
      </c:layout>
      <c:scatterChart>
        <c:scatterStyle val="lineMarker"/>
        <c:ser>
          <c:idx val="0"/>
          <c:order val="0"/>
          <c:tx>
            <c:strRef>
              <c:f>'Figure 5.13'!$A$22</c:f>
              <c:strCache>
                <c:ptCount val="1"/>
                <c:pt idx="0">
                  <c:v>EIA IEO2011 Reference Case</c:v>
                </c:pt>
              </c:strCache>
            </c:strRef>
          </c:tx>
          <c:xVal>
            <c:numRef>
              <c:f>'Figure 5.13'!$B$21:$L$21</c:f>
              <c:numCache>
                <c:formatCode>General</c:formatCode>
                <c:ptCount val="11"/>
                <c:pt idx="0">
                  <c:v>2005.0</c:v>
                </c:pt>
                <c:pt idx="1">
                  <c:v>2009.0</c:v>
                </c:pt>
                <c:pt idx="2">
                  <c:v>2010.0</c:v>
                </c:pt>
                <c:pt idx="3">
                  <c:v>2015.0</c:v>
                </c:pt>
                <c:pt idx="4">
                  <c:v>2020.0</c:v>
                </c:pt>
                <c:pt idx="5">
                  <c:v>2025.0</c:v>
                </c:pt>
                <c:pt idx="6">
                  <c:v>2030.0</c:v>
                </c:pt>
                <c:pt idx="7">
                  <c:v>2035.0</c:v>
                </c:pt>
                <c:pt idx="8">
                  <c:v>2040.0</c:v>
                </c:pt>
                <c:pt idx="9">
                  <c:v>2045.0</c:v>
                </c:pt>
                <c:pt idx="10">
                  <c:v>2050.0</c:v>
                </c:pt>
              </c:numCache>
            </c:numRef>
          </c:xVal>
          <c:yVal>
            <c:numRef>
              <c:f>'Figure 5.13'!$B$22:$L$22</c:f>
              <c:numCache>
                <c:formatCode>General</c:formatCode>
                <c:ptCount val="11"/>
                <c:pt idx="0">
                  <c:v>1748.0</c:v>
                </c:pt>
                <c:pt idx="1">
                  <c:v>2220.0</c:v>
                </c:pt>
                <c:pt idx="2">
                  <c:v>2348.0</c:v>
                </c:pt>
                <c:pt idx="3">
                  <c:v>2628.0</c:v>
                </c:pt>
                <c:pt idx="4">
                  <c:v>2998.0</c:v>
                </c:pt>
                <c:pt idx="5">
                  <c:v>3352.0</c:v>
                </c:pt>
                <c:pt idx="6">
                  <c:v>3722.0</c:v>
                </c:pt>
                <c:pt idx="7">
                  <c:v>4091.0</c:v>
                </c:pt>
              </c:numCache>
            </c:numRef>
          </c:yVal>
        </c:ser>
        <c:ser>
          <c:idx val="1"/>
          <c:order val="1"/>
          <c:tx>
            <c:strRef>
              <c:f>'Figure 5.13'!$A$23</c:f>
              <c:strCache>
                <c:ptCount val="1"/>
                <c:pt idx="0">
                  <c:v>Gordon Hughes</c:v>
                </c:pt>
              </c:strCache>
            </c:strRef>
          </c:tx>
          <c:xVal>
            <c:numRef>
              <c:f>'Figure 5.13'!$B$21:$L$21</c:f>
              <c:numCache>
                <c:formatCode>General</c:formatCode>
                <c:ptCount val="11"/>
                <c:pt idx="0">
                  <c:v>2005.0</c:v>
                </c:pt>
                <c:pt idx="1">
                  <c:v>2009.0</c:v>
                </c:pt>
                <c:pt idx="2">
                  <c:v>2010.0</c:v>
                </c:pt>
                <c:pt idx="3">
                  <c:v>2015.0</c:v>
                </c:pt>
                <c:pt idx="4">
                  <c:v>2020.0</c:v>
                </c:pt>
                <c:pt idx="5">
                  <c:v>2025.0</c:v>
                </c:pt>
                <c:pt idx="6">
                  <c:v>2030.0</c:v>
                </c:pt>
                <c:pt idx="7">
                  <c:v>2035.0</c:v>
                </c:pt>
                <c:pt idx="8">
                  <c:v>2040.0</c:v>
                </c:pt>
                <c:pt idx="9">
                  <c:v>2045.0</c:v>
                </c:pt>
                <c:pt idx="10">
                  <c:v>2050.0</c:v>
                </c:pt>
              </c:numCache>
            </c:numRef>
          </c:xVal>
          <c:yVal>
            <c:numRef>
              <c:f>'Figure 5.13'!$B$23:$L$23</c:f>
              <c:numCache>
                <c:formatCode>General</c:formatCode>
                <c:ptCount val="11"/>
                <c:pt idx="0">
                  <c:v>1298.0</c:v>
                </c:pt>
                <c:pt idx="2">
                  <c:v>1491.0</c:v>
                </c:pt>
                <c:pt idx="3">
                  <c:v>1709.0</c:v>
                </c:pt>
                <c:pt idx="4">
                  <c:v>1939.0</c:v>
                </c:pt>
                <c:pt idx="5">
                  <c:v>2192.0</c:v>
                </c:pt>
                <c:pt idx="6">
                  <c:v>2463.0</c:v>
                </c:pt>
                <c:pt idx="7">
                  <c:v>2753.0</c:v>
                </c:pt>
                <c:pt idx="8">
                  <c:v>3056.0</c:v>
                </c:pt>
                <c:pt idx="9">
                  <c:v>3359.0</c:v>
                </c:pt>
                <c:pt idx="10">
                  <c:v>3666.0</c:v>
                </c:pt>
              </c:numCache>
            </c:numRef>
          </c:yVal>
        </c:ser>
        <c:ser>
          <c:idx val="2"/>
          <c:order val="2"/>
          <c:tx>
            <c:strRef>
              <c:f>'Figure 5.13'!$A$24</c:f>
              <c:strCache>
                <c:ptCount val="1"/>
                <c:pt idx="0">
                  <c:v>IEA WEO2011 Current Policies</c:v>
                </c:pt>
              </c:strCache>
            </c:strRef>
          </c:tx>
          <c:xVal>
            <c:numRef>
              <c:f>'Figure 5.13'!$B$21:$L$21</c:f>
              <c:numCache>
                <c:formatCode>General</c:formatCode>
                <c:ptCount val="11"/>
                <c:pt idx="0">
                  <c:v>2005.0</c:v>
                </c:pt>
                <c:pt idx="1">
                  <c:v>2009.0</c:v>
                </c:pt>
                <c:pt idx="2">
                  <c:v>2010.0</c:v>
                </c:pt>
                <c:pt idx="3">
                  <c:v>2015.0</c:v>
                </c:pt>
                <c:pt idx="4">
                  <c:v>2020.0</c:v>
                </c:pt>
                <c:pt idx="5">
                  <c:v>2025.0</c:v>
                </c:pt>
                <c:pt idx="6">
                  <c:v>2030.0</c:v>
                </c:pt>
                <c:pt idx="7">
                  <c:v>2035.0</c:v>
                </c:pt>
                <c:pt idx="8">
                  <c:v>2040.0</c:v>
                </c:pt>
                <c:pt idx="9">
                  <c:v>2045.0</c:v>
                </c:pt>
                <c:pt idx="10">
                  <c:v>2050.0</c:v>
                </c:pt>
              </c:numCache>
            </c:numRef>
          </c:xVal>
          <c:yVal>
            <c:numRef>
              <c:f>'Figure 5.13'!$B$24:$L$24</c:f>
              <c:numCache>
                <c:formatCode>General</c:formatCode>
                <c:ptCount val="11"/>
                <c:pt idx="1">
                  <c:v>2342.0</c:v>
                </c:pt>
                <c:pt idx="4">
                  <c:v>3829.0</c:v>
                </c:pt>
                <c:pt idx="6">
                  <c:v>4963.0</c:v>
                </c:pt>
                <c:pt idx="7">
                  <c:v>5614.0</c:v>
                </c:pt>
              </c:numCache>
            </c:numRef>
          </c:yVal>
        </c:ser>
        <c:ser>
          <c:idx val="3"/>
          <c:order val="3"/>
          <c:tx>
            <c:strRef>
              <c:f>'Figure 5.13'!$A$25</c:f>
              <c:strCache>
                <c:ptCount val="1"/>
                <c:pt idx="0">
                  <c:v>IEA WEO2011 New Policies</c:v>
                </c:pt>
              </c:strCache>
            </c:strRef>
          </c:tx>
          <c:xVal>
            <c:numRef>
              <c:f>'Figure 5.13'!$B$21:$L$21</c:f>
              <c:numCache>
                <c:formatCode>General</c:formatCode>
                <c:ptCount val="11"/>
                <c:pt idx="0">
                  <c:v>2005.0</c:v>
                </c:pt>
                <c:pt idx="1">
                  <c:v>2009.0</c:v>
                </c:pt>
                <c:pt idx="2">
                  <c:v>2010.0</c:v>
                </c:pt>
                <c:pt idx="3">
                  <c:v>2015.0</c:v>
                </c:pt>
                <c:pt idx="4">
                  <c:v>2020.0</c:v>
                </c:pt>
                <c:pt idx="5">
                  <c:v>2025.0</c:v>
                </c:pt>
                <c:pt idx="6">
                  <c:v>2030.0</c:v>
                </c:pt>
                <c:pt idx="7">
                  <c:v>2035.0</c:v>
                </c:pt>
                <c:pt idx="8">
                  <c:v>2040.0</c:v>
                </c:pt>
                <c:pt idx="9">
                  <c:v>2045.0</c:v>
                </c:pt>
                <c:pt idx="10">
                  <c:v>2050.0</c:v>
                </c:pt>
              </c:numCache>
            </c:numRef>
          </c:xVal>
          <c:yVal>
            <c:numRef>
              <c:f>'Figure 5.13'!$B$25:$L$25</c:f>
              <c:numCache>
                <c:formatCode>General</c:formatCode>
                <c:ptCount val="11"/>
                <c:pt idx="1">
                  <c:v>2342.0</c:v>
                </c:pt>
                <c:pt idx="3">
                  <c:v>3195.0</c:v>
                </c:pt>
                <c:pt idx="4">
                  <c:v>3791.0</c:v>
                </c:pt>
                <c:pt idx="5">
                  <c:v>4303.0</c:v>
                </c:pt>
                <c:pt idx="6">
                  <c:v>4848.0</c:v>
                </c:pt>
                <c:pt idx="7">
                  <c:v>5443.0</c:v>
                </c:pt>
              </c:numCache>
            </c:numRef>
          </c:yVal>
        </c:ser>
        <c:ser>
          <c:idx val="4"/>
          <c:order val="4"/>
          <c:tx>
            <c:strRef>
              <c:f>'Figure 5.13'!$A$26</c:f>
              <c:strCache>
                <c:ptCount val="1"/>
                <c:pt idx="0">
                  <c:v>IFs Base Case</c:v>
                </c:pt>
              </c:strCache>
            </c:strRef>
          </c:tx>
          <c:xVal>
            <c:numRef>
              <c:f>'Figure 5.13'!$B$21:$L$21</c:f>
              <c:numCache>
                <c:formatCode>General</c:formatCode>
                <c:ptCount val="11"/>
                <c:pt idx="0">
                  <c:v>2005.0</c:v>
                </c:pt>
                <c:pt idx="1">
                  <c:v>2009.0</c:v>
                </c:pt>
                <c:pt idx="2">
                  <c:v>2010.0</c:v>
                </c:pt>
                <c:pt idx="3">
                  <c:v>2015.0</c:v>
                </c:pt>
                <c:pt idx="4">
                  <c:v>2020.0</c:v>
                </c:pt>
                <c:pt idx="5">
                  <c:v>2025.0</c:v>
                </c:pt>
                <c:pt idx="6">
                  <c:v>2030.0</c:v>
                </c:pt>
                <c:pt idx="7">
                  <c:v>2035.0</c:v>
                </c:pt>
                <c:pt idx="8">
                  <c:v>2040.0</c:v>
                </c:pt>
                <c:pt idx="9">
                  <c:v>2045.0</c:v>
                </c:pt>
                <c:pt idx="10">
                  <c:v>2050.0</c:v>
                </c:pt>
              </c:numCache>
            </c:numRef>
          </c:xVal>
          <c:yVal>
            <c:numRef>
              <c:f>'Figure 5.13'!$B$26:$L$26</c:f>
              <c:numCache>
                <c:formatCode>#,##0</c:formatCode>
                <c:ptCount val="11"/>
                <c:pt idx="0">
                  <c:v>1724.0</c:v>
                </c:pt>
                <c:pt idx="1">
                  <c:v>2248.0</c:v>
                </c:pt>
                <c:pt idx="2">
                  <c:v>2371.0</c:v>
                </c:pt>
                <c:pt idx="3">
                  <c:v>2879.0</c:v>
                </c:pt>
                <c:pt idx="4">
                  <c:v>3343.0</c:v>
                </c:pt>
                <c:pt idx="5">
                  <c:v>4025.0</c:v>
                </c:pt>
                <c:pt idx="6">
                  <c:v>4751.0</c:v>
                </c:pt>
                <c:pt idx="7">
                  <c:v>5398.0</c:v>
                </c:pt>
                <c:pt idx="8">
                  <c:v>6065.0</c:v>
                </c:pt>
                <c:pt idx="9">
                  <c:v>6812.0</c:v>
                </c:pt>
                <c:pt idx="10">
                  <c:v>7541.0</c:v>
                </c:pt>
              </c:numCache>
            </c:numRef>
          </c:yVal>
        </c:ser>
        <c:axId val="726874312"/>
        <c:axId val="726881656"/>
      </c:scatterChart>
      <c:valAx>
        <c:axId val="726874312"/>
        <c:scaling>
          <c:orientation val="minMax"/>
          <c:max val="2050.0"/>
        </c:scaling>
        <c:axPos val="b"/>
        <c:title>
          <c:tx>
            <c:rich>
              <a:bodyPr/>
              <a:lstStyle/>
              <a:p>
                <a:pPr>
                  <a:defRPr/>
                </a:pPr>
                <a:r>
                  <a:rPr lang="en-US"/>
                  <a:t>Year</a:t>
                </a:r>
              </a:p>
            </c:rich>
          </c:tx>
        </c:title>
        <c:numFmt formatCode="General" sourceLinked="1"/>
        <c:tickLblPos val="nextTo"/>
        <c:crossAx val="726881656"/>
        <c:crosses val="autoZero"/>
        <c:crossBetween val="midCat"/>
      </c:valAx>
      <c:valAx>
        <c:axId val="726881656"/>
        <c:scaling>
          <c:orientation val="minMax"/>
        </c:scaling>
        <c:axPos val="l"/>
        <c:majorGridlines/>
        <c:title>
          <c:tx>
            <c:rich>
              <a:bodyPr rot="-5400000" vert="horz"/>
              <a:lstStyle/>
              <a:p>
                <a:pPr>
                  <a:defRPr/>
                </a:pPr>
                <a:r>
                  <a:rPr lang="en-US"/>
                  <a:t>Gigawatts</a:t>
                </a:r>
              </a:p>
            </c:rich>
          </c:tx>
        </c:title>
        <c:numFmt formatCode="#,##0" sourceLinked="0"/>
        <c:tickLblPos val="nextTo"/>
        <c:crossAx val="726874312"/>
        <c:crosses val="autoZero"/>
        <c:crossBetween val="midCat"/>
      </c:valAx>
    </c:plotArea>
    <c:plotVisOnly val="1"/>
    <c:dispBlanksAs val="gap"/>
  </c:chart>
  <c:txPr>
    <a:bodyPr/>
    <a:lstStyle/>
    <a:p>
      <a:pPr>
        <a:defRPr sz="1000" b="0">
          <a:latin typeface="Times New Roman"/>
          <a:cs typeface="Times New Roman"/>
        </a:defRPr>
      </a:pPr>
      <a:endParaRPr lang="en-US"/>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a:pPr>
            <a:r>
              <a:rPr lang="en-US"/>
              <a:t>OECD</a:t>
            </a:r>
          </a:p>
        </c:rich>
      </c:tx>
      <c:layout>
        <c:manualLayout>
          <c:xMode val="edge"/>
          <c:yMode val="edge"/>
          <c:x val="0.412941678661135"/>
          <c:y val="0.0"/>
        </c:manualLayout>
      </c:layout>
    </c:title>
    <c:plotArea>
      <c:layout>
        <c:manualLayout>
          <c:layoutTarget val="inner"/>
          <c:xMode val="edge"/>
          <c:yMode val="edge"/>
          <c:x val="0.189516481810741"/>
          <c:y val="0.096498970285378"/>
          <c:w val="0.74007598848531"/>
          <c:h val="0.738783291982589"/>
        </c:manualLayout>
      </c:layout>
      <c:scatterChart>
        <c:scatterStyle val="lineMarker"/>
        <c:ser>
          <c:idx val="0"/>
          <c:order val="0"/>
          <c:tx>
            <c:strRef>
              <c:f>'Figure 5.13'!$A$14</c:f>
              <c:strCache>
                <c:ptCount val="1"/>
                <c:pt idx="0">
                  <c:v>EIA IEO2011 Reference Case</c:v>
                </c:pt>
              </c:strCache>
            </c:strRef>
          </c:tx>
          <c:xVal>
            <c:numRef>
              <c:f>'Figure 5.13'!$B$13:$L$13</c:f>
              <c:numCache>
                <c:formatCode>General</c:formatCode>
                <c:ptCount val="11"/>
                <c:pt idx="0">
                  <c:v>2005.0</c:v>
                </c:pt>
                <c:pt idx="1">
                  <c:v>2009.0</c:v>
                </c:pt>
                <c:pt idx="2">
                  <c:v>2010.0</c:v>
                </c:pt>
                <c:pt idx="3">
                  <c:v>2015.0</c:v>
                </c:pt>
                <c:pt idx="4">
                  <c:v>2020.0</c:v>
                </c:pt>
                <c:pt idx="5">
                  <c:v>2025.0</c:v>
                </c:pt>
                <c:pt idx="6">
                  <c:v>2030.0</c:v>
                </c:pt>
                <c:pt idx="7">
                  <c:v>2035.0</c:v>
                </c:pt>
                <c:pt idx="8">
                  <c:v>2040.0</c:v>
                </c:pt>
                <c:pt idx="9">
                  <c:v>2045.0</c:v>
                </c:pt>
                <c:pt idx="10">
                  <c:v>2050.0</c:v>
                </c:pt>
              </c:numCache>
            </c:numRef>
          </c:xVal>
          <c:yVal>
            <c:numRef>
              <c:f>'Figure 5.13'!$B$14:$L$14</c:f>
              <c:numCache>
                <c:formatCode>General</c:formatCode>
                <c:ptCount val="11"/>
                <c:pt idx="0">
                  <c:v>2363.0</c:v>
                </c:pt>
                <c:pt idx="1">
                  <c:v>2530.0</c:v>
                </c:pt>
                <c:pt idx="2">
                  <c:v>2560.0</c:v>
                </c:pt>
                <c:pt idx="3">
                  <c:v>2684.0</c:v>
                </c:pt>
                <c:pt idx="4">
                  <c:v>2798.0</c:v>
                </c:pt>
                <c:pt idx="5">
                  <c:v>2917.0</c:v>
                </c:pt>
                <c:pt idx="6">
                  <c:v>3047.0</c:v>
                </c:pt>
                <c:pt idx="7">
                  <c:v>3181.0</c:v>
                </c:pt>
              </c:numCache>
            </c:numRef>
          </c:yVal>
        </c:ser>
        <c:ser>
          <c:idx val="1"/>
          <c:order val="1"/>
          <c:tx>
            <c:strRef>
              <c:f>'Figure 5.13'!$A$15</c:f>
              <c:strCache>
                <c:ptCount val="1"/>
                <c:pt idx="0">
                  <c:v>Gordon Hughes</c:v>
                </c:pt>
              </c:strCache>
            </c:strRef>
          </c:tx>
          <c:xVal>
            <c:numRef>
              <c:f>'Figure 5.13'!$B$13:$L$13</c:f>
              <c:numCache>
                <c:formatCode>General</c:formatCode>
                <c:ptCount val="11"/>
                <c:pt idx="0">
                  <c:v>2005.0</c:v>
                </c:pt>
                <c:pt idx="1">
                  <c:v>2009.0</c:v>
                </c:pt>
                <c:pt idx="2">
                  <c:v>2010.0</c:v>
                </c:pt>
                <c:pt idx="3">
                  <c:v>2015.0</c:v>
                </c:pt>
                <c:pt idx="4">
                  <c:v>2020.0</c:v>
                </c:pt>
                <c:pt idx="5">
                  <c:v>2025.0</c:v>
                </c:pt>
                <c:pt idx="6">
                  <c:v>2030.0</c:v>
                </c:pt>
                <c:pt idx="7">
                  <c:v>2035.0</c:v>
                </c:pt>
                <c:pt idx="8">
                  <c:v>2040.0</c:v>
                </c:pt>
                <c:pt idx="9">
                  <c:v>2045.0</c:v>
                </c:pt>
                <c:pt idx="10">
                  <c:v>2050.0</c:v>
                </c:pt>
              </c:numCache>
            </c:numRef>
          </c:xVal>
          <c:yVal>
            <c:numRef>
              <c:f>'Figure 5.13'!$B$15:$L$15</c:f>
              <c:numCache>
                <c:formatCode>General</c:formatCode>
                <c:ptCount val="11"/>
                <c:pt idx="0">
                  <c:v>1861.0</c:v>
                </c:pt>
                <c:pt idx="2">
                  <c:v>1981.0</c:v>
                </c:pt>
                <c:pt idx="3">
                  <c:v>2098.0</c:v>
                </c:pt>
                <c:pt idx="4">
                  <c:v>2209.0</c:v>
                </c:pt>
                <c:pt idx="5">
                  <c:v>2318.0</c:v>
                </c:pt>
                <c:pt idx="6">
                  <c:v>2424.0</c:v>
                </c:pt>
                <c:pt idx="7">
                  <c:v>2523.0</c:v>
                </c:pt>
                <c:pt idx="8">
                  <c:v>2618.0</c:v>
                </c:pt>
                <c:pt idx="9">
                  <c:v>2703.0</c:v>
                </c:pt>
                <c:pt idx="10">
                  <c:v>2784.0</c:v>
                </c:pt>
              </c:numCache>
            </c:numRef>
          </c:yVal>
        </c:ser>
        <c:ser>
          <c:idx val="2"/>
          <c:order val="2"/>
          <c:tx>
            <c:strRef>
              <c:f>'Figure 5.13'!$A$16</c:f>
              <c:strCache>
                <c:ptCount val="1"/>
                <c:pt idx="0">
                  <c:v>IEA WEO2011 Current Policies</c:v>
                </c:pt>
              </c:strCache>
            </c:strRef>
          </c:tx>
          <c:xVal>
            <c:numRef>
              <c:f>'Figure 5.13'!$B$13:$L$13</c:f>
              <c:numCache>
                <c:formatCode>General</c:formatCode>
                <c:ptCount val="11"/>
                <c:pt idx="0">
                  <c:v>2005.0</c:v>
                </c:pt>
                <c:pt idx="1">
                  <c:v>2009.0</c:v>
                </c:pt>
                <c:pt idx="2">
                  <c:v>2010.0</c:v>
                </c:pt>
                <c:pt idx="3">
                  <c:v>2015.0</c:v>
                </c:pt>
                <c:pt idx="4">
                  <c:v>2020.0</c:v>
                </c:pt>
                <c:pt idx="5">
                  <c:v>2025.0</c:v>
                </c:pt>
                <c:pt idx="6">
                  <c:v>2030.0</c:v>
                </c:pt>
                <c:pt idx="7">
                  <c:v>2035.0</c:v>
                </c:pt>
                <c:pt idx="8">
                  <c:v>2040.0</c:v>
                </c:pt>
                <c:pt idx="9">
                  <c:v>2045.0</c:v>
                </c:pt>
                <c:pt idx="10">
                  <c:v>2050.0</c:v>
                </c:pt>
              </c:numCache>
            </c:numRef>
          </c:xVal>
          <c:yVal>
            <c:numRef>
              <c:f>'Figure 5.13'!$B$16:$L$16</c:f>
              <c:numCache>
                <c:formatCode>General</c:formatCode>
                <c:ptCount val="11"/>
                <c:pt idx="1">
                  <c:v>2614.0</c:v>
                </c:pt>
                <c:pt idx="4">
                  <c:v>3127.0</c:v>
                </c:pt>
                <c:pt idx="6">
                  <c:v>3383.0</c:v>
                </c:pt>
                <c:pt idx="7">
                  <c:v>3512.0</c:v>
                </c:pt>
              </c:numCache>
            </c:numRef>
          </c:yVal>
        </c:ser>
        <c:ser>
          <c:idx val="3"/>
          <c:order val="3"/>
          <c:tx>
            <c:strRef>
              <c:f>'Figure 5.13'!$A$17</c:f>
              <c:strCache>
                <c:ptCount val="1"/>
                <c:pt idx="0">
                  <c:v>IEA WEO2011 New Policies</c:v>
                </c:pt>
              </c:strCache>
            </c:strRef>
          </c:tx>
          <c:xVal>
            <c:numRef>
              <c:f>'Figure 5.13'!$B$13:$L$13</c:f>
              <c:numCache>
                <c:formatCode>General</c:formatCode>
                <c:ptCount val="11"/>
                <c:pt idx="0">
                  <c:v>2005.0</c:v>
                </c:pt>
                <c:pt idx="1">
                  <c:v>2009.0</c:v>
                </c:pt>
                <c:pt idx="2">
                  <c:v>2010.0</c:v>
                </c:pt>
                <c:pt idx="3">
                  <c:v>2015.0</c:v>
                </c:pt>
                <c:pt idx="4">
                  <c:v>2020.0</c:v>
                </c:pt>
                <c:pt idx="5">
                  <c:v>2025.0</c:v>
                </c:pt>
                <c:pt idx="6">
                  <c:v>2030.0</c:v>
                </c:pt>
                <c:pt idx="7">
                  <c:v>2035.0</c:v>
                </c:pt>
                <c:pt idx="8">
                  <c:v>2040.0</c:v>
                </c:pt>
                <c:pt idx="9">
                  <c:v>2045.0</c:v>
                </c:pt>
                <c:pt idx="10">
                  <c:v>2050.0</c:v>
                </c:pt>
              </c:numCache>
            </c:numRef>
          </c:xVal>
          <c:yVal>
            <c:numRef>
              <c:f>'Figure 5.13'!$B$17:$L$17</c:f>
              <c:numCache>
                <c:formatCode>General</c:formatCode>
                <c:ptCount val="11"/>
                <c:pt idx="1">
                  <c:v>2614.0</c:v>
                </c:pt>
                <c:pt idx="3">
                  <c:v>3000.0</c:v>
                </c:pt>
                <c:pt idx="4">
                  <c:v>3149.0</c:v>
                </c:pt>
                <c:pt idx="5">
                  <c:v>3291.0</c:v>
                </c:pt>
                <c:pt idx="6">
                  <c:v>3446.0</c:v>
                </c:pt>
                <c:pt idx="7">
                  <c:v>3595.0</c:v>
                </c:pt>
              </c:numCache>
            </c:numRef>
          </c:yVal>
        </c:ser>
        <c:ser>
          <c:idx val="4"/>
          <c:order val="4"/>
          <c:tx>
            <c:strRef>
              <c:f>'Figure 5.13'!$A$18</c:f>
              <c:strCache>
                <c:ptCount val="1"/>
                <c:pt idx="0">
                  <c:v>IFs Base Case</c:v>
                </c:pt>
              </c:strCache>
            </c:strRef>
          </c:tx>
          <c:xVal>
            <c:numRef>
              <c:f>'Figure 5.13'!$B$13:$L$13</c:f>
              <c:numCache>
                <c:formatCode>General</c:formatCode>
                <c:ptCount val="11"/>
                <c:pt idx="0">
                  <c:v>2005.0</c:v>
                </c:pt>
                <c:pt idx="1">
                  <c:v>2009.0</c:v>
                </c:pt>
                <c:pt idx="2">
                  <c:v>2010.0</c:v>
                </c:pt>
                <c:pt idx="3">
                  <c:v>2015.0</c:v>
                </c:pt>
                <c:pt idx="4">
                  <c:v>2020.0</c:v>
                </c:pt>
                <c:pt idx="5">
                  <c:v>2025.0</c:v>
                </c:pt>
                <c:pt idx="6">
                  <c:v>2030.0</c:v>
                </c:pt>
                <c:pt idx="7">
                  <c:v>2035.0</c:v>
                </c:pt>
                <c:pt idx="8">
                  <c:v>2040.0</c:v>
                </c:pt>
                <c:pt idx="9">
                  <c:v>2045.0</c:v>
                </c:pt>
                <c:pt idx="10">
                  <c:v>2050.0</c:v>
                </c:pt>
              </c:numCache>
            </c:numRef>
          </c:xVal>
          <c:yVal>
            <c:numRef>
              <c:f>'Figure 5.13'!$B$18:$L$18</c:f>
              <c:numCache>
                <c:formatCode>#,##0</c:formatCode>
                <c:ptCount val="11"/>
                <c:pt idx="0">
                  <c:v>2378.0</c:v>
                </c:pt>
                <c:pt idx="1">
                  <c:v>2568.0</c:v>
                </c:pt>
                <c:pt idx="2">
                  <c:v>2614.0</c:v>
                </c:pt>
                <c:pt idx="3">
                  <c:v>2818.0</c:v>
                </c:pt>
                <c:pt idx="4">
                  <c:v>3016.0</c:v>
                </c:pt>
                <c:pt idx="5">
                  <c:v>3115.0</c:v>
                </c:pt>
                <c:pt idx="6">
                  <c:v>3195.0</c:v>
                </c:pt>
                <c:pt idx="7">
                  <c:v>3279.0</c:v>
                </c:pt>
                <c:pt idx="8">
                  <c:v>3346.0</c:v>
                </c:pt>
                <c:pt idx="9">
                  <c:v>3425.0</c:v>
                </c:pt>
                <c:pt idx="10">
                  <c:v>3483.0</c:v>
                </c:pt>
              </c:numCache>
            </c:numRef>
          </c:yVal>
        </c:ser>
        <c:axId val="726918968"/>
        <c:axId val="726926312"/>
      </c:scatterChart>
      <c:valAx>
        <c:axId val="726918968"/>
        <c:scaling>
          <c:orientation val="minMax"/>
          <c:max val="2050.0"/>
        </c:scaling>
        <c:axPos val="b"/>
        <c:title>
          <c:tx>
            <c:rich>
              <a:bodyPr/>
              <a:lstStyle/>
              <a:p>
                <a:pPr>
                  <a:defRPr/>
                </a:pPr>
                <a:r>
                  <a:rPr lang="en-US"/>
                  <a:t>Year</a:t>
                </a:r>
              </a:p>
            </c:rich>
          </c:tx>
        </c:title>
        <c:numFmt formatCode="General" sourceLinked="1"/>
        <c:tickLblPos val="low"/>
        <c:crossAx val="726926312"/>
        <c:crosses val="autoZero"/>
        <c:crossBetween val="midCat"/>
        <c:majorUnit val="20.0"/>
      </c:valAx>
      <c:valAx>
        <c:axId val="726926312"/>
        <c:scaling>
          <c:orientation val="minMax"/>
          <c:max val="8000.0"/>
          <c:min val="0.0"/>
        </c:scaling>
        <c:axPos val="l"/>
        <c:majorGridlines/>
        <c:numFmt formatCode="#,##0" sourceLinked="0"/>
        <c:tickLblPos val="nextTo"/>
        <c:crossAx val="726918968"/>
        <c:crosses val="autoZero"/>
        <c:crossBetween val="midCat"/>
        <c:majorUnit val="1000.0"/>
      </c:valAx>
    </c:plotArea>
    <c:plotVisOnly val="1"/>
    <c:dispBlanksAs val="gap"/>
  </c:chart>
  <c:txPr>
    <a:bodyPr/>
    <a:lstStyle/>
    <a:p>
      <a:pPr>
        <a:defRPr sz="1000" b="0">
          <a:latin typeface="Times New Roman"/>
          <a:cs typeface="Times New Roman"/>
        </a:defRPr>
      </a:pPr>
      <a:endParaRPr lang="en-US"/>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a:pPr>
            <a:r>
              <a:rPr lang="en-US" sz="1200">
                <a:latin typeface="Times New Roman"/>
                <a:cs typeface="Times New Roman"/>
              </a:rPr>
              <a:t>Roads investment in LAC</a:t>
            </a:r>
          </a:p>
        </c:rich>
      </c:tx>
      <c:layout>
        <c:manualLayout>
          <c:xMode val="edge"/>
          <c:yMode val="edge"/>
          <c:x val="0.192585010724591"/>
          <c:y val="0.0248015873015873"/>
        </c:manualLayout>
      </c:layout>
    </c:title>
    <c:plotArea>
      <c:layout>
        <c:manualLayout>
          <c:layoutTarget val="inner"/>
          <c:xMode val="edge"/>
          <c:yMode val="edge"/>
          <c:x val="0.191995682216742"/>
          <c:y val="0.200808102112236"/>
          <c:w val="0.729253680246491"/>
          <c:h val="0.624212598425197"/>
        </c:manualLayout>
      </c:layout>
      <c:lineChart>
        <c:grouping val="standard"/>
        <c:ser>
          <c:idx val="0"/>
          <c:order val="0"/>
          <c:tx>
            <c:v>IFs base case</c:v>
          </c:tx>
          <c:marker>
            <c:symbol val="none"/>
          </c:marker>
          <c:cat>
            <c:numRef>
              <c:f>'Latin America spending.CSV'!$C$2:$AG$2</c:f>
              <c:numCache>
                <c:formatCode>General</c:formatCode>
                <c:ptCount val="3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numCache>
            </c:numRef>
          </c:cat>
          <c:val>
            <c:numRef>
              <c:f>'Latin America spending.CSV'!$C$3:$AG$3</c:f>
              <c:numCache>
                <c:formatCode>General</c:formatCode>
                <c:ptCount val="31"/>
                <c:pt idx="0">
                  <c:v>0.214</c:v>
                </c:pt>
                <c:pt idx="1">
                  <c:v>0.319</c:v>
                </c:pt>
                <c:pt idx="2">
                  <c:v>0.404</c:v>
                </c:pt>
                <c:pt idx="3">
                  <c:v>0.478</c:v>
                </c:pt>
                <c:pt idx="4">
                  <c:v>0.54</c:v>
                </c:pt>
                <c:pt idx="5">
                  <c:v>0.597</c:v>
                </c:pt>
                <c:pt idx="6">
                  <c:v>0.651</c:v>
                </c:pt>
                <c:pt idx="7">
                  <c:v>0.702</c:v>
                </c:pt>
                <c:pt idx="8">
                  <c:v>0.749</c:v>
                </c:pt>
                <c:pt idx="9">
                  <c:v>0.782</c:v>
                </c:pt>
                <c:pt idx="10">
                  <c:v>0.81</c:v>
                </c:pt>
                <c:pt idx="11">
                  <c:v>0.835</c:v>
                </c:pt>
                <c:pt idx="12">
                  <c:v>0.851</c:v>
                </c:pt>
                <c:pt idx="13">
                  <c:v>0.861</c:v>
                </c:pt>
                <c:pt idx="14">
                  <c:v>0.865</c:v>
                </c:pt>
                <c:pt idx="15">
                  <c:v>0.862</c:v>
                </c:pt>
                <c:pt idx="16">
                  <c:v>0.854</c:v>
                </c:pt>
                <c:pt idx="17">
                  <c:v>0.841</c:v>
                </c:pt>
                <c:pt idx="18">
                  <c:v>0.825</c:v>
                </c:pt>
                <c:pt idx="19">
                  <c:v>0.805</c:v>
                </c:pt>
                <c:pt idx="20">
                  <c:v>0.782</c:v>
                </c:pt>
                <c:pt idx="21">
                  <c:v>0.758</c:v>
                </c:pt>
                <c:pt idx="22">
                  <c:v>0.732</c:v>
                </c:pt>
                <c:pt idx="23">
                  <c:v>0.705</c:v>
                </c:pt>
                <c:pt idx="24">
                  <c:v>0.678</c:v>
                </c:pt>
                <c:pt idx="25">
                  <c:v>0.651</c:v>
                </c:pt>
                <c:pt idx="26">
                  <c:v>0.624</c:v>
                </c:pt>
                <c:pt idx="27">
                  <c:v>0.597</c:v>
                </c:pt>
                <c:pt idx="28">
                  <c:v>0.57</c:v>
                </c:pt>
                <c:pt idx="29">
                  <c:v>0.544</c:v>
                </c:pt>
                <c:pt idx="30">
                  <c:v>0.518</c:v>
                </c:pt>
              </c:numCache>
            </c:numRef>
          </c:val>
        </c:ser>
        <c:ser>
          <c:idx val="1"/>
          <c:order val="1"/>
          <c:tx>
            <c:v>Kohli and Basil</c:v>
          </c:tx>
          <c:spPr>
            <a:ln>
              <a:noFill/>
            </a:ln>
          </c:spPr>
          <c:marker>
            <c:symbol val="square"/>
            <c:size val="5"/>
          </c:marker>
          <c:val>
            <c:numRef>
              <c:f>'Latin America spending.CSV'!$C$10:$AG$10</c:f>
              <c:numCache>
                <c:formatCode>General</c:formatCode>
                <c:ptCount val="31"/>
                <c:pt idx="3">
                  <c:v>0.51</c:v>
                </c:pt>
                <c:pt idx="8">
                  <c:v>0.5</c:v>
                </c:pt>
                <c:pt idx="13">
                  <c:v>0.47</c:v>
                </c:pt>
                <c:pt idx="18">
                  <c:v>0.44</c:v>
                </c:pt>
                <c:pt idx="23">
                  <c:v>0.41</c:v>
                </c:pt>
                <c:pt idx="28">
                  <c:v>0.39</c:v>
                </c:pt>
              </c:numCache>
            </c:numRef>
          </c:val>
        </c:ser>
        <c:marker val="1"/>
        <c:axId val="726952936"/>
        <c:axId val="726960040"/>
      </c:lineChart>
      <c:catAx>
        <c:axId val="726952936"/>
        <c:scaling>
          <c:orientation val="minMax"/>
        </c:scaling>
        <c:axPos val="b"/>
        <c:title>
          <c:tx>
            <c:rich>
              <a:bodyPr/>
              <a:lstStyle/>
              <a:p>
                <a:pPr>
                  <a:defRPr b="0"/>
                </a:pPr>
                <a:r>
                  <a:rPr lang="en-US" b="0"/>
                  <a:t>Year</a:t>
                </a:r>
              </a:p>
            </c:rich>
          </c:tx>
        </c:title>
        <c:numFmt formatCode="General" sourceLinked="1"/>
        <c:tickLblPos val="nextTo"/>
        <c:crossAx val="726960040"/>
        <c:crosses val="autoZero"/>
        <c:auto val="1"/>
        <c:lblAlgn val="ctr"/>
        <c:lblOffset val="100"/>
        <c:tickLblSkip val="5"/>
        <c:tickMarkSkip val="1"/>
      </c:catAx>
      <c:valAx>
        <c:axId val="726960040"/>
        <c:scaling>
          <c:orientation val="minMax"/>
        </c:scaling>
        <c:axPos val="l"/>
        <c:majorGridlines/>
        <c:title>
          <c:tx>
            <c:rich>
              <a:bodyPr/>
              <a:lstStyle/>
              <a:p>
                <a:pPr>
                  <a:defRPr>
                    <a:latin typeface="Times New Roman"/>
                    <a:cs typeface="Times New Roman"/>
                  </a:defRPr>
                </a:pPr>
                <a:r>
                  <a:rPr lang="en-US" b="0">
                    <a:latin typeface="Times New Roman"/>
                    <a:cs typeface="Times New Roman"/>
                  </a:rPr>
                  <a:t>Percent of GDP</a:t>
                </a:r>
              </a:p>
            </c:rich>
          </c:tx>
          <c:layout>
            <c:manualLayout>
              <c:xMode val="edge"/>
              <c:yMode val="edge"/>
              <c:x val="0.0"/>
              <c:y val="0.382781058617673"/>
            </c:manualLayout>
          </c:layout>
        </c:title>
        <c:numFmt formatCode="General" sourceLinked="1"/>
        <c:tickLblPos val="nextTo"/>
        <c:crossAx val="726952936"/>
        <c:crosses val="autoZero"/>
        <c:crossBetween val="between"/>
      </c:valAx>
    </c:plotArea>
    <c:legend>
      <c:legendPos val="t"/>
      <c:layout>
        <c:manualLayout>
          <c:xMode val="edge"/>
          <c:yMode val="edge"/>
          <c:x val="0.0728203229254728"/>
          <c:y val="0.116071428571429"/>
          <c:w val="0.845485890350663"/>
          <c:h val="0.0896969910011248"/>
        </c:manualLayout>
      </c:layout>
      <c:txPr>
        <a:bodyPr/>
        <a:lstStyle/>
        <a:p>
          <a:pPr>
            <a:defRPr>
              <a:latin typeface="Times New Roman"/>
              <a:cs typeface="Times New Roman"/>
            </a:defRPr>
          </a:pPr>
          <a:endParaRPr lang="en-US"/>
        </a:p>
      </c:txPr>
    </c:legend>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a:pPr>
            <a:r>
              <a:rPr lang="en-US" sz="1200">
                <a:latin typeface="Times New Roman"/>
                <a:cs typeface="Times New Roman"/>
              </a:rPr>
              <a:t>Electricity investment in LAC</a:t>
            </a:r>
          </a:p>
        </c:rich>
      </c:tx>
    </c:title>
    <c:plotArea>
      <c:layout>
        <c:manualLayout>
          <c:layoutTarget val="inner"/>
          <c:xMode val="edge"/>
          <c:yMode val="edge"/>
          <c:x val="0.177182471756248"/>
          <c:y val="0.200194897512811"/>
          <c:w val="0.744120338994893"/>
          <c:h val="0.639706755405574"/>
        </c:manualLayout>
      </c:layout>
      <c:lineChart>
        <c:grouping val="standard"/>
        <c:ser>
          <c:idx val="0"/>
          <c:order val="0"/>
          <c:tx>
            <c:v>IFs base case</c:v>
          </c:tx>
          <c:marker>
            <c:symbol val="none"/>
          </c:marker>
          <c:cat>
            <c:numRef>
              <c:f>'Latin America spending.CSV'!$C$2:$AG$2</c:f>
              <c:numCache>
                <c:formatCode>General</c:formatCode>
                <c:ptCount val="3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numCache>
            </c:numRef>
          </c:cat>
          <c:val>
            <c:numRef>
              <c:f>'Latin America spending.CSV'!$C$4:$AG$4</c:f>
              <c:numCache>
                <c:formatCode>General</c:formatCode>
                <c:ptCount val="31"/>
                <c:pt idx="0">
                  <c:v>0.863</c:v>
                </c:pt>
                <c:pt idx="1">
                  <c:v>0.833</c:v>
                </c:pt>
                <c:pt idx="2">
                  <c:v>0.772</c:v>
                </c:pt>
                <c:pt idx="3">
                  <c:v>0.762</c:v>
                </c:pt>
                <c:pt idx="4">
                  <c:v>0.777</c:v>
                </c:pt>
                <c:pt idx="5">
                  <c:v>0.808</c:v>
                </c:pt>
                <c:pt idx="6">
                  <c:v>0.837</c:v>
                </c:pt>
                <c:pt idx="7">
                  <c:v>0.856</c:v>
                </c:pt>
                <c:pt idx="8">
                  <c:v>0.868</c:v>
                </c:pt>
                <c:pt idx="9">
                  <c:v>0.859</c:v>
                </c:pt>
                <c:pt idx="10">
                  <c:v>0.837</c:v>
                </c:pt>
                <c:pt idx="11">
                  <c:v>0.812</c:v>
                </c:pt>
                <c:pt idx="12">
                  <c:v>0.788</c:v>
                </c:pt>
                <c:pt idx="13">
                  <c:v>0.766</c:v>
                </c:pt>
                <c:pt idx="14">
                  <c:v>0.751</c:v>
                </c:pt>
                <c:pt idx="15">
                  <c:v>0.741</c:v>
                </c:pt>
                <c:pt idx="16">
                  <c:v>0.734</c:v>
                </c:pt>
                <c:pt idx="17">
                  <c:v>0.731</c:v>
                </c:pt>
                <c:pt idx="18">
                  <c:v>0.729</c:v>
                </c:pt>
                <c:pt idx="19">
                  <c:v>0.723</c:v>
                </c:pt>
                <c:pt idx="20">
                  <c:v>0.711</c:v>
                </c:pt>
                <c:pt idx="21">
                  <c:v>0.695</c:v>
                </c:pt>
                <c:pt idx="22">
                  <c:v>0.673</c:v>
                </c:pt>
                <c:pt idx="23">
                  <c:v>0.648</c:v>
                </c:pt>
                <c:pt idx="24">
                  <c:v>0.621</c:v>
                </c:pt>
                <c:pt idx="25">
                  <c:v>0.595</c:v>
                </c:pt>
                <c:pt idx="26">
                  <c:v>0.573</c:v>
                </c:pt>
                <c:pt idx="27">
                  <c:v>0.554</c:v>
                </c:pt>
                <c:pt idx="28">
                  <c:v>0.538</c:v>
                </c:pt>
                <c:pt idx="29">
                  <c:v>0.524</c:v>
                </c:pt>
                <c:pt idx="30">
                  <c:v>0.512</c:v>
                </c:pt>
              </c:numCache>
            </c:numRef>
          </c:val>
        </c:ser>
        <c:ser>
          <c:idx val="1"/>
          <c:order val="1"/>
          <c:tx>
            <c:v>Kohli and Basil</c:v>
          </c:tx>
          <c:spPr>
            <a:ln>
              <a:noFill/>
            </a:ln>
          </c:spPr>
          <c:marker>
            <c:symbol val="square"/>
            <c:size val="5"/>
          </c:marker>
          <c:val>
            <c:numRef>
              <c:f>'Latin America spending.CSV'!$C$11:$AG$11</c:f>
              <c:numCache>
                <c:formatCode>General</c:formatCode>
                <c:ptCount val="31"/>
                <c:pt idx="3">
                  <c:v>2.28</c:v>
                </c:pt>
                <c:pt idx="8">
                  <c:v>2.39</c:v>
                </c:pt>
                <c:pt idx="13">
                  <c:v>2.49</c:v>
                </c:pt>
                <c:pt idx="18">
                  <c:v>2.56</c:v>
                </c:pt>
                <c:pt idx="23">
                  <c:v>2.63</c:v>
                </c:pt>
                <c:pt idx="28">
                  <c:v>2.71</c:v>
                </c:pt>
              </c:numCache>
            </c:numRef>
          </c:val>
        </c:ser>
        <c:marker val="1"/>
        <c:axId val="726992808"/>
        <c:axId val="727000168"/>
      </c:lineChart>
      <c:catAx>
        <c:axId val="726992808"/>
        <c:scaling>
          <c:orientation val="minMax"/>
        </c:scaling>
        <c:axPos val="b"/>
        <c:title>
          <c:tx>
            <c:rich>
              <a:bodyPr/>
              <a:lstStyle/>
              <a:p>
                <a:pPr>
                  <a:defRPr b="0">
                    <a:latin typeface="Times New Roman"/>
                    <a:cs typeface="Times New Roman"/>
                  </a:defRPr>
                </a:pPr>
                <a:r>
                  <a:rPr lang="en-US" b="0">
                    <a:latin typeface="Times New Roman"/>
                    <a:cs typeface="Times New Roman"/>
                  </a:rPr>
                  <a:t>Year</a:t>
                </a:r>
              </a:p>
            </c:rich>
          </c:tx>
        </c:title>
        <c:numFmt formatCode="General" sourceLinked="1"/>
        <c:tickLblPos val="nextTo"/>
        <c:crossAx val="727000168"/>
        <c:crosses val="autoZero"/>
        <c:auto val="1"/>
        <c:lblAlgn val="ctr"/>
        <c:lblOffset val="100"/>
        <c:tickLblSkip val="5"/>
        <c:tickMarkSkip val="1"/>
      </c:catAx>
      <c:valAx>
        <c:axId val="727000168"/>
        <c:scaling>
          <c:orientation val="minMax"/>
        </c:scaling>
        <c:axPos val="l"/>
        <c:majorGridlines/>
        <c:title>
          <c:tx>
            <c:rich>
              <a:bodyPr/>
              <a:lstStyle/>
              <a:p>
                <a:pPr>
                  <a:defRPr/>
                </a:pPr>
                <a:r>
                  <a:rPr lang="en-US" b="0">
                    <a:latin typeface="Times New Roman"/>
                    <a:cs typeface="Times New Roman"/>
                  </a:rPr>
                  <a:t>Precent of GDP</a:t>
                </a:r>
              </a:p>
            </c:rich>
          </c:tx>
        </c:title>
        <c:numFmt formatCode="General" sourceLinked="1"/>
        <c:tickLblPos val="nextTo"/>
        <c:crossAx val="726992808"/>
        <c:crosses val="autoZero"/>
        <c:crossBetween val="between"/>
      </c:valAx>
    </c:plotArea>
    <c:legend>
      <c:legendPos val="t"/>
      <c:layout>
        <c:manualLayout>
          <c:xMode val="edge"/>
          <c:yMode val="edge"/>
          <c:x val="0.0596482893054517"/>
          <c:y val="0.116071428571429"/>
          <c:w val="0.871829957590705"/>
          <c:h val="0.0841234689413823"/>
        </c:manualLayout>
      </c:layout>
      <c:txPr>
        <a:bodyPr/>
        <a:lstStyle/>
        <a:p>
          <a:pPr>
            <a:defRPr>
              <a:latin typeface="Times New Roman"/>
              <a:cs typeface="Times New Roman"/>
            </a:defRPr>
          </a:pPr>
          <a:endParaRPr lang="en-US"/>
        </a:p>
      </c:txPr>
    </c:legend>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wrap="none"/>
          <a:lstStyle/>
          <a:p>
            <a:pPr>
              <a:defRPr/>
            </a:pPr>
            <a:r>
              <a:rPr lang="en-US" sz="1200">
                <a:latin typeface="Times New Roman"/>
                <a:cs typeface="Times New Roman"/>
              </a:rPr>
              <a:t>Water and sanitation investment in LAC</a:t>
            </a:r>
          </a:p>
        </c:rich>
      </c:tx>
      <c:layout>
        <c:manualLayout>
          <c:xMode val="edge"/>
          <c:yMode val="edge"/>
          <c:x val="0.0310614128505502"/>
          <c:y val="0.0294117647058823"/>
        </c:manualLayout>
      </c:layout>
    </c:title>
    <c:plotArea>
      <c:layout>
        <c:manualLayout>
          <c:layoutTarget val="inner"/>
          <c:xMode val="edge"/>
          <c:yMode val="edge"/>
          <c:x val="0.190829231409971"/>
          <c:y val="0.200406438165817"/>
          <c:w val="0.730793285423986"/>
          <c:h val="0.616868920796665"/>
        </c:manualLayout>
      </c:layout>
      <c:lineChart>
        <c:grouping val="standard"/>
        <c:ser>
          <c:idx val="0"/>
          <c:order val="0"/>
          <c:tx>
            <c:v>IFs base case</c:v>
          </c:tx>
          <c:marker>
            <c:symbol val="none"/>
          </c:marker>
          <c:cat>
            <c:numRef>
              <c:f>'Latin America spending.CSV'!$C$2:$AG$2</c:f>
              <c:numCache>
                <c:formatCode>General</c:formatCode>
                <c:ptCount val="3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numCache>
            </c:numRef>
          </c:cat>
          <c:val>
            <c:numRef>
              <c:f>'Latin America spending.CSV'!$C$6:$AG$6</c:f>
              <c:numCache>
                <c:formatCode>General</c:formatCode>
                <c:ptCount val="31"/>
                <c:pt idx="0">
                  <c:v>0.178</c:v>
                </c:pt>
                <c:pt idx="1">
                  <c:v>0.171</c:v>
                </c:pt>
                <c:pt idx="2">
                  <c:v>0.193</c:v>
                </c:pt>
                <c:pt idx="3">
                  <c:v>0.208</c:v>
                </c:pt>
                <c:pt idx="4">
                  <c:v>0.216</c:v>
                </c:pt>
                <c:pt idx="5">
                  <c:v>0.224</c:v>
                </c:pt>
                <c:pt idx="6">
                  <c:v>0.225</c:v>
                </c:pt>
                <c:pt idx="7">
                  <c:v>0.222</c:v>
                </c:pt>
                <c:pt idx="8">
                  <c:v>0.213</c:v>
                </c:pt>
                <c:pt idx="9">
                  <c:v>0.2</c:v>
                </c:pt>
                <c:pt idx="10">
                  <c:v>0.184</c:v>
                </c:pt>
                <c:pt idx="11">
                  <c:v>0.17</c:v>
                </c:pt>
                <c:pt idx="12">
                  <c:v>0.158</c:v>
                </c:pt>
                <c:pt idx="13">
                  <c:v>0.147</c:v>
                </c:pt>
                <c:pt idx="14">
                  <c:v>0.139</c:v>
                </c:pt>
                <c:pt idx="15">
                  <c:v>0.131</c:v>
                </c:pt>
                <c:pt idx="16">
                  <c:v>0.127</c:v>
                </c:pt>
                <c:pt idx="17">
                  <c:v>0.124</c:v>
                </c:pt>
                <c:pt idx="18">
                  <c:v>0.122</c:v>
                </c:pt>
                <c:pt idx="19">
                  <c:v>0.122</c:v>
                </c:pt>
                <c:pt idx="20">
                  <c:v>0.123</c:v>
                </c:pt>
                <c:pt idx="21">
                  <c:v>0.121</c:v>
                </c:pt>
                <c:pt idx="22">
                  <c:v>0.119</c:v>
                </c:pt>
                <c:pt idx="23">
                  <c:v>0.115</c:v>
                </c:pt>
                <c:pt idx="24">
                  <c:v>0.112</c:v>
                </c:pt>
                <c:pt idx="25">
                  <c:v>0.109</c:v>
                </c:pt>
                <c:pt idx="26">
                  <c:v>0.105</c:v>
                </c:pt>
                <c:pt idx="27">
                  <c:v>0.102</c:v>
                </c:pt>
                <c:pt idx="28">
                  <c:v>0.099</c:v>
                </c:pt>
                <c:pt idx="29">
                  <c:v>0.094</c:v>
                </c:pt>
                <c:pt idx="30">
                  <c:v>0.092</c:v>
                </c:pt>
              </c:numCache>
            </c:numRef>
          </c:val>
        </c:ser>
        <c:ser>
          <c:idx val="1"/>
          <c:order val="1"/>
          <c:tx>
            <c:v>Kohli and Basil</c:v>
          </c:tx>
          <c:spPr>
            <a:ln>
              <a:noFill/>
            </a:ln>
          </c:spPr>
          <c:marker>
            <c:symbol val="square"/>
            <c:size val="5"/>
          </c:marker>
          <c:val>
            <c:numRef>
              <c:f>'Latin America spending.CSV'!$C$13:$AG$13</c:f>
              <c:numCache>
                <c:formatCode>General</c:formatCode>
                <c:ptCount val="31"/>
                <c:pt idx="3">
                  <c:v>0.14</c:v>
                </c:pt>
                <c:pt idx="8">
                  <c:v>0.12</c:v>
                </c:pt>
                <c:pt idx="13">
                  <c:v>0.1</c:v>
                </c:pt>
                <c:pt idx="18">
                  <c:v>0.09</c:v>
                </c:pt>
                <c:pt idx="23">
                  <c:v>0.08</c:v>
                </c:pt>
                <c:pt idx="28">
                  <c:v>0.07</c:v>
                </c:pt>
              </c:numCache>
            </c:numRef>
          </c:val>
        </c:ser>
        <c:marker val="1"/>
        <c:axId val="727032312"/>
        <c:axId val="727039416"/>
      </c:lineChart>
      <c:catAx>
        <c:axId val="727032312"/>
        <c:scaling>
          <c:orientation val="minMax"/>
        </c:scaling>
        <c:axPos val="b"/>
        <c:title>
          <c:tx>
            <c:rich>
              <a:bodyPr/>
              <a:lstStyle/>
              <a:p>
                <a:pPr>
                  <a:defRPr b="0"/>
                </a:pPr>
                <a:r>
                  <a:rPr lang="en-US" b="0"/>
                  <a:t>Year</a:t>
                </a:r>
              </a:p>
            </c:rich>
          </c:tx>
        </c:title>
        <c:numFmt formatCode="General" sourceLinked="1"/>
        <c:tickLblPos val="nextTo"/>
        <c:crossAx val="727039416"/>
        <c:crosses val="autoZero"/>
        <c:auto val="1"/>
        <c:lblAlgn val="ctr"/>
        <c:lblOffset val="100"/>
        <c:tickLblSkip val="5"/>
        <c:tickMarkSkip val="1"/>
      </c:catAx>
      <c:valAx>
        <c:axId val="727039416"/>
        <c:scaling>
          <c:orientation val="minMax"/>
        </c:scaling>
        <c:axPos val="l"/>
        <c:majorGridlines/>
        <c:title>
          <c:tx>
            <c:rich>
              <a:bodyPr/>
              <a:lstStyle/>
              <a:p>
                <a:pPr>
                  <a:defRPr b="0"/>
                </a:pPr>
                <a:r>
                  <a:rPr lang="en-US" b="0"/>
                  <a:t>Percent of GDP</a:t>
                </a:r>
              </a:p>
            </c:rich>
          </c:tx>
        </c:title>
        <c:numFmt formatCode="General" sourceLinked="1"/>
        <c:tickLblPos val="nextTo"/>
        <c:crossAx val="727032312"/>
        <c:crosses val="autoZero"/>
        <c:crossBetween val="between"/>
      </c:valAx>
    </c:plotArea>
    <c:legend>
      <c:legendPos val="t"/>
      <c:layout>
        <c:manualLayout>
          <c:xMode val="edge"/>
          <c:yMode val="edge"/>
          <c:x val="0.0727445011865529"/>
          <c:y val="0.114705882352941"/>
          <c:w val="0.871984701992123"/>
          <c:h val="0.0831337810714837"/>
        </c:manualLayout>
      </c:layout>
      <c:txPr>
        <a:bodyPr/>
        <a:lstStyle/>
        <a:p>
          <a:pPr>
            <a:defRPr>
              <a:latin typeface="Times New Roman"/>
              <a:cs typeface="Times New Roman"/>
            </a:defRPr>
          </a:pPr>
          <a:endParaRPr lang="en-US"/>
        </a:p>
      </c:txPr>
    </c:legend>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en-US"/>
  <c:style val="2"/>
  <c:chart>
    <c:title>
      <c:tx>
        <c:rich>
          <a:bodyPr/>
          <a:lstStyle/>
          <a:p>
            <a:pPr>
              <a:defRPr/>
            </a:pPr>
            <a:r>
              <a:rPr lang="en-US" sz="1200">
                <a:latin typeface="Times New Roman"/>
                <a:cs typeface="Times New Roman"/>
              </a:rPr>
              <a:t>ICT investment in LAC</a:t>
            </a:r>
          </a:p>
        </c:rich>
      </c:tx>
    </c:title>
    <c:plotArea>
      <c:layout>
        <c:manualLayout>
          <c:layoutTarget val="inner"/>
          <c:xMode val="edge"/>
          <c:yMode val="edge"/>
          <c:x val="0.178717726178796"/>
          <c:y val="0.203347614636406"/>
          <c:w val="0.742508224810557"/>
          <c:h val="0.613927744326077"/>
        </c:manualLayout>
      </c:layout>
      <c:lineChart>
        <c:grouping val="standard"/>
        <c:ser>
          <c:idx val="0"/>
          <c:order val="0"/>
          <c:tx>
            <c:v>IFs base case</c:v>
          </c:tx>
          <c:marker>
            <c:symbol val="none"/>
          </c:marker>
          <c:cat>
            <c:numRef>
              <c:f>'Latin America spending.CSV'!$C$2:$AG$2</c:f>
              <c:numCache>
                <c:formatCode>General</c:formatCode>
                <c:ptCount val="3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numCache>
            </c:numRef>
          </c:cat>
          <c:val>
            <c:numRef>
              <c:f>'Latin America spending.CSV'!$C$5:$AG$5</c:f>
              <c:numCache>
                <c:formatCode>General</c:formatCode>
                <c:ptCount val="31"/>
                <c:pt idx="0">
                  <c:v>0.598</c:v>
                </c:pt>
                <c:pt idx="1">
                  <c:v>0.488</c:v>
                </c:pt>
                <c:pt idx="2">
                  <c:v>0.466</c:v>
                </c:pt>
                <c:pt idx="3">
                  <c:v>0.449</c:v>
                </c:pt>
                <c:pt idx="4">
                  <c:v>0.423</c:v>
                </c:pt>
                <c:pt idx="5">
                  <c:v>0.4</c:v>
                </c:pt>
                <c:pt idx="6">
                  <c:v>0.378</c:v>
                </c:pt>
                <c:pt idx="7">
                  <c:v>0.356</c:v>
                </c:pt>
                <c:pt idx="8">
                  <c:v>0.337</c:v>
                </c:pt>
                <c:pt idx="9">
                  <c:v>0.318</c:v>
                </c:pt>
                <c:pt idx="10">
                  <c:v>0.303</c:v>
                </c:pt>
                <c:pt idx="11">
                  <c:v>0.289</c:v>
                </c:pt>
                <c:pt idx="12">
                  <c:v>0.278</c:v>
                </c:pt>
                <c:pt idx="13">
                  <c:v>0.267</c:v>
                </c:pt>
                <c:pt idx="14">
                  <c:v>0.257</c:v>
                </c:pt>
                <c:pt idx="15">
                  <c:v>0.242</c:v>
                </c:pt>
                <c:pt idx="16">
                  <c:v>0.234</c:v>
                </c:pt>
                <c:pt idx="17">
                  <c:v>0.227</c:v>
                </c:pt>
                <c:pt idx="18">
                  <c:v>0.222</c:v>
                </c:pt>
                <c:pt idx="19">
                  <c:v>0.216</c:v>
                </c:pt>
                <c:pt idx="20">
                  <c:v>0.211</c:v>
                </c:pt>
                <c:pt idx="21">
                  <c:v>0.206</c:v>
                </c:pt>
                <c:pt idx="22">
                  <c:v>0.202</c:v>
                </c:pt>
                <c:pt idx="23">
                  <c:v>0.197</c:v>
                </c:pt>
                <c:pt idx="24">
                  <c:v>0.194</c:v>
                </c:pt>
                <c:pt idx="25">
                  <c:v>0.189</c:v>
                </c:pt>
                <c:pt idx="26">
                  <c:v>0.186</c:v>
                </c:pt>
                <c:pt idx="27">
                  <c:v>0.183</c:v>
                </c:pt>
                <c:pt idx="28">
                  <c:v>0.179</c:v>
                </c:pt>
                <c:pt idx="29">
                  <c:v>0.177</c:v>
                </c:pt>
                <c:pt idx="30">
                  <c:v>0.174</c:v>
                </c:pt>
              </c:numCache>
            </c:numRef>
          </c:val>
        </c:ser>
        <c:ser>
          <c:idx val="1"/>
          <c:order val="1"/>
          <c:tx>
            <c:v>Kohli and Basil</c:v>
          </c:tx>
          <c:spPr>
            <a:ln>
              <a:noFill/>
            </a:ln>
          </c:spPr>
          <c:marker>
            <c:symbol val="square"/>
            <c:size val="5"/>
          </c:marker>
          <c:val>
            <c:numRef>
              <c:f>'Latin America spending.CSV'!$C$12:$AG$12</c:f>
              <c:numCache>
                <c:formatCode>General</c:formatCode>
                <c:ptCount val="31"/>
                <c:pt idx="3">
                  <c:v>0.33</c:v>
                </c:pt>
                <c:pt idx="8">
                  <c:v>0.23</c:v>
                </c:pt>
                <c:pt idx="13">
                  <c:v>0.15</c:v>
                </c:pt>
                <c:pt idx="18">
                  <c:v>0.14</c:v>
                </c:pt>
                <c:pt idx="23">
                  <c:v>0.12</c:v>
                </c:pt>
                <c:pt idx="28">
                  <c:v>0.11</c:v>
                </c:pt>
              </c:numCache>
            </c:numRef>
          </c:val>
        </c:ser>
        <c:marker val="1"/>
        <c:axId val="727071256"/>
        <c:axId val="727078360"/>
      </c:lineChart>
      <c:catAx>
        <c:axId val="727071256"/>
        <c:scaling>
          <c:orientation val="minMax"/>
        </c:scaling>
        <c:axPos val="b"/>
        <c:title>
          <c:tx>
            <c:rich>
              <a:bodyPr/>
              <a:lstStyle/>
              <a:p>
                <a:pPr>
                  <a:defRPr b="0"/>
                </a:pPr>
                <a:r>
                  <a:rPr lang="en-US" b="0"/>
                  <a:t>Year</a:t>
                </a:r>
              </a:p>
            </c:rich>
          </c:tx>
        </c:title>
        <c:numFmt formatCode="General" sourceLinked="1"/>
        <c:tickLblPos val="nextTo"/>
        <c:crossAx val="727078360"/>
        <c:crosses val="autoZero"/>
        <c:auto val="1"/>
        <c:lblAlgn val="ctr"/>
        <c:lblOffset val="100"/>
        <c:tickLblSkip val="5"/>
        <c:tickMarkSkip val="1"/>
      </c:catAx>
      <c:valAx>
        <c:axId val="727078360"/>
        <c:scaling>
          <c:orientation val="minMax"/>
        </c:scaling>
        <c:axPos val="l"/>
        <c:majorGridlines/>
        <c:title>
          <c:tx>
            <c:rich>
              <a:bodyPr/>
              <a:lstStyle/>
              <a:p>
                <a:pPr>
                  <a:defRPr b="0">
                    <a:latin typeface="Times New Roman"/>
                    <a:cs typeface="Times New Roman"/>
                  </a:defRPr>
                </a:pPr>
                <a:r>
                  <a:rPr lang="en-US" b="0">
                    <a:latin typeface="Times New Roman"/>
                    <a:cs typeface="Times New Roman"/>
                  </a:rPr>
                  <a:t>Percent of GDP</a:t>
                </a:r>
              </a:p>
            </c:rich>
          </c:tx>
        </c:title>
        <c:numFmt formatCode="General" sourceLinked="1"/>
        <c:tickLblPos val="nextTo"/>
        <c:crossAx val="727071256"/>
        <c:crosses val="autoZero"/>
        <c:crossBetween val="between"/>
      </c:valAx>
    </c:plotArea>
    <c:legend>
      <c:legendPos val="t"/>
      <c:layout>
        <c:manualLayout>
          <c:xMode val="edge"/>
          <c:yMode val="edge"/>
          <c:x val="0.0949312246512317"/>
          <c:y val="0.114705882352941"/>
          <c:w val="0.871984701992123"/>
          <c:h val="0.0831337810714837"/>
        </c:manualLayout>
      </c:layout>
      <c:txPr>
        <a:bodyPr/>
        <a:lstStyle/>
        <a:p>
          <a:pPr>
            <a:defRPr>
              <a:latin typeface="Times New Roman"/>
              <a:cs typeface="Times New Roman"/>
            </a:defRPr>
          </a:pPr>
          <a:endParaRPr lang="en-U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18"/>
  <c:chart>
    <c:title>
      <c:txPr>
        <a:bodyPr/>
        <a:lstStyle/>
        <a:p>
          <a:pPr>
            <a:defRPr sz="1200" b="1">
              <a:latin typeface="Times New Roman"/>
              <a:cs typeface="Times New Roman"/>
            </a:defRPr>
          </a:pPr>
          <a:endParaRPr lang="en-US"/>
        </a:p>
      </c:txPr>
    </c:title>
    <c:plotArea>
      <c:layout/>
      <c:pieChart>
        <c:varyColors val="1"/>
        <c:ser>
          <c:idx val="0"/>
          <c:order val="0"/>
          <c:tx>
            <c:strRef>
              <c:f>'Figure 2.1'!$K$17</c:f>
              <c:strCache>
                <c:ptCount val="1"/>
                <c:pt idx="0">
                  <c:v>1990</c:v>
                </c:pt>
              </c:strCache>
            </c:strRef>
          </c:tx>
          <c:explosion val="7"/>
          <c:dLbls>
            <c:dLbl>
              <c:idx val="0"/>
              <c:dLblPos val="outEnd"/>
              <c:showPercent val="1"/>
            </c:dLbl>
            <c:dLbl>
              <c:idx val="1"/>
              <c:dLblPos val="outEnd"/>
              <c:showPercent val="1"/>
            </c:dLbl>
            <c:dLbl>
              <c:idx val="2"/>
              <c:dLblPos val="outEnd"/>
              <c:showPercent val="1"/>
            </c:dLbl>
            <c:dLbl>
              <c:idx val="3"/>
              <c:dLblPos val="outEnd"/>
              <c:showPercent val="1"/>
            </c:dLbl>
            <c:txPr>
              <a:bodyPr/>
              <a:lstStyle/>
              <a:p>
                <a:pPr>
                  <a:defRPr sz="1200" b="1"/>
                </a:pPr>
                <a:endParaRPr lang="en-US"/>
              </a:p>
            </c:txPr>
            <c:showPercent val="1"/>
            <c:showLeaderLines val="1"/>
          </c:dLbls>
          <c:cat>
            <c:strRef>
              <c:f>'Figure 2.1'!$H$18:$H$24</c:f>
              <c:strCache>
                <c:ptCount val="7"/>
                <c:pt idx="0">
                  <c:v>East Asia and Pacific</c:v>
                </c:pt>
                <c:pt idx="1">
                  <c:v>Europe and Central Asia</c:v>
                </c:pt>
                <c:pt idx="2">
                  <c:v>Latin America and the Caribbean</c:v>
                </c:pt>
                <c:pt idx="3">
                  <c:v>Middle East and North Africa</c:v>
                </c:pt>
                <c:pt idx="4">
                  <c:v>South Asia</c:v>
                </c:pt>
                <c:pt idx="5">
                  <c:v>Sub-Saharan Africa</c:v>
                </c:pt>
                <c:pt idx="6">
                  <c:v>High-income countries</c:v>
                </c:pt>
              </c:strCache>
            </c:strRef>
          </c:cat>
          <c:val>
            <c:numRef>
              <c:f>'Figure 2.1'!$K$18:$K$24</c:f>
              <c:numCache>
                <c:formatCode>0.00%</c:formatCode>
                <c:ptCount val="7"/>
                <c:pt idx="0">
                  <c:v>0.077</c:v>
                </c:pt>
                <c:pt idx="1">
                  <c:v>0.089</c:v>
                </c:pt>
                <c:pt idx="2">
                  <c:v>0.1126</c:v>
                </c:pt>
                <c:pt idx="3">
                  <c:v>0.0183</c:v>
                </c:pt>
                <c:pt idx="4">
                  <c:v>0.0917</c:v>
                </c:pt>
                <c:pt idx="5">
                  <c:v>0.0561</c:v>
                </c:pt>
                <c:pt idx="6">
                  <c:v>0.5553</c:v>
                </c:pt>
              </c:numCache>
            </c:numRef>
          </c:val>
        </c:ser>
        <c:dLbls>
          <c:showPercent val="1"/>
        </c:dLbls>
        <c:firstSliceAng val="0"/>
      </c:pieChart>
    </c:plotArea>
    <c:plotVisOnly val="1"/>
  </c:chart>
  <c:spPr>
    <a:ln>
      <a:noFill/>
    </a:ln>
  </c:sp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0586670676582094"/>
          <c:y val="0.176388135250322"/>
          <c:w val="0.915869969378828"/>
          <c:h val="0.713774101361373"/>
        </c:manualLayout>
      </c:layout>
      <c:lineChart>
        <c:grouping val="standard"/>
        <c:ser>
          <c:idx val="0"/>
          <c:order val="0"/>
          <c:tx>
            <c:strRef>
              <c:f>'Electricty Connections data'!$A$3:$B$3</c:f>
              <c:strCache>
                <c:ptCount val="1"/>
                <c:pt idx="0">
                  <c:v>Low-income economies IFs</c:v>
                </c:pt>
              </c:strCache>
            </c:strRef>
          </c:tx>
          <c:spPr>
            <a:ln>
              <a:solidFill>
                <a:schemeClr val="accent1"/>
              </a:solidFill>
            </a:ln>
          </c:spPr>
          <c:marker>
            <c:symbol val="none"/>
          </c:marker>
          <c:cat>
            <c:numRef>
              <c:f>'Electricty Connections data'!$C$2:$K$2</c:f>
              <c:numCache>
                <c:formatCode>General</c:formatCode>
                <c:ptCount val="9"/>
                <c:pt idx="0">
                  <c:v>2010.0</c:v>
                </c:pt>
                <c:pt idx="1">
                  <c:v>2015.0</c:v>
                </c:pt>
                <c:pt idx="2">
                  <c:v>2020.0</c:v>
                </c:pt>
                <c:pt idx="3">
                  <c:v>2025.0</c:v>
                </c:pt>
                <c:pt idx="4">
                  <c:v>2030.0</c:v>
                </c:pt>
                <c:pt idx="5">
                  <c:v>2035.0</c:v>
                </c:pt>
                <c:pt idx="6">
                  <c:v>2040.0</c:v>
                </c:pt>
                <c:pt idx="7">
                  <c:v>2045.0</c:v>
                </c:pt>
                <c:pt idx="8">
                  <c:v>2050.0</c:v>
                </c:pt>
              </c:numCache>
            </c:numRef>
          </c:cat>
          <c:val>
            <c:numRef>
              <c:f>'Electricty Connections data'!$C$3:$K$3</c:f>
              <c:numCache>
                <c:formatCode>General</c:formatCode>
                <c:ptCount val="9"/>
                <c:pt idx="0">
                  <c:v>1.0</c:v>
                </c:pt>
                <c:pt idx="1">
                  <c:v>1.347317351598174</c:v>
                </c:pt>
                <c:pt idx="2">
                  <c:v>1.82277397260274</c:v>
                </c:pt>
                <c:pt idx="3">
                  <c:v>2.40953196347032</c:v>
                </c:pt>
                <c:pt idx="4">
                  <c:v>3.125</c:v>
                </c:pt>
                <c:pt idx="5">
                  <c:v>4.052511415525114</c:v>
                </c:pt>
                <c:pt idx="6">
                  <c:v>5.19406392694064</c:v>
                </c:pt>
                <c:pt idx="7">
                  <c:v>6.48116438356165</c:v>
                </c:pt>
                <c:pt idx="8">
                  <c:v>7.839611872146118</c:v>
                </c:pt>
              </c:numCache>
            </c:numRef>
          </c:val>
        </c:ser>
        <c:ser>
          <c:idx val="1"/>
          <c:order val="1"/>
          <c:tx>
            <c:strRef>
              <c:f>'Electricty Connections data'!$A$4:$B$4</c:f>
              <c:strCache>
                <c:ptCount val="1"/>
                <c:pt idx="0">
                  <c:v>Lower-middle-income economies IFs</c:v>
                </c:pt>
              </c:strCache>
            </c:strRef>
          </c:tx>
          <c:spPr>
            <a:ln>
              <a:solidFill>
                <a:schemeClr val="accent2"/>
              </a:solidFill>
            </a:ln>
          </c:spPr>
          <c:marker>
            <c:symbol val="none"/>
          </c:marker>
          <c:cat>
            <c:numRef>
              <c:f>'Electricty Connections data'!$C$2:$K$2</c:f>
              <c:numCache>
                <c:formatCode>General</c:formatCode>
                <c:ptCount val="9"/>
                <c:pt idx="0">
                  <c:v>2010.0</c:v>
                </c:pt>
                <c:pt idx="1">
                  <c:v>2015.0</c:v>
                </c:pt>
                <c:pt idx="2">
                  <c:v>2020.0</c:v>
                </c:pt>
                <c:pt idx="3">
                  <c:v>2025.0</c:v>
                </c:pt>
                <c:pt idx="4">
                  <c:v>2030.0</c:v>
                </c:pt>
                <c:pt idx="5">
                  <c:v>2035.0</c:v>
                </c:pt>
                <c:pt idx="6">
                  <c:v>2040.0</c:v>
                </c:pt>
                <c:pt idx="7">
                  <c:v>2045.0</c:v>
                </c:pt>
                <c:pt idx="8">
                  <c:v>2050.0</c:v>
                </c:pt>
              </c:numCache>
            </c:numRef>
          </c:cat>
          <c:val>
            <c:numRef>
              <c:f>'Electricty Connections data'!$C$4:$K$4</c:f>
              <c:numCache>
                <c:formatCode>General</c:formatCode>
                <c:ptCount val="9"/>
                <c:pt idx="0">
                  <c:v>1.0</c:v>
                </c:pt>
                <c:pt idx="1">
                  <c:v>1.22015503875969</c:v>
                </c:pt>
                <c:pt idx="2">
                  <c:v>1.490542635658915</c:v>
                </c:pt>
                <c:pt idx="3">
                  <c:v>1.758139534883721</c:v>
                </c:pt>
                <c:pt idx="4">
                  <c:v>2.035348837209302</c:v>
                </c:pt>
                <c:pt idx="5">
                  <c:v>2.271317829457364</c:v>
                </c:pt>
                <c:pt idx="6">
                  <c:v>2.507286821705426</c:v>
                </c:pt>
                <c:pt idx="7">
                  <c:v>2.735813953488372</c:v>
                </c:pt>
                <c:pt idx="8">
                  <c:v>2.953798449612403</c:v>
                </c:pt>
              </c:numCache>
            </c:numRef>
          </c:val>
        </c:ser>
        <c:ser>
          <c:idx val="2"/>
          <c:order val="2"/>
          <c:tx>
            <c:strRef>
              <c:f>'Electricty Connections data'!$A$5:$B$5</c:f>
              <c:strCache>
                <c:ptCount val="1"/>
                <c:pt idx="0">
                  <c:v>Upper-middle-income economies IFs</c:v>
                </c:pt>
              </c:strCache>
            </c:strRef>
          </c:tx>
          <c:spPr>
            <a:ln>
              <a:solidFill>
                <a:schemeClr val="accent3"/>
              </a:solidFill>
            </a:ln>
          </c:spPr>
          <c:marker>
            <c:symbol val="none"/>
          </c:marker>
          <c:cat>
            <c:numRef>
              <c:f>'Electricty Connections data'!$C$2:$K$2</c:f>
              <c:numCache>
                <c:formatCode>General</c:formatCode>
                <c:ptCount val="9"/>
                <c:pt idx="0">
                  <c:v>2010.0</c:v>
                </c:pt>
                <c:pt idx="1">
                  <c:v>2015.0</c:v>
                </c:pt>
                <c:pt idx="2">
                  <c:v>2020.0</c:v>
                </c:pt>
                <c:pt idx="3">
                  <c:v>2025.0</c:v>
                </c:pt>
                <c:pt idx="4">
                  <c:v>2030.0</c:v>
                </c:pt>
                <c:pt idx="5">
                  <c:v>2035.0</c:v>
                </c:pt>
                <c:pt idx="6">
                  <c:v>2040.0</c:v>
                </c:pt>
                <c:pt idx="7">
                  <c:v>2045.0</c:v>
                </c:pt>
                <c:pt idx="8">
                  <c:v>2050.0</c:v>
                </c:pt>
              </c:numCache>
            </c:numRef>
          </c:cat>
          <c:val>
            <c:numRef>
              <c:f>'Electricty Connections data'!$C$5:$K$5</c:f>
              <c:numCache>
                <c:formatCode>General</c:formatCode>
                <c:ptCount val="9"/>
                <c:pt idx="0">
                  <c:v>1.0</c:v>
                </c:pt>
                <c:pt idx="1">
                  <c:v>1.074907521578298</c:v>
                </c:pt>
                <c:pt idx="2">
                  <c:v>1.149198520345253</c:v>
                </c:pt>
                <c:pt idx="3">
                  <c:v>1.196824907521578</c:v>
                </c:pt>
                <c:pt idx="4">
                  <c:v>1.265721331689273</c:v>
                </c:pt>
                <c:pt idx="5">
                  <c:v>1.324290998766954</c:v>
                </c:pt>
                <c:pt idx="6">
                  <c:v>1.355117139334155</c:v>
                </c:pt>
                <c:pt idx="7">
                  <c:v>1.366368680641184</c:v>
                </c:pt>
                <c:pt idx="8">
                  <c:v>1.365598027127004</c:v>
                </c:pt>
              </c:numCache>
            </c:numRef>
          </c:val>
        </c:ser>
        <c:ser>
          <c:idx val="3"/>
          <c:order val="3"/>
          <c:tx>
            <c:strRef>
              <c:f>'Electricty Connections data'!$A$6:$B$6</c:f>
              <c:strCache>
                <c:ptCount val="1"/>
                <c:pt idx="0">
                  <c:v>High-income economies IFs</c:v>
                </c:pt>
              </c:strCache>
            </c:strRef>
          </c:tx>
          <c:spPr>
            <a:ln>
              <a:solidFill>
                <a:schemeClr val="tx2"/>
              </a:solidFill>
            </a:ln>
          </c:spPr>
          <c:marker>
            <c:symbol val="none"/>
          </c:marker>
          <c:cat>
            <c:numRef>
              <c:f>'Electricty Connections data'!$C$2:$K$2</c:f>
              <c:numCache>
                <c:formatCode>General</c:formatCode>
                <c:ptCount val="9"/>
                <c:pt idx="0">
                  <c:v>2010.0</c:v>
                </c:pt>
                <c:pt idx="1">
                  <c:v>2015.0</c:v>
                </c:pt>
                <c:pt idx="2">
                  <c:v>2020.0</c:v>
                </c:pt>
                <c:pt idx="3">
                  <c:v>2025.0</c:v>
                </c:pt>
                <c:pt idx="4">
                  <c:v>2030.0</c:v>
                </c:pt>
                <c:pt idx="5">
                  <c:v>2035.0</c:v>
                </c:pt>
                <c:pt idx="6">
                  <c:v>2040.0</c:v>
                </c:pt>
                <c:pt idx="7">
                  <c:v>2045.0</c:v>
                </c:pt>
                <c:pt idx="8">
                  <c:v>2050.0</c:v>
                </c:pt>
              </c:numCache>
            </c:numRef>
          </c:cat>
          <c:val>
            <c:numRef>
              <c:f>'Electricty Connections data'!$C$6:$K$6</c:f>
              <c:numCache>
                <c:formatCode>General</c:formatCode>
                <c:ptCount val="9"/>
                <c:pt idx="0">
                  <c:v>1.0</c:v>
                </c:pt>
                <c:pt idx="1">
                  <c:v>1.028769841269841</c:v>
                </c:pt>
                <c:pt idx="2">
                  <c:v>1.057291666666667</c:v>
                </c:pt>
                <c:pt idx="3">
                  <c:v>1.09077380952381</c:v>
                </c:pt>
                <c:pt idx="4">
                  <c:v>1.12921626984127</c:v>
                </c:pt>
                <c:pt idx="5">
                  <c:v>1.148313492063492</c:v>
                </c:pt>
                <c:pt idx="6">
                  <c:v>1.153521825396826</c:v>
                </c:pt>
                <c:pt idx="7">
                  <c:v>1.151289682539683</c:v>
                </c:pt>
                <c:pt idx="8">
                  <c:v>1.145089285714286</c:v>
                </c:pt>
              </c:numCache>
            </c:numRef>
          </c:val>
        </c:ser>
        <c:ser>
          <c:idx val="4"/>
          <c:order val="4"/>
          <c:tx>
            <c:strRef>
              <c:f>'Electricty Connections data'!$A$18:$B$18</c:f>
              <c:strCache>
                <c:ptCount val="1"/>
                <c:pt idx="0">
                  <c:v>Low-income economies HCS</c:v>
                </c:pt>
              </c:strCache>
            </c:strRef>
          </c:tx>
          <c:spPr>
            <a:ln>
              <a:solidFill>
                <a:schemeClr val="accent1"/>
              </a:solidFill>
              <a:prstDash val="dash"/>
            </a:ln>
          </c:spPr>
          <c:marker>
            <c:symbol val="none"/>
          </c:marker>
          <c:cat>
            <c:numRef>
              <c:f>'Electricty Connections data'!$C$2:$K$2</c:f>
              <c:numCache>
                <c:formatCode>General</c:formatCode>
                <c:ptCount val="9"/>
                <c:pt idx="0">
                  <c:v>2010.0</c:v>
                </c:pt>
                <c:pt idx="1">
                  <c:v>2015.0</c:v>
                </c:pt>
                <c:pt idx="2">
                  <c:v>2020.0</c:v>
                </c:pt>
                <c:pt idx="3">
                  <c:v>2025.0</c:v>
                </c:pt>
                <c:pt idx="4">
                  <c:v>2030.0</c:v>
                </c:pt>
                <c:pt idx="5">
                  <c:v>2035.0</c:v>
                </c:pt>
                <c:pt idx="6">
                  <c:v>2040.0</c:v>
                </c:pt>
                <c:pt idx="7">
                  <c:v>2045.0</c:v>
                </c:pt>
                <c:pt idx="8">
                  <c:v>2050.0</c:v>
                </c:pt>
              </c:numCache>
            </c:numRef>
          </c:cat>
          <c:val>
            <c:numRef>
              <c:f>'Electricty Connections data'!$C$18:$K$18</c:f>
              <c:numCache>
                <c:formatCode>General</c:formatCode>
                <c:ptCount val="9"/>
                <c:pt idx="0">
                  <c:v>1.0</c:v>
                </c:pt>
                <c:pt idx="1">
                  <c:v>1.279795918367347</c:v>
                </c:pt>
                <c:pt idx="2">
                  <c:v>1.587551020408163</c:v>
                </c:pt>
                <c:pt idx="3">
                  <c:v>1.958775510204082</c:v>
                </c:pt>
                <c:pt idx="4">
                  <c:v>2.397959183673461</c:v>
                </c:pt>
                <c:pt idx="5">
                  <c:v>2.910204081632653</c:v>
                </c:pt>
                <c:pt idx="6">
                  <c:v>3.49795918367347</c:v>
                </c:pt>
                <c:pt idx="7">
                  <c:v>4.118367346938776</c:v>
                </c:pt>
                <c:pt idx="8">
                  <c:v>4.797959183673468</c:v>
                </c:pt>
              </c:numCache>
            </c:numRef>
          </c:val>
        </c:ser>
        <c:ser>
          <c:idx val="5"/>
          <c:order val="5"/>
          <c:tx>
            <c:strRef>
              <c:f>'Electricty Connections data'!$A$19:$B$19</c:f>
              <c:strCache>
                <c:ptCount val="1"/>
                <c:pt idx="0">
                  <c:v>Lower-middle-income economies HCS</c:v>
                </c:pt>
              </c:strCache>
            </c:strRef>
          </c:tx>
          <c:spPr>
            <a:ln>
              <a:solidFill>
                <a:schemeClr val="accent2"/>
              </a:solidFill>
              <a:prstDash val="dash"/>
            </a:ln>
          </c:spPr>
          <c:marker>
            <c:symbol val="none"/>
          </c:marker>
          <c:cat>
            <c:numRef>
              <c:f>'Electricty Connections data'!$C$2:$K$2</c:f>
              <c:numCache>
                <c:formatCode>General</c:formatCode>
                <c:ptCount val="9"/>
                <c:pt idx="0">
                  <c:v>2010.0</c:v>
                </c:pt>
                <c:pt idx="1">
                  <c:v>2015.0</c:v>
                </c:pt>
                <c:pt idx="2">
                  <c:v>2020.0</c:v>
                </c:pt>
                <c:pt idx="3">
                  <c:v>2025.0</c:v>
                </c:pt>
                <c:pt idx="4">
                  <c:v>2030.0</c:v>
                </c:pt>
                <c:pt idx="5">
                  <c:v>2035.0</c:v>
                </c:pt>
                <c:pt idx="6">
                  <c:v>2040.0</c:v>
                </c:pt>
                <c:pt idx="7">
                  <c:v>2045.0</c:v>
                </c:pt>
                <c:pt idx="8">
                  <c:v>2050.0</c:v>
                </c:pt>
              </c:numCache>
            </c:numRef>
          </c:cat>
          <c:val>
            <c:numRef>
              <c:f>'Electricty Connections data'!$C$19:$K$19</c:f>
              <c:numCache>
                <c:formatCode>General</c:formatCode>
                <c:ptCount val="9"/>
                <c:pt idx="0">
                  <c:v>1.0</c:v>
                </c:pt>
                <c:pt idx="1">
                  <c:v>1.166330419188523</c:v>
                </c:pt>
                <c:pt idx="2">
                  <c:v>1.326384218785026</c:v>
                </c:pt>
                <c:pt idx="3">
                  <c:v>1.489576328177538</c:v>
                </c:pt>
                <c:pt idx="4">
                  <c:v>1.655458417395203</c:v>
                </c:pt>
                <c:pt idx="5">
                  <c:v>1.824478816408877</c:v>
                </c:pt>
                <c:pt idx="6">
                  <c:v>1.997758350145707</c:v>
                </c:pt>
                <c:pt idx="7">
                  <c:v>2.166330419188522</c:v>
                </c:pt>
                <c:pt idx="8">
                  <c:v>2.333557498318763</c:v>
                </c:pt>
              </c:numCache>
            </c:numRef>
          </c:val>
        </c:ser>
        <c:ser>
          <c:idx val="6"/>
          <c:order val="6"/>
          <c:tx>
            <c:strRef>
              <c:f>'Electricty Connections data'!$A$20:$B$20</c:f>
              <c:strCache>
                <c:ptCount val="1"/>
                <c:pt idx="0">
                  <c:v>Upper-middle-income economies HCS</c:v>
                </c:pt>
              </c:strCache>
            </c:strRef>
          </c:tx>
          <c:spPr>
            <a:ln>
              <a:solidFill>
                <a:schemeClr val="accent3"/>
              </a:solidFill>
              <a:prstDash val="dash"/>
            </a:ln>
          </c:spPr>
          <c:marker>
            <c:symbol val="none"/>
          </c:marker>
          <c:cat>
            <c:numRef>
              <c:f>'Electricty Connections data'!$C$2:$K$2</c:f>
              <c:numCache>
                <c:formatCode>General</c:formatCode>
                <c:ptCount val="9"/>
                <c:pt idx="0">
                  <c:v>2010.0</c:v>
                </c:pt>
                <c:pt idx="1">
                  <c:v>2015.0</c:v>
                </c:pt>
                <c:pt idx="2">
                  <c:v>2020.0</c:v>
                </c:pt>
                <c:pt idx="3">
                  <c:v>2025.0</c:v>
                </c:pt>
                <c:pt idx="4">
                  <c:v>2030.0</c:v>
                </c:pt>
                <c:pt idx="5">
                  <c:v>2035.0</c:v>
                </c:pt>
                <c:pt idx="6">
                  <c:v>2040.0</c:v>
                </c:pt>
                <c:pt idx="7">
                  <c:v>2045.0</c:v>
                </c:pt>
                <c:pt idx="8">
                  <c:v>2050.0</c:v>
                </c:pt>
              </c:numCache>
            </c:numRef>
          </c:cat>
          <c:val>
            <c:numRef>
              <c:f>'Electricty Connections data'!$C$20:$K$20</c:f>
              <c:numCache>
                <c:formatCode>General</c:formatCode>
                <c:ptCount val="9"/>
                <c:pt idx="0">
                  <c:v>1.0</c:v>
                </c:pt>
                <c:pt idx="1">
                  <c:v>1.101531480431083</c:v>
                </c:pt>
                <c:pt idx="2">
                  <c:v>1.192711287577992</c:v>
                </c:pt>
                <c:pt idx="3">
                  <c:v>1.282189449801475</c:v>
                </c:pt>
                <c:pt idx="4">
                  <c:v>1.366704480998298</c:v>
                </c:pt>
                <c:pt idx="5">
                  <c:v>1.446398184912081</c:v>
                </c:pt>
                <c:pt idx="6">
                  <c:v>1.520136131593874</c:v>
                </c:pt>
                <c:pt idx="7">
                  <c:v>1.588201928530913</c:v>
                </c:pt>
                <c:pt idx="8">
                  <c:v>1.6505955757232</c:v>
                </c:pt>
              </c:numCache>
            </c:numRef>
          </c:val>
        </c:ser>
        <c:ser>
          <c:idx val="7"/>
          <c:order val="7"/>
          <c:tx>
            <c:strRef>
              <c:f>'Electricty Connections data'!$A$21:$B$21</c:f>
              <c:strCache>
                <c:ptCount val="1"/>
                <c:pt idx="0">
                  <c:v>High-income economies HCS</c:v>
                </c:pt>
              </c:strCache>
            </c:strRef>
          </c:tx>
          <c:spPr>
            <a:ln>
              <a:solidFill>
                <a:schemeClr val="tx2"/>
              </a:solidFill>
              <a:prstDash val="dash"/>
            </a:ln>
          </c:spPr>
          <c:marker>
            <c:symbol val="none"/>
          </c:marker>
          <c:cat>
            <c:numRef>
              <c:f>'Electricty Connections data'!$C$2:$K$2</c:f>
              <c:numCache>
                <c:formatCode>General</c:formatCode>
                <c:ptCount val="9"/>
                <c:pt idx="0">
                  <c:v>2010.0</c:v>
                </c:pt>
                <c:pt idx="1">
                  <c:v>2015.0</c:v>
                </c:pt>
                <c:pt idx="2">
                  <c:v>2020.0</c:v>
                </c:pt>
                <c:pt idx="3">
                  <c:v>2025.0</c:v>
                </c:pt>
                <c:pt idx="4">
                  <c:v>2030.0</c:v>
                </c:pt>
                <c:pt idx="5">
                  <c:v>2035.0</c:v>
                </c:pt>
                <c:pt idx="6">
                  <c:v>2040.0</c:v>
                </c:pt>
                <c:pt idx="7">
                  <c:v>2045.0</c:v>
                </c:pt>
                <c:pt idx="8">
                  <c:v>2050.0</c:v>
                </c:pt>
              </c:numCache>
            </c:numRef>
          </c:cat>
          <c:val>
            <c:numRef>
              <c:f>'Electricty Connections data'!$C$21:$K$21</c:f>
              <c:numCache>
                <c:formatCode>General</c:formatCode>
                <c:ptCount val="9"/>
                <c:pt idx="0">
                  <c:v>1.0</c:v>
                </c:pt>
                <c:pt idx="1">
                  <c:v>1.060200668896321</c:v>
                </c:pt>
                <c:pt idx="2">
                  <c:v>1.118433995671847</c:v>
                </c:pt>
                <c:pt idx="3">
                  <c:v>1.175683651386976</c:v>
                </c:pt>
                <c:pt idx="4">
                  <c:v>1.232146370253787</c:v>
                </c:pt>
                <c:pt idx="5">
                  <c:v>1.287035215423962</c:v>
                </c:pt>
                <c:pt idx="6">
                  <c:v>1.34094038953374</c:v>
                </c:pt>
                <c:pt idx="7">
                  <c:v>1.392878221522723</c:v>
                </c:pt>
                <c:pt idx="8">
                  <c:v>1.444225850875467</c:v>
                </c:pt>
              </c:numCache>
            </c:numRef>
          </c:val>
        </c:ser>
        <c:marker val="1"/>
        <c:axId val="727149224"/>
        <c:axId val="727156376"/>
      </c:lineChart>
      <c:catAx>
        <c:axId val="727149224"/>
        <c:scaling>
          <c:orientation val="minMax"/>
        </c:scaling>
        <c:axPos val="b"/>
        <c:title>
          <c:tx>
            <c:rich>
              <a:bodyPr/>
              <a:lstStyle/>
              <a:p>
                <a:pPr>
                  <a:defRPr/>
                </a:pPr>
                <a:r>
                  <a:rPr lang="en-US"/>
                  <a:t>Year</a:t>
                </a:r>
              </a:p>
            </c:rich>
          </c:tx>
        </c:title>
        <c:numFmt formatCode="General" sourceLinked="1"/>
        <c:tickLblPos val="nextTo"/>
        <c:crossAx val="727156376"/>
        <c:crosses val="autoZero"/>
        <c:auto val="1"/>
        <c:lblAlgn val="ctr"/>
        <c:lblOffset val="100"/>
      </c:catAx>
      <c:valAx>
        <c:axId val="727156376"/>
        <c:scaling>
          <c:orientation val="minMax"/>
          <c:min val="1.0"/>
        </c:scaling>
        <c:axPos val="l"/>
        <c:majorGridlines/>
        <c:numFmt formatCode="General" sourceLinked="1"/>
        <c:tickLblPos val="nextTo"/>
        <c:crossAx val="727149224"/>
        <c:crosses val="autoZero"/>
        <c:crossBetween val="between"/>
      </c:valAx>
    </c:plotArea>
    <c:legend>
      <c:legendPos val="t"/>
      <c:layout>
        <c:manualLayout>
          <c:xMode val="edge"/>
          <c:yMode val="edge"/>
          <c:x val="0.0134693059200933"/>
          <c:y val="0.0130810802088235"/>
          <c:w val="0.979247411781861"/>
          <c:h val="0.162644983312767"/>
        </c:manualLayout>
      </c:layout>
    </c:legend>
    <c:plotVisOnly val="1"/>
  </c:chart>
  <c:txPr>
    <a:bodyPr/>
    <a:lstStyle/>
    <a:p>
      <a:pPr>
        <a:defRPr b="0">
          <a:latin typeface="Times New Roman"/>
          <a:cs typeface="Times New Roman"/>
        </a:defRPr>
      </a:pPr>
      <a:endParaRPr lang="en-US"/>
    </a:p>
  </c:tx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0578009259259259"/>
          <c:y val="0.157904806114605"/>
          <c:w val="0.916736111111111"/>
          <c:h val="0.661587441286997"/>
        </c:manualLayout>
      </c:layout>
      <c:lineChart>
        <c:grouping val="standard"/>
        <c:ser>
          <c:idx val="0"/>
          <c:order val="0"/>
          <c:tx>
            <c:strRef>
              <c:f>data!$A$3:$B$3</c:f>
              <c:strCache>
                <c:ptCount val="1"/>
                <c:pt idx="0">
                  <c:v>Low-income countries IFs</c:v>
                </c:pt>
              </c:strCache>
            </c:strRef>
          </c:tx>
          <c:spPr>
            <a:ln>
              <a:solidFill>
                <a:schemeClr val="accent1"/>
              </a:solidFill>
            </a:ln>
          </c:spPr>
          <c:marker>
            <c:symbol val="none"/>
          </c:marker>
          <c:cat>
            <c:strRef>
              <c:f>data!$C$1:$K$2</c:f>
              <c:strCache>
                <c:ptCount val="9"/>
                <c:pt idx="0">
                  <c:v>2010</c:v>
                </c:pt>
                <c:pt idx="1">
                  <c:v>2015</c:v>
                </c:pt>
                <c:pt idx="2">
                  <c:v>2020</c:v>
                </c:pt>
                <c:pt idx="3">
                  <c:v>2025</c:v>
                </c:pt>
                <c:pt idx="4">
                  <c:v>2030</c:v>
                </c:pt>
                <c:pt idx="5">
                  <c:v>2035</c:v>
                </c:pt>
                <c:pt idx="6">
                  <c:v>2040</c:v>
                </c:pt>
                <c:pt idx="7">
                  <c:v>2045</c:v>
                </c:pt>
                <c:pt idx="8">
                  <c:v>2050</c:v>
                </c:pt>
              </c:strCache>
            </c:strRef>
          </c:cat>
          <c:val>
            <c:numRef>
              <c:f>data!$C$3:$K$3</c:f>
              <c:numCache>
                <c:formatCode>0.00</c:formatCode>
                <c:ptCount val="9"/>
                <c:pt idx="0">
                  <c:v>1.0</c:v>
                </c:pt>
                <c:pt idx="1">
                  <c:v>1.369041129436707</c:v>
                </c:pt>
                <c:pt idx="2">
                  <c:v>1.736349592664096</c:v>
                </c:pt>
                <c:pt idx="3">
                  <c:v>2.173880518156094</c:v>
                </c:pt>
                <c:pt idx="4">
                  <c:v>2.660020027138953</c:v>
                </c:pt>
                <c:pt idx="5">
                  <c:v>3.20739047274</c:v>
                </c:pt>
                <c:pt idx="6">
                  <c:v>3.82253338275821</c:v>
                </c:pt>
                <c:pt idx="7">
                  <c:v>4.472052300912515</c:v>
                </c:pt>
                <c:pt idx="8">
                  <c:v>5.094266770212902</c:v>
                </c:pt>
              </c:numCache>
            </c:numRef>
          </c:val>
        </c:ser>
        <c:ser>
          <c:idx val="1"/>
          <c:order val="1"/>
          <c:tx>
            <c:strRef>
              <c:f>data!$A$4:$B$4</c:f>
              <c:strCache>
                <c:ptCount val="1"/>
                <c:pt idx="0">
                  <c:v>Lower-middle-income countries IFs</c:v>
                </c:pt>
              </c:strCache>
            </c:strRef>
          </c:tx>
          <c:spPr>
            <a:ln>
              <a:solidFill>
                <a:schemeClr val="accent2"/>
              </a:solidFill>
              <a:prstDash val="solid"/>
            </a:ln>
          </c:spPr>
          <c:marker>
            <c:symbol val="none"/>
          </c:marker>
          <c:cat>
            <c:strRef>
              <c:f>data!$C$1:$K$2</c:f>
              <c:strCache>
                <c:ptCount val="9"/>
                <c:pt idx="0">
                  <c:v>2010</c:v>
                </c:pt>
                <c:pt idx="1">
                  <c:v>2015</c:v>
                </c:pt>
                <c:pt idx="2">
                  <c:v>2020</c:v>
                </c:pt>
                <c:pt idx="3">
                  <c:v>2025</c:v>
                </c:pt>
                <c:pt idx="4">
                  <c:v>2030</c:v>
                </c:pt>
                <c:pt idx="5">
                  <c:v>2035</c:v>
                </c:pt>
                <c:pt idx="6">
                  <c:v>2040</c:v>
                </c:pt>
                <c:pt idx="7">
                  <c:v>2045</c:v>
                </c:pt>
                <c:pt idx="8">
                  <c:v>2050</c:v>
                </c:pt>
              </c:strCache>
            </c:strRef>
          </c:cat>
          <c:val>
            <c:numRef>
              <c:f>data!$C$4:$K$4</c:f>
              <c:numCache>
                <c:formatCode>0.00</c:formatCode>
                <c:ptCount val="9"/>
                <c:pt idx="0">
                  <c:v>1.0</c:v>
                </c:pt>
                <c:pt idx="1">
                  <c:v>1.14341686667798</c:v>
                </c:pt>
                <c:pt idx="2">
                  <c:v>1.094000064650122</c:v>
                </c:pt>
                <c:pt idx="3">
                  <c:v>1.015717858787972</c:v>
                </c:pt>
                <c:pt idx="4">
                  <c:v>0.958761505701333</c:v>
                </c:pt>
                <c:pt idx="5">
                  <c:v>0.924825040608358</c:v>
                </c:pt>
                <c:pt idx="6">
                  <c:v>0.908283566208459</c:v>
                </c:pt>
                <c:pt idx="7">
                  <c:v>0.901120534764256</c:v>
                </c:pt>
                <c:pt idx="8">
                  <c:v>0.896124090520945</c:v>
                </c:pt>
              </c:numCache>
            </c:numRef>
          </c:val>
        </c:ser>
        <c:ser>
          <c:idx val="2"/>
          <c:order val="2"/>
          <c:tx>
            <c:strRef>
              <c:f>data!$A$5:$B$5</c:f>
              <c:strCache>
                <c:ptCount val="1"/>
                <c:pt idx="0">
                  <c:v>Upper-middle-income countries IFs</c:v>
                </c:pt>
              </c:strCache>
            </c:strRef>
          </c:tx>
          <c:spPr>
            <a:ln>
              <a:solidFill>
                <a:schemeClr val="accent3"/>
              </a:solidFill>
            </a:ln>
          </c:spPr>
          <c:marker>
            <c:symbol val="none"/>
          </c:marker>
          <c:cat>
            <c:strRef>
              <c:f>data!$C$1:$K$2</c:f>
              <c:strCache>
                <c:ptCount val="9"/>
                <c:pt idx="0">
                  <c:v>2010</c:v>
                </c:pt>
                <c:pt idx="1">
                  <c:v>2015</c:v>
                </c:pt>
                <c:pt idx="2">
                  <c:v>2020</c:v>
                </c:pt>
                <c:pt idx="3">
                  <c:v>2025</c:v>
                </c:pt>
                <c:pt idx="4">
                  <c:v>2030</c:v>
                </c:pt>
                <c:pt idx="5">
                  <c:v>2035</c:v>
                </c:pt>
                <c:pt idx="6">
                  <c:v>2040</c:v>
                </c:pt>
                <c:pt idx="7">
                  <c:v>2045</c:v>
                </c:pt>
                <c:pt idx="8">
                  <c:v>2050</c:v>
                </c:pt>
              </c:strCache>
            </c:strRef>
          </c:cat>
          <c:val>
            <c:numRef>
              <c:f>data!$C$5:$K$5</c:f>
              <c:numCache>
                <c:formatCode>0.00</c:formatCode>
                <c:ptCount val="9"/>
                <c:pt idx="0">
                  <c:v>1.0</c:v>
                </c:pt>
                <c:pt idx="1">
                  <c:v>0.966093822573154</c:v>
                </c:pt>
                <c:pt idx="2">
                  <c:v>0.772882264996452</c:v>
                </c:pt>
                <c:pt idx="3">
                  <c:v>0.593095905188559</c:v>
                </c:pt>
                <c:pt idx="4">
                  <c:v>0.460854663182808</c:v>
                </c:pt>
                <c:pt idx="5">
                  <c:v>0.368727806661373</c:v>
                </c:pt>
                <c:pt idx="6">
                  <c:v>0.305057829038915</c:v>
                </c:pt>
                <c:pt idx="7">
                  <c:v>0.259998706544298</c:v>
                </c:pt>
                <c:pt idx="8">
                  <c:v>0.226327399431448</c:v>
                </c:pt>
              </c:numCache>
            </c:numRef>
          </c:val>
        </c:ser>
        <c:ser>
          <c:idx val="3"/>
          <c:order val="3"/>
          <c:tx>
            <c:strRef>
              <c:f>data!$A$6:$B$6</c:f>
              <c:strCache>
                <c:ptCount val="1"/>
                <c:pt idx="0">
                  <c:v>High-income countries IFs</c:v>
                </c:pt>
              </c:strCache>
            </c:strRef>
          </c:tx>
          <c:spPr>
            <a:ln>
              <a:solidFill>
                <a:schemeClr val="tx2"/>
              </a:solidFill>
            </a:ln>
          </c:spPr>
          <c:marker>
            <c:symbol val="none"/>
          </c:marker>
          <c:cat>
            <c:strRef>
              <c:f>data!$C$1:$K$2</c:f>
              <c:strCache>
                <c:ptCount val="9"/>
                <c:pt idx="0">
                  <c:v>2010</c:v>
                </c:pt>
                <c:pt idx="1">
                  <c:v>2015</c:v>
                </c:pt>
                <c:pt idx="2">
                  <c:v>2020</c:v>
                </c:pt>
                <c:pt idx="3">
                  <c:v>2025</c:v>
                </c:pt>
                <c:pt idx="4">
                  <c:v>2030</c:v>
                </c:pt>
                <c:pt idx="5">
                  <c:v>2035</c:v>
                </c:pt>
                <c:pt idx="6">
                  <c:v>2040</c:v>
                </c:pt>
                <c:pt idx="7">
                  <c:v>2045</c:v>
                </c:pt>
                <c:pt idx="8">
                  <c:v>2050</c:v>
                </c:pt>
              </c:strCache>
            </c:strRef>
          </c:cat>
          <c:val>
            <c:numRef>
              <c:f>data!$C$6:$K$6</c:f>
              <c:numCache>
                <c:formatCode>0.00</c:formatCode>
                <c:ptCount val="9"/>
                <c:pt idx="0">
                  <c:v>1.0</c:v>
                </c:pt>
                <c:pt idx="1">
                  <c:v>0.83210370720771</c:v>
                </c:pt>
                <c:pt idx="2">
                  <c:v>0.564488237410489</c:v>
                </c:pt>
                <c:pt idx="3">
                  <c:v>0.374808052260211</c:v>
                </c:pt>
                <c:pt idx="4">
                  <c:v>0.259858720060255</c:v>
                </c:pt>
                <c:pt idx="5">
                  <c:v>0.191417309694096</c:v>
                </c:pt>
                <c:pt idx="6">
                  <c:v>0.149656405041447</c:v>
                </c:pt>
                <c:pt idx="7">
                  <c:v>0.122906423951076</c:v>
                </c:pt>
                <c:pt idx="8">
                  <c:v>0.104849509370171</c:v>
                </c:pt>
              </c:numCache>
            </c:numRef>
          </c:val>
        </c:ser>
        <c:ser>
          <c:idx val="4"/>
          <c:order val="4"/>
          <c:tx>
            <c:strRef>
              <c:f>data!$A$19:$B$19</c:f>
              <c:strCache>
                <c:ptCount val="1"/>
                <c:pt idx="0">
                  <c:v>Low-income countries HCS</c:v>
                </c:pt>
              </c:strCache>
            </c:strRef>
          </c:tx>
          <c:spPr>
            <a:ln>
              <a:solidFill>
                <a:schemeClr val="accent1"/>
              </a:solidFill>
              <a:prstDash val="dash"/>
            </a:ln>
          </c:spPr>
          <c:marker>
            <c:symbol val="none"/>
          </c:marker>
          <c:cat>
            <c:strRef>
              <c:f>data!$C$1:$K$2</c:f>
              <c:strCache>
                <c:ptCount val="9"/>
                <c:pt idx="0">
                  <c:v>2010</c:v>
                </c:pt>
                <c:pt idx="1">
                  <c:v>2015</c:v>
                </c:pt>
                <c:pt idx="2">
                  <c:v>2020</c:v>
                </c:pt>
                <c:pt idx="3">
                  <c:v>2025</c:v>
                </c:pt>
                <c:pt idx="4">
                  <c:v>2030</c:v>
                </c:pt>
                <c:pt idx="5">
                  <c:v>2035</c:v>
                </c:pt>
                <c:pt idx="6">
                  <c:v>2040</c:v>
                </c:pt>
                <c:pt idx="7">
                  <c:v>2045</c:v>
                </c:pt>
                <c:pt idx="8">
                  <c:v>2050</c:v>
                </c:pt>
              </c:strCache>
            </c:strRef>
          </c:cat>
          <c:val>
            <c:numRef>
              <c:f>data!$C$19:$K$19</c:f>
              <c:numCache>
                <c:formatCode>0.00</c:formatCode>
                <c:ptCount val="9"/>
                <c:pt idx="0">
                  <c:v>1.0</c:v>
                </c:pt>
                <c:pt idx="1">
                  <c:v>1.261518064302287</c:v>
                </c:pt>
                <c:pt idx="2">
                  <c:v>1.55203844879019</c:v>
                </c:pt>
                <c:pt idx="3">
                  <c:v>1.910838581372224</c:v>
                </c:pt>
                <c:pt idx="4">
                  <c:v>2.346702021876036</c:v>
                </c:pt>
                <c:pt idx="5">
                  <c:v>2.86377195889957</c:v>
                </c:pt>
                <c:pt idx="6">
                  <c:v>3.475306595956248</c:v>
                </c:pt>
                <c:pt idx="7">
                  <c:v>4.11667219091813</c:v>
                </c:pt>
                <c:pt idx="8">
                  <c:v>4.829300629764666</c:v>
                </c:pt>
              </c:numCache>
            </c:numRef>
          </c:val>
        </c:ser>
        <c:ser>
          <c:idx val="5"/>
          <c:order val="5"/>
          <c:tx>
            <c:strRef>
              <c:f>data!$A$20:$B$20</c:f>
              <c:strCache>
                <c:ptCount val="1"/>
                <c:pt idx="0">
                  <c:v>Lower-middle-income countries HCS</c:v>
                </c:pt>
              </c:strCache>
            </c:strRef>
          </c:tx>
          <c:spPr>
            <a:ln>
              <a:solidFill>
                <a:schemeClr val="accent2"/>
              </a:solidFill>
              <a:prstDash val="dash"/>
            </a:ln>
          </c:spPr>
          <c:marker>
            <c:symbol val="none"/>
          </c:marker>
          <c:cat>
            <c:strRef>
              <c:f>data!$C$1:$K$2</c:f>
              <c:strCache>
                <c:ptCount val="9"/>
                <c:pt idx="0">
                  <c:v>2010</c:v>
                </c:pt>
                <c:pt idx="1">
                  <c:v>2015</c:v>
                </c:pt>
                <c:pt idx="2">
                  <c:v>2020</c:v>
                </c:pt>
                <c:pt idx="3">
                  <c:v>2025</c:v>
                </c:pt>
                <c:pt idx="4">
                  <c:v>2030</c:v>
                </c:pt>
                <c:pt idx="5">
                  <c:v>2035</c:v>
                </c:pt>
                <c:pt idx="6">
                  <c:v>2040</c:v>
                </c:pt>
                <c:pt idx="7">
                  <c:v>2045</c:v>
                </c:pt>
                <c:pt idx="8">
                  <c:v>2050</c:v>
                </c:pt>
              </c:strCache>
            </c:strRef>
          </c:cat>
          <c:val>
            <c:numRef>
              <c:f>data!$C$20:$K$20</c:f>
              <c:numCache>
                <c:formatCode>0.00</c:formatCode>
                <c:ptCount val="9"/>
                <c:pt idx="0">
                  <c:v>1.0</c:v>
                </c:pt>
                <c:pt idx="1">
                  <c:v>1.244580924855491</c:v>
                </c:pt>
                <c:pt idx="2">
                  <c:v>1.500361271676301</c:v>
                </c:pt>
                <c:pt idx="3">
                  <c:v>1.800578034682081</c:v>
                </c:pt>
                <c:pt idx="4">
                  <c:v>2.153179190751445</c:v>
                </c:pt>
                <c:pt idx="5">
                  <c:v>2.56864161849711</c:v>
                </c:pt>
                <c:pt idx="6">
                  <c:v>3.05635838150289</c:v>
                </c:pt>
                <c:pt idx="7">
                  <c:v>3.571170520231214</c:v>
                </c:pt>
                <c:pt idx="8">
                  <c:v>4.152817919075135</c:v>
                </c:pt>
              </c:numCache>
            </c:numRef>
          </c:val>
        </c:ser>
        <c:ser>
          <c:idx val="6"/>
          <c:order val="6"/>
          <c:tx>
            <c:strRef>
              <c:f>data!$A$21:$B$21</c:f>
              <c:strCache>
                <c:ptCount val="1"/>
                <c:pt idx="0">
                  <c:v>Upper-middle-income countries HCS</c:v>
                </c:pt>
              </c:strCache>
            </c:strRef>
          </c:tx>
          <c:spPr>
            <a:ln>
              <a:solidFill>
                <a:schemeClr val="accent3"/>
              </a:solidFill>
              <a:prstDash val="dash"/>
            </a:ln>
          </c:spPr>
          <c:marker>
            <c:symbol val="none"/>
          </c:marker>
          <c:cat>
            <c:strRef>
              <c:f>data!$C$1:$K$2</c:f>
              <c:strCache>
                <c:ptCount val="9"/>
                <c:pt idx="0">
                  <c:v>2010</c:v>
                </c:pt>
                <c:pt idx="1">
                  <c:v>2015</c:v>
                </c:pt>
                <c:pt idx="2">
                  <c:v>2020</c:v>
                </c:pt>
                <c:pt idx="3">
                  <c:v>2025</c:v>
                </c:pt>
                <c:pt idx="4">
                  <c:v>2030</c:v>
                </c:pt>
                <c:pt idx="5">
                  <c:v>2035</c:v>
                </c:pt>
                <c:pt idx="6">
                  <c:v>2040</c:v>
                </c:pt>
                <c:pt idx="7">
                  <c:v>2045</c:v>
                </c:pt>
                <c:pt idx="8">
                  <c:v>2050</c:v>
                </c:pt>
              </c:strCache>
            </c:strRef>
          </c:cat>
          <c:val>
            <c:numRef>
              <c:f>data!$C$21:$K$21</c:f>
              <c:numCache>
                <c:formatCode>0.00</c:formatCode>
                <c:ptCount val="9"/>
                <c:pt idx="0">
                  <c:v>1.0</c:v>
                </c:pt>
                <c:pt idx="1">
                  <c:v>1.195226730310263</c:v>
                </c:pt>
                <c:pt idx="2">
                  <c:v>1.37326968973747</c:v>
                </c:pt>
                <c:pt idx="3">
                  <c:v>1.570405727923628</c:v>
                </c:pt>
                <c:pt idx="4">
                  <c:v>1.781861575178998</c:v>
                </c:pt>
                <c:pt idx="5">
                  <c:v>2.009546539379475</c:v>
                </c:pt>
                <c:pt idx="6">
                  <c:v>2.254415274463007</c:v>
                </c:pt>
                <c:pt idx="7">
                  <c:v>2.490692124105012</c:v>
                </c:pt>
                <c:pt idx="8">
                  <c:v>2.73508353221957</c:v>
                </c:pt>
              </c:numCache>
            </c:numRef>
          </c:val>
        </c:ser>
        <c:ser>
          <c:idx val="7"/>
          <c:order val="7"/>
          <c:tx>
            <c:strRef>
              <c:f>data!$A$22:$B$22</c:f>
              <c:strCache>
                <c:ptCount val="1"/>
                <c:pt idx="0">
                  <c:v>High-income countries HCs</c:v>
                </c:pt>
              </c:strCache>
            </c:strRef>
          </c:tx>
          <c:spPr>
            <a:ln>
              <a:solidFill>
                <a:schemeClr val="tx2"/>
              </a:solidFill>
              <a:prstDash val="dash"/>
            </a:ln>
          </c:spPr>
          <c:marker>
            <c:symbol val="none"/>
          </c:marker>
          <c:cat>
            <c:strRef>
              <c:f>data!$C$1:$K$2</c:f>
              <c:strCache>
                <c:ptCount val="9"/>
                <c:pt idx="0">
                  <c:v>2010</c:v>
                </c:pt>
                <c:pt idx="1">
                  <c:v>2015</c:v>
                </c:pt>
                <c:pt idx="2">
                  <c:v>2020</c:v>
                </c:pt>
                <c:pt idx="3">
                  <c:v>2025</c:v>
                </c:pt>
                <c:pt idx="4">
                  <c:v>2030</c:v>
                </c:pt>
                <c:pt idx="5">
                  <c:v>2035</c:v>
                </c:pt>
                <c:pt idx="6">
                  <c:v>2040</c:v>
                </c:pt>
                <c:pt idx="7">
                  <c:v>2045</c:v>
                </c:pt>
                <c:pt idx="8">
                  <c:v>2050</c:v>
                </c:pt>
              </c:strCache>
            </c:strRef>
          </c:cat>
          <c:val>
            <c:numRef>
              <c:f>data!$C$22:$K$22</c:f>
              <c:numCache>
                <c:formatCode>0.00</c:formatCode>
                <c:ptCount val="9"/>
                <c:pt idx="0">
                  <c:v>1.0</c:v>
                </c:pt>
                <c:pt idx="1">
                  <c:v>1.076989769377493</c:v>
                </c:pt>
                <c:pt idx="2">
                  <c:v>1.151031732269811</c:v>
                </c:pt>
                <c:pt idx="3">
                  <c:v>1.227501300502861</c:v>
                </c:pt>
                <c:pt idx="4">
                  <c:v>1.306225073695162</c:v>
                </c:pt>
                <c:pt idx="5">
                  <c:v>1.384948846887463</c:v>
                </c:pt>
                <c:pt idx="6">
                  <c:v>1.464366221605688</c:v>
                </c:pt>
                <c:pt idx="7">
                  <c:v>1.538754985260968</c:v>
                </c:pt>
                <c:pt idx="8">
                  <c:v>1.612623547771805</c:v>
                </c:pt>
              </c:numCache>
            </c:numRef>
          </c:val>
        </c:ser>
        <c:marker val="1"/>
        <c:axId val="727201800"/>
        <c:axId val="727208952"/>
      </c:lineChart>
      <c:catAx>
        <c:axId val="727201800"/>
        <c:scaling>
          <c:orientation val="minMax"/>
        </c:scaling>
        <c:axPos val="b"/>
        <c:title>
          <c:tx>
            <c:rich>
              <a:bodyPr/>
              <a:lstStyle/>
              <a:p>
                <a:pPr>
                  <a:defRPr/>
                </a:pPr>
                <a:r>
                  <a:rPr lang="en-US"/>
                  <a:t>Year</a:t>
                </a:r>
              </a:p>
            </c:rich>
          </c:tx>
        </c:title>
        <c:tickLblPos val="nextTo"/>
        <c:crossAx val="727208952"/>
        <c:crosses val="autoZero"/>
        <c:auto val="1"/>
        <c:lblAlgn val="ctr"/>
        <c:lblOffset val="100"/>
      </c:catAx>
      <c:valAx>
        <c:axId val="727208952"/>
        <c:scaling>
          <c:orientation val="minMax"/>
        </c:scaling>
        <c:axPos val="l"/>
        <c:majorGridlines/>
        <c:numFmt formatCode="0" sourceLinked="0"/>
        <c:tickLblPos val="nextTo"/>
        <c:crossAx val="727201800"/>
        <c:crosses val="autoZero"/>
        <c:crossBetween val="between"/>
      </c:valAx>
    </c:plotArea>
    <c:legend>
      <c:legendPos val="t"/>
      <c:layout>
        <c:manualLayout>
          <c:xMode val="edge"/>
          <c:yMode val="edge"/>
          <c:x val="0.0153379265091863"/>
          <c:y val="0.0204464133583234"/>
          <c:w val="0.957750072907553"/>
          <c:h val="0.137458392756281"/>
        </c:manualLayout>
      </c:layout>
    </c:legend>
    <c:plotVisOnly val="1"/>
  </c:chart>
  <c:txPr>
    <a:bodyPr/>
    <a:lstStyle/>
    <a:p>
      <a:pPr>
        <a:defRPr b="0">
          <a:latin typeface="Times New Roman"/>
          <a:cs typeface="Times New Roman"/>
        </a:defRPr>
      </a:pPr>
      <a:endParaRPr lang="en-US"/>
    </a:p>
  </c:tx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0566716098088729"/>
          <c:y val="0.244141981826305"/>
          <c:w val="0.927041669289796"/>
          <c:h val="0.663951390128032"/>
        </c:manualLayout>
      </c:layout>
      <c:lineChart>
        <c:grouping val="standard"/>
        <c:ser>
          <c:idx val="7"/>
          <c:order val="7"/>
          <c:tx>
            <c:strRef>
              <c:f>Sheet1!$A$3:$B$3</c:f>
              <c:strCache>
                <c:ptCount val="1"/>
                <c:pt idx="0">
                  <c:v>East Asia and the Pacific HCS</c:v>
                </c:pt>
              </c:strCache>
            </c:strRef>
          </c:tx>
          <c:spPr>
            <a:ln>
              <a:solidFill>
                <a:schemeClr val="accent5"/>
              </a:solidFill>
              <a:prstDash val="dash"/>
            </a:ln>
          </c:spPr>
          <c:marker>
            <c:symbol val="none"/>
          </c:marker>
          <c:cat>
            <c:numRef>
              <c:f>Sheet1!$C$2:$J$2</c:f>
              <c:numCache>
                <c:formatCode>General</c:formatCode>
                <c:ptCount val="8"/>
                <c:pt idx="0">
                  <c:v>2010.0</c:v>
                </c:pt>
                <c:pt idx="1">
                  <c:v>2015.0</c:v>
                </c:pt>
                <c:pt idx="2">
                  <c:v>2020.0</c:v>
                </c:pt>
                <c:pt idx="3">
                  <c:v>2025.0</c:v>
                </c:pt>
                <c:pt idx="4">
                  <c:v>2030.0</c:v>
                </c:pt>
                <c:pt idx="5">
                  <c:v>2035.0</c:v>
                </c:pt>
                <c:pt idx="6">
                  <c:v>2040.0</c:v>
                </c:pt>
                <c:pt idx="7">
                  <c:v>2045.0</c:v>
                </c:pt>
              </c:numCache>
            </c:numRef>
          </c:cat>
          <c:val>
            <c:numRef>
              <c:f>Sheet1!$C$3:$J$3</c:f>
              <c:numCache>
                <c:formatCode>0.00</c:formatCode>
                <c:ptCount val="8"/>
                <c:pt idx="0">
                  <c:v>1.0</c:v>
                </c:pt>
                <c:pt idx="1">
                  <c:v>0.826522327469553</c:v>
                </c:pt>
                <c:pt idx="2">
                  <c:v>0.756427604871448</c:v>
                </c:pt>
                <c:pt idx="3">
                  <c:v>0.684100135317997</c:v>
                </c:pt>
                <c:pt idx="4">
                  <c:v>0.618403247631935</c:v>
                </c:pt>
                <c:pt idx="5">
                  <c:v>0.552503382949932</c:v>
                </c:pt>
                <c:pt idx="6">
                  <c:v>0.487144790257104</c:v>
                </c:pt>
                <c:pt idx="7">
                  <c:v>0.442016238159675</c:v>
                </c:pt>
              </c:numCache>
            </c:numRef>
          </c:val>
        </c:ser>
        <c:ser>
          <c:idx val="8"/>
          <c:order val="8"/>
          <c:tx>
            <c:strRef>
              <c:f>Sheet1!$A$4:$B$4</c:f>
              <c:strCache>
                <c:ptCount val="1"/>
                <c:pt idx="0">
                  <c:v>Europe and Central Asia HCS</c:v>
                </c:pt>
              </c:strCache>
            </c:strRef>
          </c:tx>
          <c:spPr>
            <a:ln>
              <a:solidFill>
                <a:srgbClr val="FFFF00"/>
              </a:solidFill>
              <a:prstDash val="dash"/>
            </a:ln>
          </c:spPr>
          <c:marker>
            <c:symbol val="none"/>
          </c:marker>
          <c:cat>
            <c:numRef>
              <c:f>Sheet1!$C$2:$J$2</c:f>
              <c:numCache>
                <c:formatCode>General</c:formatCode>
                <c:ptCount val="8"/>
                <c:pt idx="0">
                  <c:v>2010.0</c:v>
                </c:pt>
                <c:pt idx="1">
                  <c:v>2015.0</c:v>
                </c:pt>
                <c:pt idx="2">
                  <c:v>2020.0</c:v>
                </c:pt>
                <c:pt idx="3">
                  <c:v>2025.0</c:v>
                </c:pt>
                <c:pt idx="4">
                  <c:v>2030.0</c:v>
                </c:pt>
                <c:pt idx="5">
                  <c:v>2035.0</c:v>
                </c:pt>
                <c:pt idx="6">
                  <c:v>2040.0</c:v>
                </c:pt>
                <c:pt idx="7">
                  <c:v>2045.0</c:v>
                </c:pt>
              </c:numCache>
            </c:numRef>
          </c:cat>
          <c:val>
            <c:numRef>
              <c:f>Sheet1!$C$4:$J$4</c:f>
              <c:numCache>
                <c:formatCode>0.00</c:formatCode>
                <c:ptCount val="8"/>
                <c:pt idx="0">
                  <c:v>1.0</c:v>
                </c:pt>
                <c:pt idx="1">
                  <c:v>0.866977225672878</c:v>
                </c:pt>
                <c:pt idx="2">
                  <c:v>0.833333333333333</c:v>
                </c:pt>
                <c:pt idx="3">
                  <c:v>0.791407867494824</c:v>
                </c:pt>
                <c:pt idx="4">
                  <c:v>0.749482401656315</c:v>
                </c:pt>
                <c:pt idx="5">
                  <c:v>0.714803312629399</c:v>
                </c:pt>
                <c:pt idx="6">
                  <c:v>0.647515527950311</c:v>
                </c:pt>
                <c:pt idx="7">
                  <c:v>0.614906832298137</c:v>
                </c:pt>
              </c:numCache>
            </c:numRef>
          </c:val>
        </c:ser>
        <c:ser>
          <c:idx val="9"/>
          <c:order val="9"/>
          <c:tx>
            <c:strRef>
              <c:f>Sheet1!$A$5:$B$5</c:f>
              <c:strCache>
                <c:ptCount val="1"/>
                <c:pt idx="0">
                  <c:v>Latin America and Caribbean HCS</c:v>
                </c:pt>
              </c:strCache>
            </c:strRef>
          </c:tx>
          <c:spPr>
            <a:ln>
              <a:solidFill>
                <a:schemeClr val="accent3"/>
              </a:solidFill>
              <a:prstDash val="dash"/>
            </a:ln>
          </c:spPr>
          <c:marker>
            <c:symbol val="none"/>
          </c:marker>
          <c:cat>
            <c:numRef>
              <c:f>Sheet1!$C$2:$J$2</c:f>
              <c:numCache>
                <c:formatCode>General</c:formatCode>
                <c:ptCount val="8"/>
                <c:pt idx="0">
                  <c:v>2010.0</c:v>
                </c:pt>
                <c:pt idx="1">
                  <c:v>2015.0</c:v>
                </c:pt>
                <c:pt idx="2">
                  <c:v>2020.0</c:v>
                </c:pt>
                <c:pt idx="3">
                  <c:v>2025.0</c:v>
                </c:pt>
                <c:pt idx="4">
                  <c:v>2030.0</c:v>
                </c:pt>
                <c:pt idx="5">
                  <c:v>2035.0</c:v>
                </c:pt>
                <c:pt idx="6">
                  <c:v>2040.0</c:v>
                </c:pt>
                <c:pt idx="7">
                  <c:v>2045.0</c:v>
                </c:pt>
              </c:numCache>
            </c:numRef>
          </c:cat>
          <c:val>
            <c:numRef>
              <c:f>Sheet1!$C$5:$J$5</c:f>
              <c:numCache>
                <c:formatCode>0.00</c:formatCode>
                <c:ptCount val="8"/>
                <c:pt idx="0">
                  <c:v>1.0</c:v>
                </c:pt>
                <c:pt idx="1">
                  <c:v>0.895567124152074</c:v>
                </c:pt>
                <c:pt idx="2">
                  <c:v>0.843823946994794</c:v>
                </c:pt>
                <c:pt idx="3">
                  <c:v>0.791134248304149</c:v>
                </c:pt>
                <c:pt idx="4">
                  <c:v>0.73828679602461</c:v>
                </c:pt>
                <c:pt idx="5">
                  <c:v>0.690645212178577</c:v>
                </c:pt>
                <c:pt idx="6">
                  <c:v>0.613109323237104</c:v>
                </c:pt>
                <c:pt idx="7">
                  <c:v>0.57493295472472</c:v>
                </c:pt>
              </c:numCache>
            </c:numRef>
          </c:val>
        </c:ser>
        <c:ser>
          <c:idx val="10"/>
          <c:order val="10"/>
          <c:tx>
            <c:strRef>
              <c:f>Sheet1!$A$6:$B$6</c:f>
              <c:strCache>
                <c:ptCount val="1"/>
                <c:pt idx="0">
                  <c:v>Middle East and North Africa HCS</c:v>
                </c:pt>
              </c:strCache>
            </c:strRef>
          </c:tx>
          <c:spPr>
            <a:ln>
              <a:solidFill>
                <a:schemeClr val="accent2"/>
              </a:solidFill>
              <a:prstDash val="dash"/>
            </a:ln>
          </c:spPr>
          <c:marker>
            <c:symbol val="none"/>
          </c:marker>
          <c:cat>
            <c:numRef>
              <c:f>Sheet1!$C$2:$J$2</c:f>
              <c:numCache>
                <c:formatCode>General</c:formatCode>
                <c:ptCount val="8"/>
                <c:pt idx="0">
                  <c:v>2010.0</c:v>
                </c:pt>
                <c:pt idx="1">
                  <c:v>2015.0</c:v>
                </c:pt>
                <c:pt idx="2">
                  <c:v>2020.0</c:v>
                </c:pt>
                <c:pt idx="3">
                  <c:v>2025.0</c:v>
                </c:pt>
                <c:pt idx="4">
                  <c:v>2030.0</c:v>
                </c:pt>
                <c:pt idx="5">
                  <c:v>2035.0</c:v>
                </c:pt>
                <c:pt idx="6">
                  <c:v>2040.0</c:v>
                </c:pt>
                <c:pt idx="7">
                  <c:v>2045.0</c:v>
                </c:pt>
              </c:numCache>
            </c:numRef>
          </c:cat>
          <c:val>
            <c:numRef>
              <c:f>Sheet1!$C$6:$J$6</c:f>
              <c:numCache>
                <c:formatCode>0.00</c:formatCode>
                <c:ptCount val="8"/>
                <c:pt idx="0">
                  <c:v>1.0</c:v>
                </c:pt>
                <c:pt idx="1">
                  <c:v>0.886761686193985</c:v>
                </c:pt>
                <c:pt idx="2">
                  <c:v>0.826971856504409</c:v>
                </c:pt>
                <c:pt idx="3">
                  <c:v>0.770745259089262</c:v>
                </c:pt>
                <c:pt idx="4">
                  <c:v>0.719410556830535</c:v>
                </c:pt>
                <c:pt idx="5">
                  <c:v>0.669887667592704</c:v>
                </c:pt>
                <c:pt idx="6">
                  <c:v>0.598562628336756</c:v>
                </c:pt>
                <c:pt idx="7">
                  <c:v>0.553871240487982</c:v>
                </c:pt>
              </c:numCache>
            </c:numRef>
          </c:val>
        </c:ser>
        <c:ser>
          <c:idx val="11"/>
          <c:order val="11"/>
          <c:tx>
            <c:strRef>
              <c:f>Sheet1!$A$7:$B$7</c:f>
              <c:strCache>
                <c:ptCount val="1"/>
                <c:pt idx="0">
                  <c:v>South Asia HCS</c:v>
                </c:pt>
              </c:strCache>
            </c:strRef>
          </c:tx>
          <c:spPr>
            <a:ln>
              <a:solidFill>
                <a:schemeClr val="accent2">
                  <a:lumMod val="40000"/>
                  <a:lumOff val="60000"/>
                </a:schemeClr>
              </a:solidFill>
              <a:prstDash val="dash"/>
            </a:ln>
          </c:spPr>
          <c:marker>
            <c:symbol val="none"/>
          </c:marker>
          <c:cat>
            <c:numRef>
              <c:f>Sheet1!$C$2:$J$2</c:f>
              <c:numCache>
                <c:formatCode>General</c:formatCode>
                <c:ptCount val="8"/>
                <c:pt idx="0">
                  <c:v>2010.0</c:v>
                </c:pt>
                <c:pt idx="1">
                  <c:v>2015.0</c:v>
                </c:pt>
                <c:pt idx="2">
                  <c:v>2020.0</c:v>
                </c:pt>
                <c:pt idx="3">
                  <c:v>2025.0</c:v>
                </c:pt>
                <c:pt idx="4">
                  <c:v>2030.0</c:v>
                </c:pt>
                <c:pt idx="5">
                  <c:v>2035.0</c:v>
                </c:pt>
                <c:pt idx="6">
                  <c:v>2040.0</c:v>
                </c:pt>
                <c:pt idx="7">
                  <c:v>2045.0</c:v>
                </c:pt>
              </c:numCache>
            </c:numRef>
          </c:cat>
          <c:val>
            <c:numRef>
              <c:f>Sheet1!$C$7:$J$7</c:f>
              <c:numCache>
                <c:formatCode>0.00</c:formatCode>
                <c:ptCount val="8"/>
                <c:pt idx="0">
                  <c:v>1.0</c:v>
                </c:pt>
                <c:pt idx="1">
                  <c:v>0.867637224137044</c:v>
                </c:pt>
                <c:pt idx="2">
                  <c:v>0.801687329595144</c:v>
                </c:pt>
                <c:pt idx="3">
                  <c:v>0.747620762384896</c:v>
                </c:pt>
                <c:pt idx="4">
                  <c:v>0.700704768763825</c:v>
                </c:pt>
                <c:pt idx="5">
                  <c:v>0.64823293379289</c:v>
                </c:pt>
                <c:pt idx="6">
                  <c:v>0.573074746643346</c:v>
                </c:pt>
                <c:pt idx="7">
                  <c:v>0.505684448788518</c:v>
                </c:pt>
              </c:numCache>
            </c:numRef>
          </c:val>
        </c:ser>
        <c:ser>
          <c:idx val="12"/>
          <c:order val="12"/>
          <c:tx>
            <c:strRef>
              <c:f>Sheet1!$A$8:$B$8</c:f>
              <c:strCache>
                <c:ptCount val="1"/>
                <c:pt idx="0">
                  <c:v>Sub-Saharan Africa HCS</c:v>
                </c:pt>
              </c:strCache>
            </c:strRef>
          </c:tx>
          <c:spPr>
            <a:ln>
              <a:solidFill>
                <a:schemeClr val="accent6">
                  <a:lumMod val="75000"/>
                </a:schemeClr>
              </a:solidFill>
              <a:prstDash val="dash"/>
            </a:ln>
          </c:spPr>
          <c:marker>
            <c:symbol val="none"/>
          </c:marker>
          <c:cat>
            <c:numRef>
              <c:f>Sheet1!$C$2:$J$2</c:f>
              <c:numCache>
                <c:formatCode>General</c:formatCode>
                <c:ptCount val="8"/>
                <c:pt idx="0">
                  <c:v>2010.0</c:v>
                </c:pt>
                <c:pt idx="1">
                  <c:v>2015.0</c:v>
                </c:pt>
                <c:pt idx="2">
                  <c:v>2020.0</c:v>
                </c:pt>
                <c:pt idx="3">
                  <c:v>2025.0</c:v>
                </c:pt>
                <c:pt idx="4">
                  <c:v>2030.0</c:v>
                </c:pt>
                <c:pt idx="5">
                  <c:v>2035.0</c:v>
                </c:pt>
                <c:pt idx="6">
                  <c:v>2040.0</c:v>
                </c:pt>
                <c:pt idx="7">
                  <c:v>2045.0</c:v>
                </c:pt>
              </c:numCache>
            </c:numRef>
          </c:cat>
          <c:val>
            <c:numRef>
              <c:f>Sheet1!$C$8:$J$8</c:f>
              <c:numCache>
                <c:formatCode>0.00</c:formatCode>
                <c:ptCount val="8"/>
                <c:pt idx="0">
                  <c:v>1.0</c:v>
                </c:pt>
                <c:pt idx="1">
                  <c:v>0.920573583500163</c:v>
                </c:pt>
                <c:pt idx="2">
                  <c:v>0.910331020997253</c:v>
                </c:pt>
                <c:pt idx="3">
                  <c:v>0.890777038037153</c:v>
                </c:pt>
                <c:pt idx="4">
                  <c:v>0.869127985474184</c:v>
                </c:pt>
                <c:pt idx="5">
                  <c:v>0.840355696261465</c:v>
                </c:pt>
                <c:pt idx="6">
                  <c:v>0.784300945109176</c:v>
                </c:pt>
                <c:pt idx="7">
                  <c:v>0.757204711578751</c:v>
                </c:pt>
              </c:numCache>
            </c:numRef>
          </c:val>
        </c:ser>
        <c:ser>
          <c:idx val="13"/>
          <c:order val="13"/>
          <c:tx>
            <c:strRef>
              <c:f>Sheet1!$A$9:$B$9</c:f>
              <c:strCache>
                <c:ptCount val="1"/>
                <c:pt idx="0">
                  <c:v>High-income countries HCS</c:v>
                </c:pt>
              </c:strCache>
            </c:strRef>
          </c:tx>
          <c:spPr>
            <a:ln>
              <a:solidFill>
                <a:schemeClr val="tx2"/>
              </a:solidFill>
              <a:prstDash val="dash"/>
            </a:ln>
          </c:spPr>
          <c:marker>
            <c:symbol val="none"/>
          </c:marker>
          <c:cat>
            <c:numRef>
              <c:f>Sheet1!$C$2:$J$2</c:f>
              <c:numCache>
                <c:formatCode>General</c:formatCode>
                <c:ptCount val="8"/>
                <c:pt idx="0">
                  <c:v>2010.0</c:v>
                </c:pt>
                <c:pt idx="1">
                  <c:v>2015.0</c:v>
                </c:pt>
                <c:pt idx="2">
                  <c:v>2020.0</c:v>
                </c:pt>
                <c:pt idx="3">
                  <c:v>2025.0</c:v>
                </c:pt>
                <c:pt idx="4">
                  <c:v>2030.0</c:v>
                </c:pt>
                <c:pt idx="5">
                  <c:v>2035.0</c:v>
                </c:pt>
                <c:pt idx="6">
                  <c:v>2040.0</c:v>
                </c:pt>
                <c:pt idx="7">
                  <c:v>2045.0</c:v>
                </c:pt>
              </c:numCache>
            </c:numRef>
          </c:cat>
          <c:val>
            <c:numRef>
              <c:f>Sheet1!$C$9:$J$9</c:f>
              <c:numCache>
                <c:formatCode>0.00</c:formatCode>
                <c:ptCount val="8"/>
                <c:pt idx="0">
                  <c:v>1.0</c:v>
                </c:pt>
                <c:pt idx="1">
                  <c:v>0.937554458321231</c:v>
                </c:pt>
                <c:pt idx="2">
                  <c:v>0.906549520766773</c:v>
                </c:pt>
                <c:pt idx="3">
                  <c:v>0.878521638106303</c:v>
                </c:pt>
                <c:pt idx="4">
                  <c:v>0.84417659018298</c:v>
                </c:pt>
                <c:pt idx="5">
                  <c:v>0.815640429857682</c:v>
                </c:pt>
                <c:pt idx="6">
                  <c:v>0.774034272436828</c:v>
                </c:pt>
                <c:pt idx="7">
                  <c:v>0.750653499854778</c:v>
                </c:pt>
              </c:numCache>
            </c:numRef>
          </c:val>
        </c:ser>
        <c:ser>
          <c:idx val="0"/>
          <c:order val="0"/>
          <c:tx>
            <c:strRef>
              <c:f>Sheet1!$A$12:$B$12</c:f>
              <c:strCache>
                <c:ptCount val="1"/>
                <c:pt idx="0">
                  <c:v>East Asia and the Pacific IFs</c:v>
                </c:pt>
              </c:strCache>
            </c:strRef>
          </c:tx>
          <c:spPr>
            <a:ln>
              <a:solidFill>
                <a:schemeClr val="accent5"/>
              </a:solidFill>
            </a:ln>
          </c:spPr>
          <c:marker>
            <c:symbol val="none"/>
          </c:marker>
          <c:cat>
            <c:numRef>
              <c:f>Sheet1!$C$2:$J$2</c:f>
              <c:numCache>
                <c:formatCode>General</c:formatCode>
                <c:ptCount val="8"/>
                <c:pt idx="0">
                  <c:v>2010.0</c:v>
                </c:pt>
                <c:pt idx="1">
                  <c:v>2015.0</c:v>
                </c:pt>
                <c:pt idx="2">
                  <c:v>2020.0</c:v>
                </c:pt>
                <c:pt idx="3">
                  <c:v>2025.0</c:v>
                </c:pt>
                <c:pt idx="4">
                  <c:v>2030.0</c:v>
                </c:pt>
                <c:pt idx="5">
                  <c:v>2035.0</c:v>
                </c:pt>
                <c:pt idx="6">
                  <c:v>2040.0</c:v>
                </c:pt>
                <c:pt idx="7">
                  <c:v>2045.0</c:v>
                </c:pt>
              </c:numCache>
            </c:numRef>
          </c:cat>
          <c:val>
            <c:numRef>
              <c:f>Sheet1!$C$12:$J$12</c:f>
              <c:numCache>
                <c:formatCode>0.00</c:formatCode>
                <c:ptCount val="8"/>
                <c:pt idx="0">
                  <c:v>1.0</c:v>
                </c:pt>
                <c:pt idx="1">
                  <c:v>0.611345029239766</c:v>
                </c:pt>
                <c:pt idx="2">
                  <c:v>0.450760233918129</c:v>
                </c:pt>
                <c:pt idx="3">
                  <c:v>0.41953216374269</c:v>
                </c:pt>
                <c:pt idx="4">
                  <c:v>0.299766081871345</c:v>
                </c:pt>
                <c:pt idx="5">
                  <c:v>0.226900584795322</c:v>
                </c:pt>
                <c:pt idx="6">
                  <c:v>0.189239766081871</c:v>
                </c:pt>
                <c:pt idx="7">
                  <c:v>0.159766081871345</c:v>
                </c:pt>
              </c:numCache>
            </c:numRef>
          </c:val>
        </c:ser>
        <c:ser>
          <c:idx val="1"/>
          <c:order val="1"/>
          <c:tx>
            <c:strRef>
              <c:f>Sheet1!$A$13:$B$13</c:f>
              <c:strCache>
                <c:ptCount val="1"/>
                <c:pt idx="0">
                  <c:v>Europe and Central Asia IFs</c:v>
                </c:pt>
              </c:strCache>
            </c:strRef>
          </c:tx>
          <c:spPr>
            <a:ln>
              <a:solidFill>
                <a:srgbClr val="FFFF00"/>
              </a:solidFill>
              <a:prstDash val="solid"/>
            </a:ln>
          </c:spPr>
          <c:marker>
            <c:symbol val="none"/>
          </c:marker>
          <c:cat>
            <c:numRef>
              <c:f>Sheet1!$C$2:$J$2</c:f>
              <c:numCache>
                <c:formatCode>General</c:formatCode>
                <c:ptCount val="8"/>
                <c:pt idx="0">
                  <c:v>2010.0</c:v>
                </c:pt>
                <c:pt idx="1">
                  <c:v>2015.0</c:v>
                </c:pt>
                <c:pt idx="2">
                  <c:v>2020.0</c:v>
                </c:pt>
                <c:pt idx="3">
                  <c:v>2025.0</c:v>
                </c:pt>
                <c:pt idx="4">
                  <c:v>2030.0</c:v>
                </c:pt>
                <c:pt idx="5">
                  <c:v>2035.0</c:v>
                </c:pt>
                <c:pt idx="6">
                  <c:v>2040.0</c:v>
                </c:pt>
                <c:pt idx="7">
                  <c:v>2045.0</c:v>
                </c:pt>
              </c:numCache>
            </c:numRef>
          </c:cat>
          <c:val>
            <c:numRef>
              <c:f>Sheet1!$C$13:$J$13</c:f>
              <c:numCache>
                <c:formatCode>0.00</c:formatCode>
                <c:ptCount val="8"/>
                <c:pt idx="0">
                  <c:v>1.0</c:v>
                </c:pt>
                <c:pt idx="1">
                  <c:v>0.969346049046322</c:v>
                </c:pt>
                <c:pt idx="2">
                  <c:v>0.874489100817439</c:v>
                </c:pt>
                <c:pt idx="3">
                  <c:v>0.702656675749319</c:v>
                </c:pt>
                <c:pt idx="4">
                  <c:v>0.563181198910082</c:v>
                </c:pt>
                <c:pt idx="5">
                  <c:v>0.470708446866485</c:v>
                </c:pt>
                <c:pt idx="6">
                  <c:v>0.388453678474114</c:v>
                </c:pt>
                <c:pt idx="7">
                  <c:v>0.327656675749319</c:v>
                </c:pt>
              </c:numCache>
            </c:numRef>
          </c:val>
        </c:ser>
        <c:ser>
          <c:idx val="2"/>
          <c:order val="2"/>
          <c:tx>
            <c:strRef>
              <c:f>Sheet1!$A$14:$B$14</c:f>
              <c:strCache>
                <c:ptCount val="1"/>
                <c:pt idx="0">
                  <c:v>Latin America and Caribbean IFs</c:v>
                </c:pt>
              </c:strCache>
            </c:strRef>
          </c:tx>
          <c:marker>
            <c:symbol val="none"/>
          </c:marker>
          <c:cat>
            <c:numRef>
              <c:f>Sheet1!$C$2:$J$2</c:f>
              <c:numCache>
                <c:formatCode>General</c:formatCode>
                <c:ptCount val="8"/>
                <c:pt idx="0">
                  <c:v>2010.0</c:v>
                </c:pt>
                <c:pt idx="1">
                  <c:v>2015.0</c:v>
                </c:pt>
                <c:pt idx="2">
                  <c:v>2020.0</c:v>
                </c:pt>
                <c:pt idx="3">
                  <c:v>2025.0</c:v>
                </c:pt>
                <c:pt idx="4">
                  <c:v>2030.0</c:v>
                </c:pt>
                <c:pt idx="5">
                  <c:v>2035.0</c:v>
                </c:pt>
                <c:pt idx="6">
                  <c:v>2040.0</c:v>
                </c:pt>
                <c:pt idx="7">
                  <c:v>2045.0</c:v>
                </c:pt>
              </c:numCache>
            </c:numRef>
          </c:cat>
          <c:val>
            <c:numRef>
              <c:f>Sheet1!$C$14:$J$14</c:f>
              <c:numCache>
                <c:formatCode>0.00</c:formatCode>
                <c:ptCount val="8"/>
                <c:pt idx="0">
                  <c:v>1.0</c:v>
                </c:pt>
                <c:pt idx="1">
                  <c:v>1.056454796683774</c:v>
                </c:pt>
                <c:pt idx="2">
                  <c:v>1.110540860639558</c:v>
                </c:pt>
                <c:pt idx="3">
                  <c:v>0.999605211212002</c:v>
                </c:pt>
                <c:pt idx="4">
                  <c:v>0.900118436636399</c:v>
                </c:pt>
                <c:pt idx="5">
                  <c:v>0.761152783260955</c:v>
                </c:pt>
                <c:pt idx="6">
                  <c:v>0.637189103829451</c:v>
                </c:pt>
                <c:pt idx="7">
                  <c:v>0.546782471377813</c:v>
                </c:pt>
              </c:numCache>
            </c:numRef>
          </c:val>
        </c:ser>
        <c:ser>
          <c:idx val="3"/>
          <c:order val="3"/>
          <c:tx>
            <c:strRef>
              <c:f>Sheet1!$A$15:$B$15</c:f>
              <c:strCache>
                <c:ptCount val="1"/>
                <c:pt idx="0">
                  <c:v>Middle East and North Africa IFs</c:v>
                </c:pt>
              </c:strCache>
            </c:strRef>
          </c:tx>
          <c:spPr>
            <a:ln>
              <a:solidFill>
                <a:schemeClr val="accent2"/>
              </a:solidFill>
            </a:ln>
          </c:spPr>
          <c:marker>
            <c:symbol val="none"/>
          </c:marker>
          <c:cat>
            <c:numRef>
              <c:f>Sheet1!$C$2:$J$2</c:f>
              <c:numCache>
                <c:formatCode>General</c:formatCode>
                <c:ptCount val="8"/>
                <c:pt idx="0">
                  <c:v>2010.0</c:v>
                </c:pt>
                <c:pt idx="1">
                  <c:v>2015.0</c:v>
                </c:pt>
                <c:pt idx="2">
                  <c:v>2020.0</c:v>
                </c:pt>
                <c:pt idx="3">
                  <c:v>2025.0</c:v>
                </c:pt>
                <c:pt idx="4">
                  <c:v>2030.0</c:v>
                </c:pt>
                <c:pt idx="5">
                  <c:v>2035.0</c:v>
                </c:pt>
                <c:pt idx="6">
                  <c:v>2040.0</c:v>
                </c:pt>
                <c:pt idx="7">
                  <c:v>2045.0</c:v>
                </c:pt>
              </c:numCache>
            </c:numRef>
          </c:cat>
          <c:val>
            <c:numRef>
              <c:f>Sheet1!$C$15:$J$15</c:f>
              <c:numCache>
                <c:formatCode>0.00</c:formatCode>
                <c:ptCount val="8"/>
                <c:pt idx="0">
                  <c:v>1.0</c:v>
                </c:pt>
                <c:pt idx="1">
                  <c:v>0.914258941121349</c:v>
                </c:pt>
                <c:pt idx="2">
                  <c:v>0.949867249726691</c:v>
                </c:pt>
                <c:pt idx="3">
                  <c:v>0.904419803217242</c:v>
                </c:pt>
                <c:pt idx="4">
                  <c:v>0.722942370763705</c:v>
                </c:pt>
                <c:pt idx="5">
                  <c:v>0.594565047633922</c:v>
                </c:pt>
                <c:pt idx="6">
                  <c:v>0.492737779166016</c:v>
                </c:pt>
                <c:pt idx="7">
                  <c:v>0.425894112134937</c:v>
                </c:pt>
              </c:numCache>
            </c:numRef>
          </c:val>
        </c:ser>
        <c:ser>
          <c:idx val="4"/>
          <c:order val="4"/>
          <c:tx>
            <c:strRef>
              <c:f>Sheet1!$A$16:$B$16</c:f>
              <c:strCache>
                <c:ptCount val="1"/>
                <c:pt idx="0">
                  <c:v>South Asia IFs</c:v>
                </c:pt>
              </c:strCache>
            </c:strRef>
          </c:tx>
          <c:spPr>
            <a:ln>
              <a:solidFill>
                <a:schemeClr val="accent2">
                  <a:lumMod val="40000"/>
                  <a:lumOff val="60000"/>
                </a:schemeClr>
              </a:solidFill>
            </a:ln>
          </c:spPr>
          <c:marker>
            <c:symbol val="none"/>
          </c:marker>
          <c:cat>
            <c:numRef>
              <c:f>Sheet1!$C$2:$J$2</c:f>
              <c:numCache>
                <c:formatCode>General</c:formatCode>
                <c:ptCount val="8"/>
                <c:pt idx="0">
                  <c:v>2010.0</c:v>
                </c:pt>
                <c:pt idx="1">
                  <c:v>2015.0</c:v>
                </c:pt>
                <c:pt idx="2">
                  <c:v>2020.0</c:v>
                </c:pt>
                <c:pt idx="3">
                  <c:v>2025.0</c:v>
                </c:pt>
                <c:pt idx="4">
                  <c:v>2030.0</c:v>
                </c:pt>
                <c:pt idx="5">
                  <c:v>2035.0</c:v>
                </c:pt>
                <c:pt idx="6">
                  <c:v>2040.0</c:v>
                </c:pt>
                <c:pt idx="7">
                  <c:v>2045.0</c:v>
                </c:pt>
              </c:numCache>
            </c:numRef>
          </c:cat>
          <c:val>
            <c:numRef>
              <c:f>Sheet1!$C$16:$J$16</c:f>
              <c:numCache>
                <c:formatCode>0.00</c:formatCode>
                <c:ptCount val="8"/>
                <c:pt idx="0">
                  <c:v>1.0</c:v>
                </c:pt>
                <c:pt idx="1">
                  <c:v>0.908146247594612</c:v>
                </c:pt>
                <c:pt idx="2">
                  <c:v>0.894547787042976</c:v>
                </c:pt>
                <c:pt idx="3">
                  <c:v>0.625272610647851</c:v>
                </c:pt>
                <c:pt idx="4">
                  <c:v>0.477870429762668</c:v>
                </c:pt>
                <c:pt idx="5">
                  <c:v>0.360615779345734</c:v>
                </c:pt>
                <c:pt idx="6">
                  <c:v>0.277742142398974</c:v>
                </c:pt>
                <c:pt idx="7">
                  <c:v>0.229377806286081</c:v>
                </c:pt>
              </c:numCache>
            </c:numRef>
          </c:val>
        </c:ser>
        <c:ser>
          <c:idx val="5"/>
          <c:order val="5"/>
          <c:tx>
            <c:strRef>
              <c:f>Sheet1!$A$17:$B$17</c:f>
              <c:strCache>
                <c:ptCount val="1"/>
                <c:pt idx="0">
                  <c:v>Sub-Saharan Africa IFs</c:v>
                </c:pt>
              </c:strCache>
            </c:strRef>
          </c:tx>
          <c:spPr>
            <a:ln>
              <a:solidFill>
                <a:schemeClr val="accent6">
                  <a:lumMod val="75000"/>
                </a:schemeClr>
              </a:solidFill>
            </a:ln>
          </c:spPr>
          <c:marker>
            <c:symbol val="none"/>
          </c:marker>
          <c:cat>
            <c:numRef>
              <c:f>Sheet1!$C$2:$J$2</c:f>
              <c:numCache>
                <c:formatCode>General</c:formatCode>
                <c:ptCount val="8"/>
                <c:pt idx="0">
                  <c:v>2010.0</c:v>
                </c:pt>
                <c:pt idx="1">
                  <c:v>2015.0</c:v>
                </c:pt>
                <c:pt idx="2">
                  <c:v>2020.0</c:v>
                </c:pt>
                <c:pt idx="3">
                  <c:v>2025.0</c:v>
                </c:pt>
                <c:pt idx="4">
                  <c:v>2030.0</c:v>
                </c:pt>
                <c:pt idx="5">
                  <c:v>2035.0</c:v>
                </c:pt>
                <c:pt idx="6">
                  <c:v>2040.0</c:v>
                </c:pt>
                <c:pt idx="7">
                  <c:v>2045.0</c:v>
                </c:pt>
              </c:numCache>
            </c:numRef>
          </c:cat>
          <c:val>
            <c:numRef>
              <c:f>Sheet1!$C$17:$J$17</c:f>
              <c:numCache>
                <c:formatCode>0.00</c:formatCode>
                <c:ptCount val="8"/>
                <c:pt idx="0">
                  <c:v>1.0</c:v>
                </c:pt>
                <c:pt idx="1">
                  <c:v>1.310577070258687</c:v>
                </c:pt>
                <c:pt idx="2">
                  <c:v>1.52625133935405</c:v>
                </c:pt>
                <c:pt idx="3">
                  <c:v>1.411602632787387</c:v>
                </c:pt>
                <c:pt idx="4">
                  <c:v>1.15291596510026</c:v>
                </c:pt>
                <c:pt idx="5">
                  <c:v>0.937241696004898</c:v>
                </c:pt>
                <c:pt idx="6">
                  <c:v>0.757844787999388</c:v>
                </c:pt>
                <c:pt idx="7">
                  <c:v>0.667074850757692</c:v>
                </c:pt>
              </c:numCache>
            </c:numRef>
          </c:val>
        </c:ser>
        <c:ser>
          <c:idx val="6"/>
          <c:order val="6"/>
          <c:tx>
            <c:strRef>
              <c:f>Sheet1!$A$18:$B$18</c:f>
              <c:strCache>
                <c:ptCount val="1"/>
                <c:pt idx="0">
                  <c:v>High-income countries IFs</c:v>
                </c:pt>
              </c:strCache>
            </c:strRef>
          </c:tx>
          <c:spPr>
            <a:ln>
              <a:solidFill>
                <a:schemeClr val="tx2"/>
              </a:solidFill>
              <a:prstDash val="solid"/>
            </a:ln>
          </c:spPr>
          <c:marker>
            <c:symbol val="none"/>
          </c:marker>
          <c:cat>
            <c:numRef>
              <c:f>Sheet1!$C$2:$J$2</c:f>
              <c:numCache>
                <c:formatCode>General</c:formatCode>
                <c:ptCount val="8"/>
                <c:pt idx="0">
                  <c:v>2010.0</c:v>
                </c:pt>
                <c:pt idx="1">
                  <c:v>2015.0</c:v>
                </c:pt>
                <c:pt idx="2">
                  <c:v>2020.0</c:v>
                </c:pt>
                <c:pt idx="3">
                  <c:v>2025.0</c:v>
                </c:pt>
                <c:pt idx="4">
                  <c:v>2030.0</c:v>
                </c:pt>
                <c:pt idx="5">
                  <c:v>2035.0</c:v>
                </c:pt>
                <c:pt idx="6">
                  <c:v>2040.0</c:v>
                </c:pt>
                <c:pt idx="7">
                  <c:v>2045.0</c:v>
                </c:pt>
              </c:numCache>
            </c:numRef>
          </c:cat>
          <c:val>
            <c:numRef>
              <c:f>Sheet1!$C$18:$J$18</c:f>
              <c:numCache>
                <c:formatCode>0.00</c:formatCode>
                <c:ptCount val="8"/>
                <c:pt idx="0">
                  <c:v>1.0</c:v>
                </c:pt>
                <c:pt idx="1">
                  <c:v>0.877200743165531</c:v>
                </c:pt>
                <c:pt idx="2">
                  <c:v>0.779969919490401</c:v>
                </c:pt>
                <c:pt idx="3">
                  <c:v>0.701229762010086</c:v>
                </c:pt>
                <c:pt idx="4">
                  <c:v>0.647881093514996</c:v>
                </c:pt>
                <c:pt idx="5">
                  <c:v>0.59214367866938</c:v>
                </c:pt>
                <c:pt idx="6">
                  <c:v>0.555870122976201</c:v>
                </c:pt>
                <c:pt idx="7">
                  <c:v>0.526585862160489</c:v>
                </c:pt>
              </c:numCache>
            </c:numRef>
          </c:val>
        </c:ser>
        <c:marker val="1"/>
        <c:axId val="81733464"/>
        <c:axId val="720775256"/>
      </c:lineChart>
      <c:catAx>
        <c:axId val="81733464"/>
        <c:scaling>
          <c:orientation val="minMax"/>
        </c:scaling>
        <c:axPos val="b"/>
        <c:title>
          <c:tx>
            <c:rich>
              <a:bodyPr/>
              <a:lstStyle/>
              <a:p>
                <a:pPr>
                  <a:defRPr/>
                </a:pPr>
                <a:r>
                  <a:rPr lang="en-US"/>
                  <a:t>Year</a:t>
                </a:r>
              </a:p>
            </c:rich>
          </c:tx>
        </c:title>
        <c:numFmt formatCode="General" sourceLinked="1"/>
        <c:tickLblPos val="nextTo"/>
        <c:crossAx val="720775256"/>
        <c:crosses val="autoZero"/>
        <c:auto val="1"/>
        <c:lblAlgn val="ctr"/>
        <c:lblOffset val="100"/>
        <c:tickLblSkip val="1"/>
        <c:tickMarkSkip val="1"/>
      </c:catAx>
      <c:valAx>
        <c:axId val="720775256"/>
        <c:scaling>
          <c:orientation val="minMax"/>
        </c:scaling>
        <c:axPos val="l"/>
        <c:majorGridlines/>
        <c:numFmt formatCode="0.0" sourceLinked="0"/>
        <c:tickLblPos val="nextTo"/>
        <c:crossAx val="81733464"/>
        <c:crosses val="autoZero"/>
        <c:crossBetween val="midCat"/>
      </c:valAx>
    </c:plotArea>
    <c:legend>
      <c:legendPos val="t"/>
      <c:layout>
        <c:manualLayout>
          <c:xMode val="edge"/>
          <c:yMode val="edge"/>
          <c:x val="0.0112276946537119"/>
          <c:y val="0.0130795848107228"/>
          <c:w val="0.970141439153883"/>
          <c:h val="0.232165267124877"/>
        </c:manualLayout>
      </c:layout>
    </c:legend>
    <c:plotVisOnly val="1"/>
  </c:chart>
  <c:txPr>
    <a:bodyPr/>
    <a:lstStyle/>
    <a:p>
      <a:pPr>
        <a:defRPr b="0">
          <a:latin typeface="Times New Roman"/>
          <a:cs typeface="Times New Roman"/>
        </a:defRPr>
      </a:pPr>
      <a:endParaRPr lang="en-US"/>
    </a:p>
  </c:tx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radarChart>
        <c:radarStyle val="marker"/>
        <c:ser>
          <c:idx val="0"/>
          <c:order val="0"/>
          <c:tx>
            <c:strRef>
              <c:f>'Figure 6.1'!$B$28</c:f>
              <c:strCache>
                <c:ptCount val="1"/>
                <c:pt idx="0">
                  <c:v>2030 Base case</c:v>
                </c:pt>
              </c:strCache>
            </c:strRef>
          </c:tx>
          <c:cat>
            <c:strRef>
              <c:f>'Figure 6.1'!$A$29:$A$33</c:f>
              <c:strCache>
                <c:ptCount val="5"/>
                <c:pt idx="0">
                  <c:v>Road access</c:v>
                </c:pt>
                <c:pt idx="1">
                  <c:v>Electricity</c:v>
                </c:pt>
                <c:pt idx="2">
                  <c:v>Improved water</c:v>
                </c:pt>
                <c:pt idx="3">
                  <c:v>Improved sanitation</c:v>
                </c:pt>
                <c:pt idx="4">
                  <c:v>ICT</c:v>
                </c:pt>
              </c:strCache>
            </c:strRef>
          </c:cat>
          <c:val>
            <c:numRef>
              <c:f>'Figure 6.1'!$B$29:$B$33</c:f>
              <c:numCache>
                <c:formatCode>General</c:formatCode>
                <c:ptCount val="5"/>
                <c:pt idx="0">
                  <c:v>74.1</c:v>
                </c:pt>
                <c:pt idx="1">
                  <c:v>87.43</c:v>
                </c:pt>
                <c:pt idx="2">
                  <c:v>92.45</c:v>
                </c:pt>
                <c:pt idx="3">
                  <c:v>73.94</c:v>
                </c:pt>
                <c:pt idx="4">
                  <c:v>87.55</c:v>
                </c:pt>
              </c:numCache>
            </c:numRef>
          </c:val>
        </c:ser>
        <c:ser>
          <c:idx val="1"/>
          <c:order val="1"/>
          <c:tx>
            <c:strRef>
              <c:f>'Figure 6.1'!$C$28</c:f>
              <c:strCache>
                <c:ptCount val="1"/>
                <c:pt idx="0">
                  <c:v>2030 Universal Targets</c:v>
                </c:pt>
              </c:strCache>
            </c:strRef>
          </c:tx>
          <c:cat>
            <c:strRef>
              <c:f>'Figure 6.1'!$A$29:$A$33</c:f>
              <c:strCache>
                <c:ptCount val="5"/>
                <c:pt idx="0">
                  <c:v>Road access</c:v>
                </c:pt>
                <c:pt idx="1">
                  <c:v>Electricity</c:v>
                </c:pt>
                <c:pt idx="2">
                  <c:v>Improved water</c:v>
                </c:pt>
                <c:pt idx="3">
                  <c:v>Improved sanitation</c:v>
                </c:pt>
                <c:pt idx="4">
                  <c:v>ICT</c:v>
                </c:pt>
              </c:strCache>
            </c:strRef>
          </c:cat>
          <c:val>
            <c:numRef>
              <c:f>'Figure 6.1'!$C$29:$C$33</c:f>
              <c:numCache>
                <c:formatCode>General</c:formatCode>
                <c:ptCount val="5"/>
                <c:pt idx="0">
                  <c:v>79.39</c:v>
                </c:pt>
                <c:pt idx="1">
                  <c:v>92.21</c:v>
                </c:pt>
                <c:pt idx="2">
                  <c:v>96.59</c:v>
                </c:pt>
                <c:pt idx="3">
                  <c:v>91.55</c:v>
                </c:pt>
                <c:pt idx="4">
                  <c:v>100.0</c:v>
                </c:pt>
              </c:numCache>
            </c:numRef>
          </c:val>
        </c:ser>
        <c:ser>
          <c:idx val="2"/>
          <c:order val="2"/>
          <c:tx>
            <c:strRef>
              <c:f>'Figure 6.1'!$D$28</c:f>
              <c:strCache>
                <c:ptCount val="1"/>
                <c:pt idx="0">
                  <c:v>2010</c:v>
                </c:pt>
              </c:strCache>
            </c:strRef>
          </c:tx>
          <c:cat>
            <c:strRef>
              <c:f>'Figure 6.1'!$A$29:$A$33</c:f>
              <c:strCache>
                <c:ptCount val="5"/>
                <c:pt idx="0">
                  <c:v>Road access</c:v>
                </c:pt>
                <c:pt idx="1">
                  <c:v>Electricity</c:v>
                </c:pt>
                <c:pt idx="2">
                  <c:v>Improved water</c:v>
                </c:pt>
                <c:pt idx="3">
                  <c:v>Improved sanitation</c:v>
                </c:pt>
                <c:pt idx="4">
                  <c:v>ICT</c:v>
                </c:pt>
              </c:strCache>
            </c:strRef>
          </c:cat>
          <c:val>
            <c:numRef>
              <c:f>'Figure 6.1'!$D$29:$D$33</c:f>
              <c:numCache>
                <c:formatCode>General</c:formatCode>
                <c:ptCount val="5"/>
                <c:pt idx="0">
                  <c:v>71.45</c:v>
                </c:pt>
                <c:pt idx="1">
                  <c:v>78.14</c:v>
                </c:pt>
                <c:pt idx="2">
                  <c:v>88.48</c:v>
                </c:pt>
                <c:pt idx="3">
                  <c:v>63.77</c:v>
                </c:pt>
                <c:pt idx="4">
                  <c:v>8.693</c:v>
                </c:pt>
              </c:numCache>
            </c:numRef>
          </c:val>
        </c:ser>
        <c:axId val="824192248"/>
        <c:axId val="824195304"/>
      </c:radarChart>
      <c:catAx>
        <c:axId val="824192248"/>
        <c:scaling>
          <c:orientation val="minMax"/>
        </c:scaling>
        <c:axPos val="b"/>
        <c:majorGridlines/>
        <c:tickLblPos val="nextTo"/>
        <c:crossAx val="824195304"/>
        <c:crosses val="autoZero"/>
        <c:auto val="1"/>
        <c:lblAlgn val="ctr"/>
        <c:lblOffset val="100"/>
      </c:catAx>
      <c:valAx>
        <c:axId val="824195304"/>
        <c:scaling>
          <c:orientation val="minMax"/>
        </c:scaling>
        <c:axPos val="l"/>
        <c:majorGridlines/>
        <c:numFmt formatCode="General" sourceLinked="1"/>
        <c:majorTickMark val="cross"/>
        <c:tickLblPos val="none"/>
        <c:crossAx val="824192248"/>
        <c:crosses val="autoZero"/>
        <c:crossBetween val="between"/>
      </c:valAx>
    </c:plotArea>
    <c:legend>
      <c:legendPos val="t"/>
    </c:legend>
    <c:plotVisOnly val="1"/>
    <c:dispBlanksAs val="gap"/>
  </c:chart>
  <c:txPr>
    <a:bodyPr/>
    <a:lstStyle/>
    <a:p>
      <a:pPr>
        <a:defRPr>
          <a:latin typeface="Times New Roman"/>
          <a:cs typeface="Times New Roman"/>
        </a:defRPr>
      </a:pPr>
      <a:endParaRPr lang="en-US"/>
    </a:p>
  </c:tx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310857454437914"/>
          <c:y val="0.174631547901007"/>
          <c:w val="0.368895604598721"/>
          <c:h val="0.713505232958252"/>
        </c:manualLayout>
      </c:layout>
      <c:radarChart>
        <c:radarStyle val="marker"/>
        <c:ser>
          <c:idx val="0"/>
          <c:order val="0"/>
          <c:tx>
            <c:strRef>
              <c:f>'Figure 6.2'!$A$37</c:f>
              <c:strCache>
                <c:ptCount val="1"/>
                <c:pt idx="0">
                  <c:v>Low-income economies</c:v>
                </c:pt>
              </c:strCache>
            </c:strRef>
          </c:tx>
          <c:cat>
            <c:strRef>
              <c:f>'Figure 6.2'!$B$29:$F$29</c:f>
              <c:strCache>
                <c:ptCount val="5"/>
                <c:pt idx="0">
                  <c:v>Road access</c:v>
                </c:pt>
                <c:pt idx="1">
                  <c:v>Electricity</c:v>
                </c:pt>
                <c:pt idx="2">
                  <c:v>Improved water</c:v>
                </c:pt>
                <c:pt idx="3">
                  <c:v>Improved sanitation</c:v>
                </c:pt>
                <c:pt idx="4">
                  <c:v>ICT</c:v>
                </c:pt>
              </c:strCache>
            </c:strRef>
          </c:cat>
          <c:val>
            <c:numRef>
              <c:f>'Figure 6.2'!$B$37:$F$37</c:f>
              <c:numCache>
                <c:formatCode>0.00</c:formatCode>
                <c:ptCount val="5"/>
                <c:pt idx="0">
                  <c:v>51.70894327959972</c:v>
                </c:pt>
                <c:pt idx="1">
                  <c:v>56.2267004405109</c:v>
                </c:pt>
                <c:pt idx="2">
                  <c:v>80.64897001709741</c:v>
                </c:pt>
                <c:pt idx="3">
                  <c:v>57.98947205471188</c:v>
                </c:pt>
                <c:pt idx="4">
                  <c:v>100.1955849140099</c:v>
                </c:pt>
              </c:numCache>
            </c:numRef>
          </c:val>
        </c:ser>
        <c:ser>
          <c:idx val="1"/>
          <c:order val="1"/>
          <c:tx>
            <c:strRef>
              <c:f>'Figure 6.2'!$A$38</c:f>
              <c:strCache>
                <c:ptCount val="1"/>
                <c:pt idx="0">
                  <c:v>Lower-middle-income economies</c:v>
                </c:pt>
              </c:strCache>
            </c:strRef>
          </c:tx>
          <c:cat>
            <c:strRef>
              <c:f>'Figure 6.2'!$B$29:$F$29</c:f>
              <c:strCache>
                <c:ptCount val="5"/>
                <c:pt idx="0">
                  <c:v>Road access</c:v>
                </c:pt>
                <c:pt idx="1">
                  <c:v>Electricity</c:v>
                </c:pt>
                <c:pt idx="2">
                  <c:v>Improved water</c:v>
                </c:pt>
                <c:pt idx="3">
                  <c:v>Improved sanitation</c:v>
                </c:pt>
                <c:pt idx="4">
                  <c:v>ICT</c:v>
                </c:pt>
              </c:strCache>
            </c:strRef>
          </c:cat>
          <c:val>
            <c:numRef>
              <c:f>'Figure 6.2'!$B$38:$F$38</c:f>
              <c:numCache>
                <c:formatCode>0.00</c:formatCode>
                <c:ptCount val="5"/>
                <c:pt idx="0">
                  <c:v>83.31241499879578</c:v>
                </c:pt>
                <c:pt idx="1">
                  <c:v>97.13864397245193</c:v>
                </c:pt>
                <c:pt idx="2">
                  <c:v>98.68318445921066</c:v>
                </c:pt>
                <c:pt idx="3">
                  <c:v>95.01015003470924</c:v>
                </c:pt>
                <c:pt idx="4">
                  <c:v>99.9972611812024</c:v>
                </c:pt>
              </c:numCache>
            </c:numRef>
          </c:val>
        </c:ser>
        <c:ser>
          <c:idx val="2"/>
          <c:order val="2"/>
          <c:tx>
            <c:strRef>
              <c:f>'Figure 6.2'!$A$39</c:f>
              <c:strCache>
                <c:ptCount val="1"/>
                <c:pt idx="0">
                  <c:v>Upper-middle-income economies</c:v>
                </c:pt>
              </c:strCache>
            </c:strRef>
          </c:tx>
          <c:cat>
            <c:strRef>
              <c:f>'Figure 6.2'!$B$29:$F$29</c:f>
              <c:strCache>
                <c:ptCount val="5"/>
                <c:pt idx="0">
                  <c:v>Road access</c:v>
                </c:pt>
                <c:pt idx="1">
                  <c:v>Electricity</c:v>
                </c:pt>
                <c:pt idx="2">
                  <c:v>Improved water</c:v>
                </c:pt>
                <c:pt idx="3">
                  <c:v>Improved sanitation</c:v>
                </c:pt>
                <c:pt idx="4">
                  <c:v>ICT</c:v>
                </c:pt>
              </c:strCache>
            </c:strRef>
          </c:cat>
          <c:val>
            <c:numRef>
              <c:f>'Figure 6.2'!$B$39:$F$39</c:f>
              <c:numCache>
                <c:formatCode>0.00</c:formatCode>
                <c:ptCount val="5"/>
                <c:pt idx="0">
                  <c:v>95.33597020018807</c:v>
                </c:pt>
                <c:pt idx="1">
                  <c:v>99.9452305413156</c:v>
                </c:pt>
                <c:pt idx="2">
                  <c:v>99.97584979137483</c:v>
                </c:pt>
                <c:pt idx="3">
                  <c:v>99.75583113734453</c:v>
                </c:pt>
                <c:pt idx="4">
                  <c:v>100.1902132396245</c:v>
                </c:pt>
              </c:numCache>
            </c:numRef>
          </c:val>
        </c:ser>
        <c:ser>
          <c:idx val="3"/>
          <c:order val="3"/>
          <c:tx>
            <c:strRef>
              <c:f>'Figure 6.2'!$A$40</c:f>
              <c:strCache>
                <c:ptCount val="1"/>
                <c:pt idx="0">
                  <c:v>High-income economies</c:v>
                </c:pt>
              </c:strCache>
            </c:strRef>
          </c:tx>
          <c:cat>
            <c:strRef>
              <c:f>'Figure 6.2'!$B$29:$F$29</c:f>
              <c:strCache>
                <c:ptCount val="5"/>
                <c:pt idx="0">
                  <c:v>Road access</c:v>
                </c:pt>
                <c:pt idx="1">
                  <c:v>Electricity</c:v>
                </c:pt>
                <c:pt idx="2">
                  <c:v>Improved water</c:v>
                </c:pt>
                <c:pt idx="3">
                  <c:v>Improved sanitation</c:v>
                </c:pt>
                <c:pt idx="4">
                  <c:v>ICT</c:v>
                </c:pt>
              </c:strCache>
            </c:strRef>
          </c:cat>
          <c:val>
            <c:numRef>
              <c:f>'Figure 6.2'!$B$40:$F$40</c:f>
              <c:numCache>
                <c:formatCode>0.00</c:formatCode>
                <c:ptCount val="5"/>
                <c:pt idx="0">
                  <c:v>97.22443901162538</c:v>
                </c:pt>
                <c:pt idx="1">
                  <c:v>99.0646861305341</c:v>
                </c:pt>
                <c:pt idx="2">
                  <c:v>99.95564415166125</c:v>
                </c:pt>
                <c:pt idx="3">
                  <c:v>98.7975854513292</c:v>
                </c:pt>
                <c:pt idx="4">
                  <c:v>102.5271139072921</c:v>
                </c:pt>
              </c:numCache>
            </c:numRef>
          </c:val>
        </c:ser>
        <c:axId val="824229336"/>
        <c:axId val="824232632"/>
      </c:radarChart>
      <c:catAx>
        <c:axId val="824229336"/>
        <c:scaling>
          <c:orientation val="minMax"/>
        </c:scaling>
        <c:axPos val="b"/>
        <c:majorGridlines/>
        <c:tickLblPos val="high"/>
        <c:txPr>
          <a:bodyPr/>
          <a:lstStyle/>
          <a:p>
            <a:pPr>
              <a:defRPr sz="1000"/>
            </a:pPr>
            <a:endParaRPr lang="en-US"/>
          </a:p>
        </c:txPr>
        <c:crossAx val="824232632"/>
        <c:crosses val="autoZero"/>
        <c:auto val="1"/>
        <c:lblAlgn val="ctr"/>
        <c:lblOffset val="100"/>
      </c:catAx>
      <c:valAx>
        <c:axId val="824232632"/>
        <c:scaling>
          <c:orientation val="minMax"/>
          <c:max val="100.0"/>
        </c:scaling>
        <c:axPos val="l"/>
        <c:majorGridlines/>
        <c:numFmt formatCode="0.00" sourceLinked="1"/>
        <c:majorTickMark val="cross"/>
        <c:tickLblPos val="none"/>
        <c:crossAx val="824229336"/>
        <c:crosses val="autoZero"/>
        <c:crossBetween val="between"/>
        <c:majorUnit val="10.0"/>
      </c:valAx>
    </c:plotArea>
    <c:legend>
      <c:legendPos val="t"/>
      <c:layout>
        <c:manualLayout>
          <c:xMode val="edge"/>
          <c:yMode val="edge"/>
          <c:x val="0.0"/>
          <c:y val="0.00908059023836549"/>
          <c:w val="0.988024472293076"/>
          <c:h val="0.099090689713729"/>
        </c:manualLayout>
      </c:layout>
    </c:legend>
    <c:plotVisOnly val="1"/>
    <c:dispBlanksAs val="gap"/>
  </c:chart>
  <c:txPr>
    <a:bodyPr/>
    <a:lstStyle/>
    <a:p>
      <a:pPr>
        <a:defRPr sz="800">
          <a:latin typeface="Times New Roman"/>
          <a:cs typeface="Times New Roman"/>
        </a:defRPr>
      </a:pPr>
      <a:endParaRPr lang="en-US"/>
    </a:p>
  </c:tx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319864339246751"/>
          <c:y val="0.198412670007158"/>
          <c:w val="0.359666824779433"/>
          <c:h val="0.678462419470293"/>
        </c:manualLayout>
      </c:layout>
      <c:radarChart>
        <c:radarStyle val="marker"/>
        <c:ser>
          <c:idx val="0"/>
          <c:order val="0"/>
          <c:tx>
            <c:strRef>
              <c:f>'Figure 6.2'!$A$30</c:f>
              <c:strCache>
                <c:ptCount val="1"/>
                <c:pt idx="0">
                  <c:v>East Asia and Pacific</c:v>
                </c:pt>
              </c:strCache>
            </c:strRef>
          </c:tx>
          <c:cat>
            <c:strRef>
              <c:f>'Figure 6.2'!$B$29:$F$29</c:f>
              <c:strCache>
                <c:ptCount val="5"/>
                <c:pt idx="0">
                  <c:v>Road access</c:v>
                </c:pt>
                <c:pt idx="1">
                  <c:v>Electricity</c:v>
                </c:pt>
                <c:pt idx="2">
                  <c:v>Improved water</c:v>
                </c:pt>
                <c:pt idx="3">
                  <c:v>Improved sanitation</c:v>
                </c:pt>
                <c:pt idx="4">
                  <c:v>ICT</c:v>
                </c:pt>
              </c:strCache>
            </c:strRef>
          </c:cat>
          <c:val>
            <c:numRef>
              <c:f>'Figure 6.2'!$B$30:$F$30</c:f>
              <c:numCache>
                <c:formatCode>0.00</c:formatCode>
                <c:ptCount val="5"/>
                <c:pt idx="0">
                  <c:v>94.95105825504886</c:v>
                </c:pt>
                <c:pt idx="1">
                  <c:v>98.467691491183</c:v>
                </c:pt>
                <c:pt idx="2">
                  <c:v>99.90229695489017</c:v>
                </c:pt>
                <c:pt idx="3">
                  <c:v>99.54497094166586</c:v>
                </c:pt>
                <c:pt idx="4">
                  <c:v>100.0103595429019</c:v>
                </c:pt>
              </c:numCache>
            </c:numRef>
          </c:val>
        </c:ser>
        <c:ser>
          <c:idx val="1"/>
          <c:order val="1"/>
          <c:tx>
            <c:strRef>
              <c:f>'Figure 6.2'!$A$31</c:f>
              <c:strCache>
                <c:ptCount val="1"/>
                <c:pt idx="0">
                  <c:v>Europe and Central Asia</c:v>
                </c:pt>
              </c:strCache>
            </c:strRef>
          </c:tx>
          <c:cat>
            <c:strRef>
              <c:f>'Figure 6.2'!$B$29:$F$29</c:f>
              <c:strCache>
                <c:ptCount val="5"/>
                <c:pt idx="0">
                  <c:v>Road access</c:v>
                </c:pt>
                <c:pt idx="1">
                  <c:v>Electricity</c:v>
                </c:pt>
                <c:pt idx="2">
                  <c:v>Improved water</c:v>
                </c:pt>
                <c:pt idx="3">
                  <c:v>Improved sanitation</c:v>
                </c:pt>
                <c:pt idx="4">
                  <c:v>ICT</c:v>
                </c:pt>
              </c:strCache>
            </c:strRef>
          </c:cat>
          <c:val>
            <c:numRef>
              <c:f>'Figure 6.2'!$B$31:$F$31</c:f>
              <c:numCache>
                <c:formatCode>0.00</c:formatCode>
                <c:ptCount val="5"/>
                <c:pt idx="0">
                  <c:v>90.51865712391897</c:v>
                </c:pt>
                <c:pt idx="1">
                  <c:v>98.96410054946383</c:v>
                </c:pt>
                <c:pt idx="2">
                  <c:v>99.25746239682417</c:v>
                </c:pt>
                <c:pt idx="3">
                  <c:v>99.25803422651457</c:v>
                </c:pt>
                <c:pt idx="4">
                  <c:v>101.242374393855</c:v>
                </c:pt>
              </c:numCache>
            </c:numRef>
          </c:val>
        </c:ser>
        <c:ser>
          <c:idx val="2"/>
          <c:order val="2"/>
          <c:tx>
            <c:strRef>
              <c:f>'Figure 6.2'!$A$32</c:f>
              <c:strCache>
                <c:ptCount val="1"/>
                <c:pt idx="0">
                  <c:v>Latin America and the Caribbean</c:v>
                </c:pt>
              </c:strCache>
            </c:strRef>
          </c:tx>
          <c:cat>
            <c:strRef>
              <c:f>'Figure 6.2'!$B$29:$F$29</c:f>
              <c:strCache>
                <c:ptCount val="5"/>
                <c:pt idx="0">
                  <c:v>Road access</c:v>
                </c:pt>
                <c:pt idx="1">
                  <c:v>Electricity</c:v>
                </c:pt>
                <c:pt idx="2">
                  <c:v>Improved water</c:v>
                </c:pt>
                <c:pt idx="3">
                  <c:v>Improved sanitation</c:v>
                </c:pt>
                <c:pt idx="4">
                  <c:v>ICT</c:v>
                </c:pt>
              </c:strCache>
            </c:strRef>
          </c:cat>
          <c:val>
            <c:numRef>
              <c:f>'Figure 6.2'!$B$32:$F$32</c:f>
              <c:numCache>
                <c:formatCode>0.00</c:formatCode>
                <c:ptCount val="5"/>
                <c:pt idx="0">
                  <c:v>79.12478799142235</c:v>
                </c:pt>
                <c:pt idx="1">
                  <c:v>99.02435448102423</c:v>
                </c:pt>
                <c:pt idx="2">
                  <c:v>99.2512189071788</c:v>
                </c:pt>
                <c:pt idx="3">
                  <c:v>97.22828802297661</c:v>
                </c:pt>
                <c:pt idx="4">
                  <c:v>99.98104471498247</c:v>
                </c:pt>
              </c:numCache>
            </c:numRef>
          </c:val>
        </c:ser>
        <c:ser>
          <c:idx val="3"/>
          <c:order val="3"/>
          <c:tx>
            <c:strRef>
              <c:f>'Figure 6.2'!$A$33</c:f>
              <c:strCache>
                <c:ptCount val="1"/>
                <c:pt idx="0">
                  <c:v>Middle East and North Africa</c:v>
                </c:pt>
              </c:strCache>
            </c:strRef>
          </c:tx>
          <c:cat>
            <c:strRef>
              <c:f>'Figure 6.2'!$B$29:$F$29</c:f>
              <c:strCache>
                <c:ptCount val="5"/>
                <c:pt idx="0">
                  <c:v>Road access</c:v>
                </c:pt>
                <c:pt idx="1">
                  <c:v>Electricity</c:v>
                </c:pt>
                <c:pt idx="2">
                  <c:v>Improved water</c:v>
                </c:pt>
                <c:pt idx="3">
                  <c:v>Improved sanitation</c:v>
                </c:pt>
                <c:pt idx="4">
                  <c:v>ICT</c:v>
                </c:pt>
              </c:strCache>
            </c:strRef>
          </c:cat>
          <c:val>
            <c:numRef>
              <c:f>'Figure 6.2'!$B$33:$F$33</c:f>
              <c:numCache>
                <c:formatCode>0.00</c:formatCode>
                <c:ptCount val="5"/>
                <c:pt idx="0">
                  <c:v>80.16088058132901</c:v>
                </c:pt>
                <c:pt idx="1">
                  <c:v>97.90077683344045</c:v>
                </c:pt>
                <c:pt idx="2">
                  <c:v>98.28353171048865</c:v>
                </c:pt>
                <c:pt idx="3">
                  <c:v>97.29527515154731</c:v>
                </c:pt>
                <c:pt idx="4">
                  <c:v>100.0147121983152</c:v>
                </c:pt>
              </c:numCache>
            </c:numRef>
          </c:val>
        </c:ser>
        <c:ser>
          <c:idx val="4"/>
          <c:order val="4"/>
          <c:tx>
            <c:strRef>
              <c:f>'Figure 6.2'!$A$34</c:f>
              <c:strCache>
                <c:ptCount val="1"/>
                <c:pt idx="0">
                  <c:v>South Asia</c:v>
                </c:pt>
              </c:strCache>
            </c:strRef>
          </c:tx>
          <c:cat>
            <c:strRef>
              <c:f>'Figure 6.2'!$B$29:$F$29</c:f>
              <c:strCache>
                <c:ptCount val="5"/>
                <c:pt idx="0">
                  <c:v>Road access</c:v>
                </c:pt>
                <c:pt idx="1">
                  <c:v>Electricity</c:v>
                </c:pt>
                <c:pt idx="2">
                  <c:v>Improved water</c:v>
                </c:pt>
                <c:pt idx="3">
                  <c:v>Improved sanitation</c:v>
                </c:pt>
                <c:pt idx="4">
                  <c:v>ICT</c:v>
                </c:pt>
              </c:strCache>
            </c:strRef>
          </c:cat>
          <c:val>
            <c:numRef>
              <c:f>'Figure 6.2'!$B$34:$F$34</c:f>
              <c:numCache>
                <c:formatCode>0.00</c:formatCode>
                <c:ptCount val="5"/>
                <c:pt idx="0">
                  <c:v>81.13131081603316</c:v>
                </c:pt>
                <c:pt idx="1">
                  <c:v>96.16867563917927</c:v>
                </c:pt>
                <c:pt idx="2">
                  <c:v>99.34618199507907</c:v>
                </c:pt>
                <c:pt idx="3">
                  <c:v>94.71197958218068</c:v>
                </c:pt>
                <c:pt idx="4">
                  <c:v>100.0004232168328</c:v>
                </c:pt>
              </c:numCache>
            </c:numRef>
          </c:val>
        </c:ser>
        <c:ser>
          <c:idx val="5"/>
          <c:order val="5"/>
          <c:tx>
            <c:strRef>
              <c:f>'Figure 6.2'!$A$35</c:f>
              <c:strCache>
                <c:ptCount val="1"/>
                <c:pt idx="0">
                  <c:v>Sub-Saharan Africa</c:v>
                </c:pt>
              </c:strCache>
            </c:strRef>
          </c:tx>
          <c:cat>
            <c:strRef>
              <c:f>'Figure 6.2'!$B$29:$F$29</c:f>
              <c:strCache>
                <c:ptCount val="5"/>
                <c:pt idx="0">
                  <c:v>Road access</c:v>
                </c:pt>
                <c:pt idx="1">
                  <c:v>Electricity</c:v>
                </c:pt>
                <c:pt idx="2">
                  <c:v>Improved water</c:v>
                </c:pt>
                <c:pt idx="3">
                  <c:v>Improved sanitation</c:v>
                </c:pt>
                <c:pt idx="4">
                  <c:v>ICT</c:v>
                </c:pt>
              </c:strCache>
            </c:strRef>
          </c:cat>
          <c:val>
            <c:numRef>
              <c:f>'Figure 6.2'!$B$35:$F$35</c:f>
              <c:numCache>
                <c:formatCode>0.00</c:formatCode>
                <c:ptCount val="5"/>
                <c:pt idx="0">
                  <c:v>52.80396739257144</c:v>
                </c:pt>
                <c:pt idx="1">
                  <c:v>63.42752438001192</c:v>
                </c:pt>
                <c:pt idx="2">
                  <c:v>81.7876945599323</c:v>
                </c:pt>
                <c:pt idx="3">
                  <c:v>61.15170181364466</c:v>
                </c:pt>
                <c:pt idx="4">
                  <c:v>100.1528191472207</c:v>
                </c:pt>
              </c:numCache>
            </c:numRef>
          </c:val>
        </c:ser>
        <c:ser>
          <c:idx val="6"/>
          <c:order val="6"/>
          <c:tx>
            <c:strRef>
              <c:f>'Figure 6.2'!$A$36</c:f>
              <c:strCache>
                <c:ptCount val="1"/>
                <c:pt idx="0">
                  <c:v>High-income countries</c:v>
                </c:pt>
              </c:strCache>
            </c:strRef>
          </c:tx>
          <c:cat>
            <c:strRef>
              <c:f>'Figure 6.2'!$B$29:$F$29</c:f>
              <c:strCache>
                <c:ptCount val="5"/>
                <c:pt idx="0">
                  <c:v>Road access</c:v>
                </c:pt>
                <c:pt idx="1">
                  <c:v>Electricity</c:v>
                </c:pt>
                <c:pt idx="2">
                  <c:v>Improved water</c:v>
                </c:pt>
                <c:pt idx="3">
                  <c:v>Improved sanitation</c:v>
                </c:pt>
                <c:pt idx="4">
                  <c:v>ICT</c:v>
                </c:pt>
              </c:strCache>
            </c:strRef>
          </c:cat>
          <c:val>
            <c:numRef>
              <c:f>'Figure 6.2'!$B$36:$F$36</c:f>
              <c:numCache>
                <c:formatCode>0.00</c:formatCode>
                <c:ptCount val="5"/>
                <c:pt idx="0">
                  <c:v>97.22443901162538</c:v>
                </c:pt>
                <c:pt idx="1">
                  <c:v>99.0646861305341</c:v>
                </c:pt>
                <c:pt idx="2">
                  <c:v>99.95564415166125</c:v>
                </c:pt>
                <c:pt idx="3">
                  <c:v>98.7975854513292</c:v>
                </c:pt>
                <c:pt idx="4">
                  <c:v>102.5271139072921</c:v>
                </c:pt>
              </c:numCache>
            </c:numRef>
          </c:val>
        </c:ser>
        <c:axId val="824278024"/>
        <c:axId val="824281112"/>
      </c:radarChart>
      <c:catAx>
        <c:axId val="824278024"/>
        <c:scaling>
          <c:orientation val="minMax"/>
        </c:scaling>
        <c:axPos val="b"/>
        <c:majorGridlines/>
        <c:tickLblPos val="nextTo"/>
        <c:txPr>
          <a:bodyPr/>
          <a:lstStyle/>
          <a:p>
            <a:pPr>
              <a:defRPr sz="1000"/>
            </a:pPr>
            <a:endParaRPr lang="en-US"/>
          </a:p>
        </c:txPr>
        <c:crossAx val="824281112"/>
        <c:crosses val="autoZero"/>
        <c:auto val="1"/>
        <c:lblAlgn val="ctr"/>
        <c:lblOffset val="100"/>
      </c:catAx>
      <c:valAx>
        <c:axId val="824281112"/>
        <c:scaling>
          <c:orientation val="minMax"/>
          <c:max val="100.0"/>
        </c:scaling>
        <c:axPos val="l"/>
        <c:majorGridlines/>
        <c:numFmt formatCode="0.00" sourceLinked="1"/>
        <c:majorTickMark val="cross"/>
        <c:tickLblPos val="none"/>
        <c:crossAx val="824278024"/>
        <c:crosses val="autoZero"/>
        <c:crossBetween val="between"/>
        <c:majorUnit val="10.0"/>
      </c:valAx>
    </c:plotArea>
    <c:legend>
      <c:legendPos val="t"/>
      <c:layout>
        <c:manualLayout>
          <c:xMode val="edge"/>
          <c:yMode val="edge"/>
          <c:x val="0.00576055402713215"/>
          <c:y val="0.0272727272727273"/>
          <c:w val="0.988478891945736"/>
          <c:h val="0.164315676449535"/>
        </c:manualLayout>
      </c:layout>
    </c:legend>
    <c:plotVisOnly val="1"/>
    <c:dispBlanksAs val="gap"/>
  </c:chart>
  <c:txPr>
    <a:bodyPr/>
    <a:lstStyle/>
    <a:p>
      <a:pPr>
        <a:defRPr sz="800">
          <a:latin typeface="Times New Roman"/>
          <a:cs typeface="Times New Roman"/>
        </a:defRPr>
      </a:pPr>
      <a:endParaRPr lang="en-US"/>
    </a:p>
  </c:tx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0901579724409449"/>
          <c:y val="0.160004719903242"/>
          <c:w val="0.886925360892388"/>
          <c:h val="0.634471499663371"/>
        </c:manualLayout>
      </c:layout>
      <c:barChart>
        <c:barDir val="col"/>
        <c:grouping val="stacked"/>
        <c:ser>
          <c:idx val="0"/>
          <c:order val="0"/>
          <c:tx>
            <c:strRef>
              <c:f>'Figure 6.3'!$A$41</c:f>
              <c:strCache>
                <c:ptCount val="1"/>
                <c:pt idx="0">
                  <c:v>Low-income economies</c:v>
                </c:pt>
              </c:strCache>
            </c:strRef>
          </c:tx>
          <c:cat>
            <c:strRef>
              <c:f>'Figure 6.3'!$B$31:$F$31</c:f>
              <c:strCache>
                <c:ptCount val="5"/>
                <c:pt idx="0">
                  <c:v>Electricity</c:v>
                </c:pt>
                <c:pt idx="1">
                  <c:v>Roads (rural)</c:v>
                </c:pt>
                <c:pt idx="2">
                  <c:v>Improved water</c:v>
                </c:pt>
                <c:pt idx="3">
                  <c:v>Improved sanitation</c:v>
                </c:pt>
                <c:pt idx="4">
                  <c:v>Mobile broadband</c:v>
                </c:pt>
              </c:strCache>
            </c:strRef>
          </c:cat>
          <c:val>
            <c:numRef>
              <c:f>'Figure 6.3'!$B$41:$F$41</c:f>
              <c:numCache>
                <c:formatCode>#,##0</c:formatCode>
                <c:ptCount val="5"/>
                <c:pt idx="0">
                  <c:v>163.0565779999998</c:v>
                </c:pt>
                <c:pt idx="1">
                  <c:v>49.61695619999994</c:v>
                </c:pt>
                <c:pt idx="2">
                  <c:v>108.5490589000004</c:v>
                </c:pt>
                <c:pt idx="3">
                  <c:v>125.9103356000002</c:v>
                </c:pt>
                <c:pt idx="4">
                  <c:v>378.9849793000002</c:v>
                </c:pt>
              </c:numCache>
            </c:numRef>
          </c:val>
        </c:ser>
        <c:ser>
          <c:idx val="1"/>
          <c:order val="1"/>
          <c:tx>
            <c:strRef>
              <c:f>'Figure 6.3'!$A$42</c:f>
              <c:strCache>
                <c:ptCount val="1"/>
                <c:pt idx="0">
                  <c:v>Lower-middle-income economies</c:v>
                </c:pt>
              </c:strCache>
            </c:strRef>
          </c:tx>
          <c:cat>
            <c:strRef>
              <c:f>'Figure 6.3'!$B$31:$F$31</c:f>
              <c:strCache>
                <c:ptCount val="5"/>
                <c:pt idx="0">
                  <c:v>Electricity</c:v>
                </c:pt>
                <c:pt idx="1">
                  <c:v>Roads (rural)</c:v>
                </c:pt>
                <c:pt idx="2">
                  <c:v>Improved water</c:v>
                </c:pt>
                <c:pt idx="3">
                  <c:v>Improved sanitation</c:v>
                </c:pt>
                <c:pt idx="4">
                  <c:v>Mobile broadband</c:v>
                </c:pt>
              </c:strCache>
            </c:strRef>
          </c:cat>
          <c:val>
            <c:numRef>
              <c:f>'Figure 6.3'!$B$42:$F$42</c:f>
              <c:numCache>
                <c:formatCode>#,##0</c:formatCode>
                <c:ptCount val="5"/>
                <c:pt idx="0">
                  <c:v>217.4154449000011</c:v>
                </c:pt>
                <c:pt idx="1">
                  <c:v>132.338397</c:v>
                </c:pt>
                <c:pt idx="2">
                  <c:v>190.4245457000006</c:v>
                </c:pt>
                <c:pt idx="3">
                  <c:v>947.3207481000004</c:v>
                </c:pt>
                <c:pt idx="4">
                  <c:v>542.1442046999986</c:v>
                </c:pt>
              </c:numCache>
            </c:numRef>
          </c:val>
        </c:ser>
        <c:ser>
          <c:idx val="2"/>
          <c:order val="2"/>
          <c:tx>
            <c:strRef>
              <c:f>'Figure 6.3'!$A$43</c:f>
              <c:strCache>
                <c:ptCount val="1"/>
                <c:pt idx="0">
                  <c:v>Upper-middle-income economies</c:v>
                </c:pt>
              </c:strCache>
            </c:strRef>
          </c:tx>
          <c:cat>
            <c:strRef>
              <c:f>'Figure 6.3'!$B$31:$F$31</c:f>
              <c:strCache>
                <c:ptCount val="5"/>
                <c:pt idx="0">
                  <c:v>Electricity</c:v>
                </c:pt>
                <c:pt idx="1">
                  <c:v>Roads (rural)</c:v>
                </c:pt>
                <c:pt idx="2">
                  <c:v>Improved water</c:v>
                </c:pt>
                <c:pt idx="3">
                  <c:v>Improved sanitation</c:v>
                </c:pt>
                <c:pt idx="4">
                  <c:v>Mobile broadband</c:v>
                </c:pt>
              </c:strCache>
            </c:strRef>
          </c:cat>
          <c:val>
            <c:numRef>
              <c:f>'Figure 6.3'!$B$43:$F$43</c:f>
              <c:numCache>
                <c:formatCode>#,##0</c:formatCode>
                <c:ptCount val="5"/>
                <c:pt idx="0">
                  <c:v>32.83063070000071</c:v>
                </c:pt>
                <c:pt idx="1">
                  <c:v>15.83937300000036</c:v>
                </c:pt>
                <c:pt idx="2">
                  <c:v>68.64838530000081</c:v>
                </c:pt>
                <c:pt idx="3">
                  <c:v>400.9393260000002</c:v>
                </c:pt>
                <c:pt idx="4">
                  <c:v>677.8841862000026</c:v>
                </c:pt>
              </c:numCache>
            </c:numRef>
          </c:val>
        </c:ser>
        <c:ser>
          <c:idx val="3"/>
          <c:order val="3"/>
          <c:tx>
            <c:strRef>
              <c:f>'Figure 6.3'!$A$44</c:f>
              <c:strCache>
                <c:ptCount val="1"/>
                <c:pt idx="0">
                  <c:v>High-income economies</c:v>
                </c:pt>
              </c:strCache>
            </c:strRef>
          </c:tx>
          <c:cat>
            <c:strRef>
              <c:f>'Figure 6.3'!$B$31:$F$31</c:f>
              <c:strCache>
                <c:ptCount val="5"/>
                <c:pt idx="0">
                  <c:v>Electricity</c:v>
                </c:pt>
                <c:pt idx="1">
                  <c:v>Roads (rural)</c:v>
                </c:pt>
                <c:pt idx="2">
                  <c:v>Improved water</c:v>
                </c:pt>
                <c:pt idx="3">
                  <c:v>Improved sanitation</c:v>
                </c:pt>
                <c:pt idx="4">
                  <c:v>Mobile broadband</c:v>
                </c:pt>
              </c:strCache>
            </c:strRef>
          </c:cat>
          <c:val>
            <c:numRef>
              <c:f>'Figure 6.3'!$B$44:$F$44</c:f>
              <c:numCache>
                <c:formatCode>#,##0</c:formatCode>
                <c:ptCount val="5"/>
                <c:pt idx="0">
                  <c:v>13.57201019999934</c:v>
                </c:pt>
                <c:pt idx="1">
                  <c:v>0.296195999999981</c:v>
                </c:pt>
                <c:pt idx="2">
                  <c:v>7.408033400000022</c:v>
                </c:pt>
                <c:pt idx="3">
                  <c:v>17.94391500000029</c:v>
                </c:pt>
                <c:pt idx="4">
                  <c:v>56.98366900000014</c:v>
                </c:pt>
              </c:numCache>
            </c:numRef>
          </c:val>
        </c:ser>
        <c:overlap val="100"/>
        <c:axId val="824308376"/>
        <c:axId val="824311672"/>
      </c:barChart>
      <c:catAx>
        <c:axId val="824308376"/>
        <c:scaling>
          <c:orientation val="minMax"/>
        </c:scaling>
        <c:axPos val="b"/>
        <c:tickLblPos val="nextTo"/>
        <c:txPr>
          <a:bodyPr/>
          <a:lstStyle/>
          <a:p>
            <a:pPr>
              <a:defRPr sz="800"/>
            </a:pPr>
            <a:endParaRPr lang="en-US"/>
          </a:p>
        </c:txPr>
        <c:crossAx val="824311672"/>
        <c:crosses val="autoZero"/>
        <c:auto val="1"/>
        <c:lblAlgn val="ctr"/>
        <c:lblOffset val="100"/>
      </c:catAx>
      <c:valAx>
        <c:axId val="824311672"/>
        <c:scaling>
          <c:orientation val="minMax"/>
          <c:max val="2000.0"/>
        </c:scaling>
        <c:axPos val="l"/>
        <c:majorGridlines/>
        <c:numFmt formatCode="#,##0" sourceLinked="1"/>
        <c:tickLblPos val="nextTo"/>
        <c:crossAx val="824308376"/>
        <c:crosses val="autoZero"/>
        <c:crossBetween val="between"/>
        <c:majorUnit val="500.0"/>
        <c:minorUnit val="400.0"/>
      </c:valAx>
    </c:plotArea>
    <c:legend>
      <c:legendPos val="t"/>
      <c:layout>
        <c:manualLayout>
          <c:xMode val="edge"/>
          <c:yMode val="edge"/>
          <c:x val="0.0134458661417323"/>
          <c:y val="0.0"/>
          <c:w val="0.975191601049869"/>
          <c:h val="0.116216415031846"/>
        </c:manualLayout>
      </c:layout>
      <c:txPr>
        <a:bodyPr/>
        <a:lstStyle/>
        <a:p>
          <a:pPr>
            <a:defRPr sz="700"/>
          </a:pPr>
          <a:endParaRPr lang="en-US"/>
        </a:p>
      </c:txPr>
    </c:legend>
    <c:plotVisOnly val="1"/>
    <c:dispBlanksAs val="gap"/>
  </c:chart>
  <c:txPr>
    <a:bodyPr/>
    <a:lstStyle/>
    <a:p>
      <a:pPr>
        <a:defRPr>
          <a:latin typeface="Times New Roman"/>
          <a:cs typeface="Times New Roman"/>
        </a:defRPr>
      </a:pPr>
      <a:endParaRPr lang="en-US"/>
    </a:p>
  </c:tx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16612772036308"/>
          <c:y val="0.203022232515053"/>
          <c:w val="0.832521042628292"/>
          <c:h val="0.636928685622077"/>
        </c:manualLayout>
      </c:layout>
      <c:barChart>
        <c:barDir val="col"/>
        <c:grouping val="stacked"/>
        <c:ser>
          <c:idx val="0"/>
          <c:order val="0"/>
          <c:tx>
            <c:strRef>
              <c:f>'Figure 6.3'!$A$33</c:f>
              <c:strCache>
                <c:ptCount val="1"/>
                <c:pt idx="0">
                  <c:v>East Asia and Pacific</c:v>
                </c:pt>
              </c:strCache>
            </c:strRef>
          </c:tx>
          <c:cat>
            <c:strRef>
              <c:f>'Figure 6.3'!$B$31:$F$31</c:f>
              <c:strCache>
                <c:ptCount val="5"/>
                <c:pt idx="0">
                  <c:v>Electricity</c:v>
                </c:pt>
                <c:pt idx="1">
                  <c:v>Roads (rural)</c:v>
                </c:pt>
                <c:pt idx="2">
                  <c:v>Improved water</c:v>
                </c:pt>
                <c:pt idx="3">
                  <c:v>Improved sanitation</c:v>
                </c:pt>
                <c:pt idx="4">
                  <c:v>Mobile broadband</c:v>
                </c:pt>
              </c:strCache>
            </c:strRef>
          </c:cat>
          <c:val>
            <c:numRef>
              <c:f>'Figure 6.3'!$B$33:$F$33</c:f>
              <c:numCache>
                <c:formatCode>#,##0</c:formatCode>
                <c:ptCount val="5"/>
                <c:pt idx="0">
                  <c:v>63.43482160000025</c:v>
                </c:pt>
                <c:pt idx="1">
                  <c:v>10.02301869999997</c:v>
                </c:pt>
                <c:pt idx="2">
                  <c:v>92.38186050000013</c:v>
                </c:pt>
                <c:pt idx="3">
                  <c:v>401.091331099999</c:v>
                </c:pt>
                <c:pt idx="4">
                  <c:v>630.1825053000002</c:v>
                </c:pt>
              </c:numCache>
            </c:numRef>
          </c:val>
        </c:ser>
        <c:ser>
          <c:idx val="1"/>
          <c:order val="1"/>
          <c:tx>
            <c:strRef>
              <c:f>'Figure 6.3'!$A$34</c:f>
              <c:strCache>
                <c:ptCount val="1"/>
                <c:pt idx="0">
                  <c:v>Europe and Central Asia</c:v>
                </c:pt>
              </c:strCache>
            </c:strRef>
          </c:tx>
          <c:cat>
            <c:strRef>
              <c:f>'Figure 6.3'!$B$31:$F$31</c:f>
              <c:strCache>
                <c:ptCount val="5"/>
                <c:pt idx="0">
                  <c:v>Electricity</c:v>
                </c:pt>
                <c:pt idx="1">
                  <c:v>Roads (rural)</c:v>
                </c:pt>
                <c:pt idx="2">
                  <c:v>Improved water</c:v>
                </c:pt>
                <c:pt idx="3">
                  <c:v>Improved sanitation</c:v>
                </c:pt>
                <c:pt idx="4">
                  <c:v>Mobile broadband</c:v>
                </c:pt>
              </c:strCache>
            </c:strRef>
          </c:cat>
          <c:val>
            <c:numRef>
              <c:f>'Figure 6.3'!$B$34:$F$34</c:f>
              <c:numCache>
                <c:formatCode>#,##0</c:formatCode>
                <c:ptCount val="5"/>
                <c:pt idx="0">
                  <c:v>31.22157110000001</c:v>
                </c:pt>
                <c:pt idx="1">
                  <c:v>7.300667800000014</c:v>
                </c:pt>
                <c:pt idx="2">
                  <c:v>5.92336160000002</c:v>
                </c:pt>
                <c:pt idx="3">
                  <c:v>45.35021990000007</c:v>
                </c:pt>
                <c:pt idx="4">
                  <c:v>63.30568099999994</c:v>
                </c:pt>
              </c:numCache>
            </c:numRef>
          </c:val>
        </c:ser>
        <c:ser>
          <c:idx val="2"/>
          <c:order val="2"/>
          <c:tx>
            <c:strRef>
              <c:f>'Figure 6.3'!$A$35</c:f>
              <c:strCache>
                <c:ptCount val="1"/>
                <c:pt idx="0">
                  <c:v>Latin America and the Caribbean</c:v>
                </c:pt>
              </c:strCache>
            </c:strRef>
          </c:tx>
          <c:cat>
            <c:strRef>
              <c:f>'Figure 6.3'!$B$31:$F$31</c:f>
              <c:strCache>
                <c:ptCount val="5"/>
                <c:pt idx="0">
                  <c:v>Electricity</c:v>
                </c:pt>
                <c:pt idx="1">
                  <c:v>Roads (rural)</c:v>
                </c:pt>
                <c:pt idx="2">
                  <c:v>Improved water</c:v>
                </c:pt>
                <c:pt idx="3">
                  <c:v>Improved sanitation</c:v>
                </c:pt>
                <c:pt idx="4">
                  <c:v>Mobile broadband</c:v>
                </c:pt>
              </c:strCache>
            </c:strRef>
          </c:cat>
          <c:val>
            <c:numRef>
              <c:f>'Figure 6.3'!$B$35:$F$35</c:f>
              <c:numCache>
                <c:formatCode>#,##0</c:formatCode>
                <c:ptCount val="5"/>
                <c:pt idx="0">
                  <c:v>16.02036290000024</c:v>
                </c:pt>
                <c:pt idx="1">
                  <c:v>8.925860900000046</c:v>
                </c:pt>
                <c:pt idx="2">
                  <c:v>19.36372430000006</c:v>
                </c:pt>
                <c:pt idx="3">
                  <c:v>89.5935260000001</c:v>
                </c:pt>
                <c:pt idx="4">
                  <c:v>184.2330651999997</c:v>
                </c:pt>
              </c:numCache>
            </c:numRef>
          </c:val>
        </c:ser>
        <c:ser>
          <c:idx val="3"/>
          <c:order val="3"/>
          <c:tx>
            <c:strRef>
              <c:f>'Figure 6.3'!$A$36</c:f>
              <c:strCache>
                <c:ptCount val="1"/>
                <c:pt idx="0">
                  <c:v>Middle East and North Africa</c:v>
                </c:pt>
              </c:strCache>
            </c:strRef>
          </c:tx>
          <c:cat>
            <c:strRef>
              <c:f>'Figure 6.3'!$B$31:$F$31</c:f>
              <c:strCache>
                <c:ptCount val="5"/>
                <c:pt idx="0">
                  <c:v>Electricity</c:v>
                </c:pt>
                <c:pt idx="1">
                  <c:v>Roads (rural)</c:v>
                </c:pt>
                <c:pt idx="2">
                  <c:v>Improved water</c:v>
                </c:pt>
                <c:pt idx="3">
                  <c:v>Improved sanitation</c:v>
                </c:pt>
                <c:pt idx="4">
                  <c:v>Mobile broadband</c:v>
                </c:pt>
              </c:strCache>
            </c:strRef>
          </c:cat>
          <c:val>
            <c:numRef>
              <c:f>'Figure 6.3'!$B$36:$F$36</c:f>
              <c:numCache>
                <c:formatCode>#,##0</c:formatCode>
                <c:ptCount val="5"/>
                <c:pt idx="0">
                  <c:v>15.08018600000008</c:v>
                </c:pt>
                <c:pt idx="1">
                  <c:v>13.31968770000003</c:v>
                </c:pt>
                <c:pt idx="2">
                  <c:v>26.74686520000012</c:v>
                </c:pt>
                <c:pt idx="3">
                  <c:v>35.66328140000019</c:v>
                </c:pt>
                <c:pt idx="4">
                  <c:v>106.1916599999998</c:v>
                </c:pt>
              </c:numCache>
            </c:numRef>
          </c:val>
        </c:ser>
        <c:ser>
          <c:idx val="4"/>
          <c:order val="4"/>
          <c:tx>
            <c:strRef>
              <c:f>'Figure 6.3'!$A$37</c:f>
              <c:strCache>
                <c:ptCount val="1"/>
                <c:pt idx="0">
                  <c:v>South Asia</c:v>
                </c:pt>
              </c:strCache>
            </c:strRef>
          </c:tx>
          <c:cat>
            <c:strRef>
              <c:f>'Figure 6.3'!$B$31:$F$31</c:f>
              <c:strCache>
                <c:ptCount val="5"/>
                <c:pt idx="0">
                  <c:v>Electricity</c:v>
                </c:pt>
                <c:pt idx="1">
                  <c:v>Roads (rural)</c:v>
                </c:pt>
                <c:pt idx="2">
                  <c:v>Improved water</c:v>
                </c:pt>
                <c:pt idx="3">
                  <c:v>Improved sanitation</c:v>
                </c:pt>
                <c:pt idx="4">
                  <c:v>Mobile broadband</c:v>
                </c:pt>
              </c:strCache>
            </c:strRef>
          </c:cat>
          <c:val>
            <c:numRef>
              <c:f>'Figure 6.3'!$B$37:$F$37</c:f>
              <c:numCache>
                <c:formatCode>#,##0</c:formatCode>
                <c:ptCount val="5"/>
                <c:pt idx="0">
                  <c:v>106.4131776000004</c:v>
                </c:pt>
                <c:pt idx="1">
                  <c:v>107.9850448999999</c:v>
                </c:pt>
                <c:pt idx="2">
                  <c:v>66.86142400000016</c:v>
                </c:pt>
                <c:pt idx="3">
                  <c:v>681.6725926</c:v>
                </c:pt>
                <c:pt idx="4">
                  <c:v>202.8766570000007</c:v>
                </c:pt>
              </c:numCache>
            </c:numRef>
          </c:val>
        </c:ser>
        <c:ser>
          <c:idx val="5"/>
          <c:order val="5"/>
          <c:tx>
            <c:strRef>
              <c:f>'Figure 6.3'!$A$38</c:f>
              <c:strCache>
                <c:ptCount val="1"/>
                <c:pt idx="0">
                  <c:v>Sub-Saharan Africa</c:v>
                </c:pt>
              </c:strCache>
            </c:strRef>
          </c:tx>
          <c:cat>
            <c:strRef>
              <c:f>'Figure 6.3'!$B$31:$F$31</c:f>
              <c:strCache>
                <c:ptCount val="5"/>
                <c:pt idx="0">
                  <c:v>Electricity</c:v>
                </c:pt>
                <c:pt idx="1">
                  <c:v>Roads (rural)</c:v>
                </c:pt>
                <c:pt idx="2">
                  <c:v>Improved water</c:v>
                </c:pt>
                <c:pt idx="3">
                  <c:v>Improved sanitation</c:v>
                </c:pt>
                <c:pt idx="4">
                  <c:v>Mobile broadband</c:v>
                </c:pt>
              </c:strCache>
            </c:strRef>
          </c:cat>
          <c:val>
            <c:numRef>
              <c:f>'Figure 6.3'!$B$38:$F$38</c:f>
              <c:numCache>
                <c:formatCode>#,##0</c:formatCode>
                <c:ptCount val="5"/>
                <c:pt idx="0">
                  <c:v>181.1325344000001</c:v>
                </c:pt>
                <c:pt idx="1">
                  <c:v>50.24044620000006</c:v>
                </c:pt>
                <c:pt idx="2">
                  <c:v>156.3447543000002</c:v>
                </c:pt>
                <c:pt idx="3">
                  <c:v>220.7994586999999</c:v>
                </c:pt>
                <c:pt idx="4">
                  <c:v>412.2238017000004</c:v>
                </c:pt>
              </c:numCache>
            </c:numRef>
          </c:val>
        </c:ser>
        <c:ser>
          <c:idx val="6"/>
          <c:order val="6"/>
          <c:tx>
            <c:strRef>
              <c:f>'Figure 6.3'!$A$39</c:f>
              <c:strCache>
                <c:ptCount val="1"/>
                <c:pt idx="0">
                  <c:v>High-income countries</c:v>
                </c:pt>
              </c:strCache>
            </c:strRef>
          </c:tx>
          <c:cat>
            <c:strRef>
              <c:f>'Figure 6.3'!$B$31:$F$31</c:f>
              <c:strCache>
                <c:ptCount val="5"/>
                <c:pt idx="0">
                  <c:v>Electricity</c:v>
                </c:pt>
                <c:pt idx="1">
                  <c:v>Roads (rural)</c:v>
                </c:pt>
                <c:pt idx="2">
                  <c:v>Improved water</c:v>
                </c:pt>
                <c:pt idx="3">
                  <c:v>Improved sanitation</c:v>
                </c:pt>
                <c:pt idx="4">
                  <c:v>Mobile broadband</c:v>
                </c:pt>
              </c:strCache>
            </c:strRef>
          </c:cat>
          <c:val>
            <c:numRef>
              <c:f>'Figure 6.3'!$B$39:$F$39</c:f>
              <c:numCache>
                <c:formatCode>#,##0</c:formatCode>
                <c:ptCount val="5"/>
                <c:pt idx="0">
                  <c:v>13.57201019999934</c:v>
                </c:pt>
                <c:pt idx="1">
                  <c:v>0.296195999999981</c:v>
                </c:pt>
                <c:pt idx="2">
                  <c:v>7.408033400000022</c:v>
                </c:pt>
                <c:pt idx="3">
                  <c:v>17.94391500000029</c:v>
                </c:pt>
                <c:pt idx="4">
                  <c:v>56.98366900000014</c:v>
                </c:pt>
              </c:numCache>
            </c:numRef>
          </c:val>
        </c:ser>
        <c:overlap val="100"/>
        <c:axId val="824358168"/>
        <c:axId val="824361256"/>
      </c:barChart>
      <c:catAx>
        <c:axId val="824358168"/>
        <c:scaling>
          <c:orientation val="minMax"/>
        </c:scaling>
        <c:axPos val="b"/>
        <c:tickLblPos val="nextTo"/>
        <c:txPr>
          <a:bodyPr/>
          <a:lstStyle/>
          <a:p>
            <a:pPr>
              <a:defRPr sz="800"/>
            </a:pPr>
            <a:endParaRPr lang="en-US"/>
          </a:p>
        </c:txPr>
        <c:crossAx val="824361256"/>
        <c:crosses val="autoZero"/>
        <c:auto val="1"/>
        <c:lblAlgn val="ctr"/>
        <c:lblOffset val="100"/>
      </c:catAx>
      <c:valAx>
        <c:axId val="824361256"/>
        <c:scaling>
          <c:orientation val="minMax"/>
        </c:scaling>
        <c:axPos val="l"/>
        <c:majorGridlines/>
        <c:numFmt formatCode="#,##0" sourceLinked="1"/>
        <c:tickLblPos val="nextTo"/>
        <c:crossAx val="824358168"/>
        <c:crosses val="autoZero"/>
        <c:crossBetween val="between"/>
        <c:majorUnit val="500.0"/>
      </c:valAx>
    </c:plotArea>
    <c:legend>
      <c:legendPos val="t"/>
      <c:layout>
        <c:manualLayout>
          <c:xMode val="edge"/>
          <c:yMode val="edge"/>
          <c:x val="0.0"/>
          <c:y val="0.0"/>
          <c:w val="1.0"/>
          <c:h val="0.163458665152624"/>
        </c:manualLayout>
      </c:layout>
      <c:txPr>
        <a:bodyPr/>
        <a:lstStyle/>
        <a:p>
          <a:pPr>
            <a:defRPr sz="700"/>
          </a:pPr>
          <a:endParaRPr lang="en-US"/>
        </a:p>
      </c:txPr>
    </c:legend>
    <c:plotVisOnly val="1"/>
    <c:dispBlanksAs val="gap"/>
  </c:chart>
  <c:txPr>
    <a:bodyPr/>
    <a:lstStyle/>
    <a:p>
      <a:pPr>
        <a:defRPr>
          <a:latin typeface="Times New Roman"/>
          <a:cs typeface="Times New Roman"/>
        </a:defRPr>
      </a:pPr>
      <a:endParaRPr lang="en-US"/>
    </a:p>
  </c:tx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102964967920677"/>
          <c:y val="0.0887733618326907"/>
          <c:w val="0.789915062700496"/>
          <c:h val="0.79699614171835"/>
        </c:manualLayout>
      </c:layout>
      <c:scatterChart>
        <c:scatterStyle val="lineMarker"/>
        <c:ser>
          <c:idx val="0"/>
          <c:order val="0"/>
          <c:tx>
            <c:strRef>
              <c:f>'Figure 6.4'!$B$28</c:f>
              <c:strCache>
                <c:ptCount val="1"/>
                <c:pt idx="0">
                  <c:v>Billion $2000</c:v>
                </c:pt>
              </c:strCache>
            </c:strRef>
          </c:tx>
          <c:xVal>
            <c:numRef>
              <c:f>'Figure 6.4'!$A$29:$A$79</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xVal>
          <c:yVal>
            <c:numRef>
              <c:f>'Figure 6.4'!$B$29:$B$79</c:f>
              <c:numCache>
                <c:formatCode>General</c:formatCode>
                <c:ptCount val="51"/>
                <c:pt idx="0">
                  <c:v>0.0</c:v>
                </c:pt>
                <c:pt idx="1">
                  <c:v>136.5</c:v>
                </c:pt>
                <c:pt idx="2">
                  <c:v>92.64</c:v>
                </c:pt>
                <c:pt idx="3">
                  <c:v>109.1</c:v>
                </c:pt>
                <c:pt idx="4">
                  <c:v>127.5</c:v>
                </c:pt>
                <c:pt idx="5">
                  <c:v>145.8</c:v>
                </c:pt>
                <c:pt idx="6">
                  <c:v>155.4</c:v>
                </c:pt>
                <c:pt idx="7">
                  <c:v>144.3</c:v>
                </c:pt>
                <c:pt idx="8">
                  <c:v>140.9</c:v>
                </c:pt>
                <c:pt idx="9">
                  <c:v>143.6</c:v>
                </c:pt>
                <c:pt idx="10">
                  <c:v>154.0</c:v>
                </c:pt>
                <c:pt idx="11">
                  <c:v>167.5</c:v>
                </c:pt>
                <c:pt idx="12">
                  <c:v>183.3</c:v>
                </c:pt>
                <c:pt idx="13">
                  <c:v>193.4</c:v>
                </c:pt>
                <c:pt idx="14">
                  <c:v>207.9</c:v>
                </c:pt>
                <c:pt idx="15">
                  <c:v>222.6</c:v>
                </c:pt>
                <c:pt idx="16">
                  <c:v>243.2</c:v>
                </c:pt>
                <c:pt idx="17">
                  <c:v>270.1</c:v>
                </c:pt>
                <c:pt idx="18">
                  <c:v>292.6</c:v>
                </c:pt>
                <c:pt idx="19">
                  <c:v>317.8</c:v>
                </c:pt>
                <c:pt idx="20">
                  <c:v>191.4</c:v>
                </c:pt>
                <c:pt idx="21">
                  <c:v>180.5</c:v>
                </c:pt>
                <c:pt idx="22">
                  <c:v>184.1</c:v>
                </c:pt>
                <c:pt idx="23">
                  <c:v>191.4</c:v>
                </c:pt>
                <c:pt idx="24">
                  <c:v>203.9</c:v>
                </c:pt>
                <c:pt idx="25">
                  <c:v>210.0</c:v>
                </c:pt>
                <c:pt idx="26">
                  <c:v>212.6</c:v>
                </c:pt>
                <c:pt idx="27">
                  <c:v>218.1</c:v>
                </c:pt>
                <c:pt idx="28">
                  <c:v>225.4</c:v>
                </c:pt>
                <c:pt idx="29">
                  <c:v>231.5</c:v>
                </c:pt>
                <c:pt idx="30">
                  <c:v>247.5</c:v>
                </c:pt>
                <c:pt idx="31">
                  <c:v>266.9</c:v>
                </c:pt>
                <c:pt idx="32">
                  <c:v>284.5</c:v>
                </c:pt>
                <c:pt idx="33">
                  <c:v>299.9</c:v>
                </c:pt>
                <c:pt idx="34">
                  <c:v>315.0</c:v>
                </c:pt>
                <c:pt idx="35">
                  <c:v>331.0</c:v>
                </c:pt>
                <c:pt idx="36">
                  <c:v>352.6</c:v>
                </c:pt>
                <c:pt idx="37">
                  <c:v>371.4</c:v>
                </c:pt>
                <c:pt idx="38">
                  <c:v>388.8</c:v>
                </c:pt>
                <c:pt idx="39">
                  <c:v>400.8</c:v>
                </c:pt>
                <c:pt idx="40">
                  <c:v>408.4</c:v>
                </c:pt>
                <c:pt idx="41">
                  <c:v>411.0</c:v>
                </c:pt>
                <c:pt idx="42">
                  <c:v>412.9</c:v>
                </c:pt>
                <c:pt idx="43">
                  <c:v>411.2</c:v>
                </c:pt>
                <c:pt idx="44">
                  <c:v>412.4</c:v>
                </c:pt>
                <c:pt idx="45">
                  <c:v>413.9</c:v>
                </c:pt>
                <c:pt idx="46">
                  <c:v>412.0</c:v>
                </c:pt>
                <c:pt idx="47">
                  <c:v>401.0</c:v>
                </c:pt>
                <c:pt idx="48">
                  <c:v>380.2</c:v>
                </c:pt>
                <c:pt idx="49">
                  <c:v>393.3</c:v>
                </c:pt>
                <c:pt idx="50">
                  <c:v>411.6</c:v>
                </c:pt>
              </c:numCache>
            </c:numRef>
          </c:yVal>
        </c:ser>
        <c:axId val="824383640"/>
        <c:axId val="824390760"/>
      </c:scatterChart>
      <c:scatterChart>
        <c:scatterStyle val="lineMarker"/>
        <c:ser>
          <c:idx val="1"/>
          <c:order val="1"/>
          <c:tx>
            <c:strRef>
              <c:f>'Figure 6.4'!$C$28</c:f>
              <c:strCache>
                <c:ptCount val="1"/>
                <c:pt idx="0">
                  <c:v>Percent of GDP</c:v>
                </c:pt>
              </c:strCache>
            </c:strRef>
          </c:tx>
          <c:xVal>
            <c:numRef>
              <c:f>'Figure 6.4'!$A$29:$A$79</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xVal>
          <c:yVal>
            <c:numRef>
              <c:f>'Figure 6.4'!$C$29:$C$79</c:f>
              <c:numCache>
                <c:formatCode>General</c:formatCode>
                <c:ptCount val="51"/>
                <c:pt idx="0">
                  <c:v>0.0</c:v>
                </c:pt>
                <c:pt idx="1">
                  <c:v>0.32</c:v>
                </c:pt>
                <c:pt idx="2">
                  <c:v>0.21</c:v>
                </c:pt>
                <c:pt idx="3">
                  <c:v>0.238</c:v>
                </c:pt>
                <c:pt idx="4">
                  <c:v>0.269</c:v>
                </c:pt>
                <c:pt idx="5">
                  <c:v>0.298</c:v>
                </c:pt>
                <c:pt idx="6">
                  <c:v>0.305</c:v>
                </c:pt>
                <c:pt idx="7">
                  <c:v>0.27</c:v>
                </c:pt>
                <c:pt idx="8">
                  <c:v>0.251</c:v>
                </c:pt>
                <c:pt idx="9">
                  <c:v>0.246</c:v>
                </c:pt>
                <c:pt idx="10">
                  <c:v>0.256</c:v>
                </c:pt>
                <c:pt idx="11">
                  <c:v>0.27</c:v>
                </c:pt>
                <c:pt idx="12">
                  <c:v>0.287</c:v>
                </c:pt>
                <c:pt idx="13">
                  <c:v>0.293</c:v>
                </c:pt>
                <c:pt idx="14">
                  <c:v>0.305</c:v>
                </c:pt>
                <c:pt idx="15">
                  <c:v>0.315</c:v>
                </c:pt>
                <c:pt idx="16">
                  <c:v>0.333</c:v>
                </c:pt>
                <c:pt idx="17">
                  <c:v>0.357</c:v>
                </c:pt>
                <c:pt idx="18">
                  <c:v>0.373</c:v>
                </c:pt>
                <c:pt idx="19">
                  <c:v>0.39</c:v>
                </c:pt>
                <c:pt idx="20">
                  <c:v>0.204</c:v>
                </c:pt>
                <c:pt idx="21">
                  <c:v>0.179</c:v>
                </c:pt>
                <c:pt idx="22">
                  <c:v>0.172</c:v>
                </c:pt>
                <c:pt idx="23">
                  <c:v>0.171</c:v>
                </c:pt>
                <c:pt idx="24">
                  <c:v>0.174</c:v>
                </c:pt>
                <c:pt idx="25">
                  <c:v>0.17</c:v>
                </c:pt>
                <c:pt idx="26">
                  <c:v>0.16</c:v>
                </c:pt>
                <c:pt idx="27">
                  <c:v>0.154</c:v>
                </c:pt>
                <c:pt idx="28">
                  <c:v>0.149</c:v>
                </c:pt>
                <c:pt idx="29">
                  <c:v>0.141</c:v>
                </c:pt>
                <c:pt idx="30">
                  <c:v>0.143</c:v>
                </c:pt>
                <c:pt idx="31">
                  <c:v>0.146</c:v>
                </c:pt>
                <c:pt idx="32">
                  <c:v>0.147</c:v>
                </c:pt>
                <c:pt idx="33">
                  <c:v>0.145</c:v>
                </c:pt>
                <c:pt idx="34">
                  <c:v>0.143</c:v>
                </c:pt>
                <c:pt idx="35">
                  <c:v>0.14</c:v>
                </c:pt>
                <c:pt idx="36">
                  <c:v>0.143</c:v>
                </c:pt>
                <c:pt idx="37">
                  <c:v>0.143</c:v>
                </c:pt>
                <c:pt idx="38">
                  <c:v>0.142</c:v>
                </c:pt>
                <c:pt idx="39">
                  <c:v>0.137</c:v>
                </c:pt>
                <c:pt idx="40">
                  <c:v>0.129</c:v>
                </c:pt>
                <c:pt idx="41">
                  <c:v>0.119</c:v>
                </c:pt>
                <c:pt idx="42">
                  <c:v>0.11</c:v>
                </c:pt>
                <c:pt idx="43">
                  <c:v>0.098</c:v>
                </c:pt>
                <c:pt idx="44">
                  <c:v>0.088</c:v>
                </c:pt>
                <c:pt idx="45">
                  <c:v>0.08</c:v>
                </c:pt>
                <c:pt idx="46">
                  <c:v>0.069</c:v>
                </c:pt>
                <c:pt idx="47">
                  <c:v>0.053</c:v>
                </c:pt>
                <c:pt idx="48">
                  <c:v>0.03</c:v>
                </c:pt>
                <c:pt idx="49">
                  <c:v>0.027</c:v>
                </c:pt>
                <c:pt idx="50">
                  <c:v>0.027</c:v>
                </c:pt>
              </c:numCache>
            </c:numRef>
          </c:yVal>
        </c:ser>
        <c:axId val="824403240"/>
        <c:axId val="824397016"/>
      </c:scatterChart>
      <c:valAx>
        <c:axId val="824383640"/>
        <c:scaling>
          <c:orientation val="minMax"/>
          <c:max val="2060.0"/>
          <c:min val="2010.0"/>
        </c:scaling>
        <c:axPos val="b"/>
        <c:title>
          <c:tx>
            <c:rich>
              <a:bodyPr/>
              <a:lstStyle/>
              <a:p>
                <a:pPr>
                  <a:defRPr/>
                </a:pPr>
                <a:r>
                  <a:rPr lang="en-US"/>
                  <a:t>Year</a:t>
                </a:r>
              </a:p>
            </c:rich>
          </c:tx>
        </c:title>
        <c:numFmt formatCode="General" sourceLinked="1"/>
        <c:tickLblPos val="nextTo"/>
        <c:crossAx val="824390760"/>
        <c:crosses val="autoZero"/>
        <c:crossBetween val="midCat"/>
      </c:valAx>
      <c:valAx>
        <c:axId val="824390760"/>
        <c:scaling>
          <c:orientation val="minMax"/>
        </c:scaling>
        <c:axPos val="l"/>
        <c:majorGridlines/>
        <c:title>
          <c:tx>
            <c:rich>
              <a:bodyPr rot="-5400000" vert="horz"/>
              <a:lstStyle/>
              <a:p>
                <a:pPr>
                  <a:defRPr/>
                </a:pPr>
                <a:r>
                  <a:rPr lang="en-US"/>
                  <a:t>Billion $2000</a:t>
                </a:r>
              </a:p>
            </c:rich>
          </c:tx>
        </c:title>
        <c:numFmt formatCode="General" sourceLinked="1"/>
        <c:tickLblPos val="nextTo"/>
        <c:crossAx val="824383640"/>
        <c:crosses val="autoZero"/>
        <c:crossBetween val="midCat"/>
      </c:valAx>
      <c:valAx>
        <c:axId val="824397016"/>
        <c:scaling>
          <c:orientation val="minMax"/>
        </c:scaling>
        <c:axPos val="r"/>
        <c:title>
          <c:tx>
            <c:rich>
              <a:bodyPr rot="5400000" vert="horz"/>
              <a:lstStyle/>
              <a:p>
                <a:pPr>
                  <a:defRPr/>
                </a:pPr>
                <a:r>
                  <a:rPr lang="en-US"/>
                  <a:t>Percent of GDP</a:t>
                </a:r>
              </a:p>
            </c:rich>
          </c:tx>
        </c:title>
        <c:numFmt formatCode="#,##0.00" sourceLinked="0"/>
        <c:tickLblPos val="nextTo"/>
        <c:crossAx val="824403240"/>
        <c:crosses val="max"/>
        <c:crossBetween val="midCat"/>
      </c:valAx>
      <c:valAx>
        <c:axId val="824403240"/>
        <c:scaling>
          <c:orientation val="minMax"/>
        </c:scaling>
        <c:delete val="1"/>
        <c:axPos val="b"/>
        <c:numFmt formatCode="General" sourceLinked="1"/>
        <c:tickLblPos val="nextTo"/>
        <c:crossAx val="824397016"/>
        <c:crosses val="autoZero"/>
        <c:crossBetween val="midCat"/>
      </c:valAx>
    </c:plotArea>
    <c:legend>
      <c:legendPos val="t"/>
    </c:legend>
    <c:plotVisOnly val="1"/>
    <c:dispBlanksAs val="gap"/>
  </c:chart>
  <c:txPr>
    <a:bodyPr/>
    <a:lstStyle/>
    <a:p>
      <a:pPr>
        <a:defRPr b="0">
          <a:latin typeface="Times New Roman"/>
          <a:cs typeface="Times New Roman"/>
        </a:defRPr>
      </a:pPr>
      <a:endParaRPr lang="en-US"/>
    </a:p>
  </c:tx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0842102675417191"/>
          <c:y val="0.104078478779364"/>
          <c:w val="0.879509713228492"/>
          <c:h val="0.745399418433691"/>
        </c:manualLayout>
      </c:layout>
      <c:scatterChart>
        <c:scatterStyle val="lineMarker"/>
        <c:ser>
          <c:idx val="0"/>
          <c:order val="0"/>
          <c:tx>
            <c:strRef>
              <c:f>'Figure 6.5'!$B$27</c:f>
              <c:strCache>
                <c:ptCount val="1"/>
                <c:pt idx="0">
                  <c:v>Botswana</c:v>
                </c:pt>
              </c:strCache>
            </c:strRef>
          </c:tx>
          <c:xVal>
            <c:numRef>
              <c:f>'Figure 6.5'!$A$30:$A$80</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xVal>
          <c:yVal>
            <c:numRef>
              <c:f>'Figure 6.5'!$B$30:$B$80</c:f>
              <c:numCache>
                <c:formatCode>General</c:formatCode>
                <c:ptCount val="51"/>
                <c:pt idx="0">
                  <c:v>0.0</c:v>
                </c:pt>
                <c:pt idx="1">
                  <c:v>0.996</c:v>
                </c:pt>
                <c:pt idx="2">
                  <c:v>1.237</c:v>
                </c:pt>
                <c:pt idx="3">
                  <c:v>0.977</c:v>
                </c:pt>
                <c:pt idx="4">
                  <c:v>0.735</c:v>
                </c:pt>
                <c:pt idx="5">
                  <c:v>0.535</c:v>
                </c:pt>
                <c:pt idx="6">
                  <c:v>0.51</c:v>
                </c:pt>
                <c:pt idx="7">
                  <c:v>0.475</c:v>
                </c:pt>
                <c:pt idx="8">
                  <c:v>0.424</c:v>
                </c:pt>
                <c:pt idx="9">
                  <c:v>0.375</c:v>
                </c:pt>
                <c:pt idx="10">
                  <c:v>0.308</c:v>
                </c:pt>
                <c:pt idx="11">
                  <c:v>0.234</c:v>
                </c:pt>
                <c:pt idx="12">
                  <c:v>0.184</c:v>
                </c:pt>
                <c:pt idx="13">
                  <c:v>0.149</c:v>
                </c:pt>
                <c:pt idx="14">
                  <c:v>0.124</c:v>
                </c:pt>
                <c:pt idx="15">
                  <c:v>0.101</c:v>
                </c:pt>
                <c:pt idx="16">
                  <c:v>0.082</c:v>
                </c:pt>
                <c:pt idx="17">
                  <c:v>0.087</c:v>
                </c:pt>
                <c:pt idx="18">
                  <c:v>0.074</c:v>
                </c:pt>
                <c:pt idx="19">
                  <c:v>0.069</c:v>
                </c:pt>
                <c:pt idx="20">
                  <c:v>-0.206</c:v>
                </c:pt>
                <c:pt idx="21">
                  <c:v>0.027</c:v>
                </c:pt>
                <c:pt idx="22">
                  <c:v>0.019</c:v>
                </c:pt>
                <c:pt idx="23">
                  <c:v>0.013</c:v>
                </c:pt>
                <c:pt idx="24">
                  <c:v>0.009</c:v>
                </c:pt>
                <c:pt idx="25">
                  <c:v>0.002</c:v>
                </c:pt>
                <c:pt idx="26">
                  <c:v>-0.003</c:v>
                </c:pt>
                <c:pt idx="27">
                  <c:v>-0.008</c:v>
                </c:pt>
                <c:pt idx="28">
                  <c:v>-0.012</c:v>
                </c:pt>
                <c:pt idx="29">
                  <c:v>-0.017</c:v>
                </c:pt>
                <c:pt idx="30">
                  <c:v>-0.02</c:v>
                </c:pt>
                <c:pt idx="31">
                  <c:v>-0.023</c:v>
                </c:pt>
                <c:pt idx="32">
                  <c:v>-0.006</c:v>
                </c:pt>
                <c:pt idx="33">
                  <c:v>-0.006</c:v>
                </c:pt>
                <c:pt idx="34">
                  <c:v>-0.004</c:v>
                </c:pt>
                <c:pt idx="35">
                  <c:v>0.002</c:v>
                </c:pt>
                <c:pt idx="36">
                  <c:v>0.001</c:v>
                </c:pt>
                <c:pt idx="37">
                  <c:v>-0.003</c:v>
                </c:pt>
                <c:pt idx="38">
                  <c:v>-0.009</c:v>
                </c:pt>
                <c:pt idx="39">
                  <c:v>-0.016</c:v>
                </c:pt>
                <c:pt idx="40">
                  <c:v>-0.022</c:v>
                </c:pt>
                <c:pt idx="41">
                  <c:v>-0.026</c:v>
                </c:pt>
                <c:pt idx="42">
                  <c:v>-0.026</c:v>
                </c:pt>
                <c:pt idx="43">
                  <c:v>-0.027</c:v>
                </c:pt>
                <c:pt idx="44">
                  <c:v>-0.027</c:v>
                </c:pt>
                <c:pt idx="45">
                  <c:v>-0.028</c:v>
                </c:pt>
                <c:pt idx="46">
                  <c:v>-0.028</c:v>
                </c:pt>
                <c:pt idx="47">
                  <c:v>-0.029</c:v>
                </c:pt>
                <c:pt idx="48">
                  <c:v>-0.029</c:v>
                </c:pt>
                <c:pt idx="49">
                  <c:v>-0.03</c:v>
                </c:pt>
                <c:pt idx="50">
                  <c:v>-0.019</c:v>
                </c:pt>
              </c:numCache>
            </c:numRef>
          </c:yVal>
        </c:ser>
        <c:ser>
          <c:idx val="1"/>
          <c:order val="1"/>
          <c:tx>
            <c:strRef>
              <c:f>'Figure 6.5'!$C$27</c:f>
              <c:strCache>
                <c:ptCount val="1"/>
                <c:pt idx="0">
                  <c:v>Kenya</c:v>
                </c:pt>
              </c:strCache>
            </c:strRef>
          </c:tx>
          <c:xVal>
            <c:numRef>
              <c:f>'Figure 6.5'!$A$30:$A$80</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xVal>
          <c:yVal>
            <c:numRef>
              <c:f>'Figure 6.5'!$C$30:$C$80</c:f>
              <c:numCache>
                <c:formatCode>General</c:formatCode>
                <c:ptCount val="51"/>
                <c:pt idx="0">
                  <c:v>0.0</c:v>
                </c:pt>
                <c:pt idx="1">
                  <c:v>2.918</c:v>
                </c:pt>
                <c:pt idx="2">
                  <c:v>1.96</c:v>
                </c:pt>
                <c:pt idx="3">
                  <c:v>2.659</c:v>
                </c:pt>
                <c:pt idx="4">
                  <c:v>3.346</c:v>
                </c:pt>
                <c:pt idx="5">
                  <c:v>3.964</c:v>
                </c:pt>
                <c:pt idx="6">
                  <c:v>4.409</c:v>
                </c:pt>
                <c:pt idx="7">
                  <c:v>4.681</c:v>
                </c:pt>
                <c:pt idx="8">
                  <c:v>4.783</c:v>
                </c:pt>
                <c:pt idx="9">
                  <c:v>4.721</c:v>
                </c:pt>
                <c:pt idx="10">
                  <c:v>4.55</c:v>
                </c:pt>
                <c:pt idx="11">
                  <c:v>4.463999999999999</c:v>
                </c:pt>
                <c:pt idx="12">
                  <c:v>4.259</c:v>
                </c:pt>
                <c:pt idx="13">
                  <c:v>4.181</c:v>
                </c:pt>
                <c:pt idx="14">
                  <c:v>4.193</c:v>
                </c:pt>
                <c:pt idx="15">
                  <c:v>4.233</c:v>
                </c:pt>
                <c:pt idx="16">
                  <c:v>4.263</c:v>
                </c:pt>
                <c:pt idx="17">
                  <c:v>4.277</c:v>
                </c:pt>
                <c:pt idx="18">
                  <c:v>4.257</c:v>
                </c:pt>
                <c:pt idx="19">
                  <c:v>4.234</c:v>
                </c:pt>
                <c:pt idx="20">
                  <c:v>2.858</c:v>
                </c:pt>
                <c:pt idx="21">
                  <c:v>2.736</c:v>
                </c:pt>
                <c:pt idx="22">
                  <c:v>2.671</c:v>
                </c:pt>
                <c:pt idx="23">
                  <c:v>2.642</c:v>
                </c:pt>
                <c:pt idx="24">
                  <c:v>2.633</c:v>
                </c:pt>
                <c:pt idx="25">
                  <c:v>2.665</c:v>
                </c:pt>
                <c:pt idx="26">
                  <c:v>2.757</c:v>
                </c:pt>
                <c:pt idx="27">
                  <c:v>2.909</c:v>
                </c:pt>
                <c:pt idx="28">
                  <c:v>3.096</c:v>
                </c:pt>
                <c:pt idx="29">
                  <c:v>3.323</c:v>
                </c:pt>
                <c:pt idx="30">
                  <c:v>3.751</c:v>
                </c:pt>
                <c:pt idx="31">
                  <c:v>4.06</c:v>
                </c:pt>
                <c:pt idx="32">
                  <c:v>4.269</c:v>
                </c:pt>
                <c:pt idx="33">
                  <c:v>4.667999999999994</c:v>
                </c:pt>
                <c:pt idx="34">
                  <c:v>5.035</c:v>
                </c:pt>
                <c:pt idx="35">
                  <c:v>5.412</c:v>
                </c:pt>
                <c:pt idx="36">
                  <c:v>5.742</c:v>
                </c:pt>
                <c:pt idx="37">
                  <c:v>6.131</c:v>
                </c:pt>
                <c:pt idx="38">
                  <c:v>6.413</c:v>
                </c:pt>
                <c:pt idx="39">
                  <c:v>6.697999999999995</c:v>
                </c:pt>
                <c:pt idx="40">
                  <c:v>6.933</c:v>
                </c:pt>
                <c:pt idx="41">
                  <c:v>7.176</c:v>
                </c:pt>
                <c:pt idx="42">
                  <c:v>7.418</c:v>
                </c:pt>
                <c:pt idx="43">
                  <c:v>7.598</c:v>
                </c:pt>
                <c:pt idx="44">
                  <c:v>6.531</c:v>
                </c:pt>
                <c:pt idx="45">
                  <c:v>5.426</c:v>
                </c:pt>
                <c:pt idx="46">
                  <c:v>4.444</c:v>
                </c:pt>
                <c:pt idx="47">
                  <c:v>3.49</c:v>
                </c:pt>
                <c:pt idx="48">
                  <c:v>1.025</c:v>
                </c:pt>
                <c:pt idx="49">
                  <c:v>-0.17</c:v>
                </c:pt>
                <c:pt idx="50">
                  <c:v>-0.362</c:v>
                </c:pt>
              </c:numCache>
            </c:numRef>
          </c:yVal>
        </c:ser>
        <c:ser>
          <c:idx val="2"/>
          <c:order val="2"/>
          <c:tx>
            <c:strRef>
              <c:f>'Figure 6.5'!$D$27</c:f>
              <c:strCache>
                <c:ptCount val="1"/>
                <c:pt idx="0">
                  <c:v>Mauritania</c:v>
                </c:pt>
              </c:strCache>
            </c:strRef>
          </c:tx>
          <c:xVal>
            <c:numRef>
              <c:f>'Figure 6.5'!$A$30:$A$80</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xVal>
          <c:yVal>
            <c:numRef>
              <c:f>'Figure 6.5'!$D$30:$D$80</c:f>
              <c:numCache>
                <c:formatCode>General</c:formatCode>
                <c:ptCount val="51"/>
                <c:pt idx="0">
                  <c:v>0.0</c:v>
                </c:pt>
                <c:pt idx="1">
                  <c:v>3.197</c:v>
                </c:pt>
                <c:pt idx="2">
                  <c:v>2.895999999999999</c:v>
                </c:pt>
                <c:pt idx="3">
                  <c:v>4.082</c:v>
                </c:pt>
                <c:pt idx="4">
                  <c:v>5.126999999999995</c:v>
                </c:pt>
                <c:pt idx="5">
                  <c:v>5.859999999999998</c:v>
                </c:pt>
                <c:pt idx="6">
                  <c:v>6.205</c:v>
                </c:pt>
                <c:pt idx="7">
                  <c:v>6.266</c:v>
                </c:pt>
                <c:pt idx="8">
                  <c:v>6.083</c:v>
                </c:pt>
                <c:pt idx="9">
                  <c:v>5.713</c:v>
                </c:pt>
                <c:pt idx="10">
                  <c:v>5.214</c:v>
                </c:pt>
                <c:pt idx="11">
                  <c:v>3.715</c:v>
                </c:pt>
                <c:pt idx="12">
                  <c:v>3.067</c:v>
                </c:pt>
                <c:pt idx="13">
                  <c:v>3.413</c:v>
                </c:pt>
                <c:pt idx="14">
                  <c:v>3.703</c:v>
                </c:pt>
                <c:pt idx="15">
                  <c:v>3.931</c:v>
                </c:pt>
                <c:pt idx="16">
                  <c:v>4.108</c:v>
                </c:pt>
                <c:pt idx="17">
                  <c:v>4.189</c:v>
                </c:pt>
                <c:pt idx="18">
                  <c:v>4.186999999999998</c:v>
                </c:pt>
                <c:pt idx="19">
                  <c:v>4.13</c:v>
                </c:pt>
                <c:pt idx="20">
                  <c:v>2.269</c:v>
                </c:pt>
                <c:pt idx="21">
                  <c:v>2.037</c:v>
                </c:pt>
                <c:pt idx="22">
                  <c:v>1.872</c:v>
                </c:pt>
                <c:pt idx="23">
                  <c:v>1.797</c:v>
                </c:pt>
                <c:pt idx="24">
                  <c:v>1.764</c:v>
                </c:pt>
                <c:pt idx="25">
                  <c:v>1.791</c:v>
                </c:pt>
                <c:pt idx="26">
                  <c:v>1.908</c:v>
                </c:pt>
                <c:pt idx="27">
                  <c:v>2.099</c:v>
                </c:pt>
                <c:pt idx="28">
                  <c:v>2.350999999999999</c:v>
                </c:pt>
                <c:pt idx="29">
                  <c:v>2.63</c:v>
                </c:pt>
                <c:pt idx="30">
                  <c:v>2.928</c:v>
                </c:pt>
                <c:pt idx="31">
                  <c:v>3.22</c:v>
                </c:pt>
                <c:pt idx="32">
                  <c:v>3.517</c:v>
                </c:pt>
                <c:pt idx="33">
                  <c:v>3.841</c:v>
                </c:pt>
                <c:pt idx="34">
                  <c:v>4.351</c:v>
                </c:pt>
                <c:pt idx="35">
                  <c:v>4.561</c:v>
                </c:pt>
                <c:pt idx="36">
                  <c:v>4.822999999999995</c:v>
                </c:pt>
                <c:pt idx="37">
                  <c:v>5.063</c:v>
                </c:pt>
                <c:pt idx="38">
                  <c:v>5.351</c:v>
                </c:pt>
                <c:pt idx="39">
                  <c:v>5.577</c:v>
                </c:pt>
                <c:pt idx="40">
                  <c:v>5.823999999999995</c:v>
                </c:pt>
                <c:pt idx="41">
                  <c:v>6.091</c:v>
                </c:pt>
                <c:pt idx="42">
                  <c:v>6.364999999999994</c:v>
                </c:pt>
                <c:pt idx="43">
                  <c:v>6.621999999999995</c:v>
                </c:pt>
                <c:pt idx="44">
                  <c:v>6.872</c:v>
                </c:pt>
                <c:pt idx="45">
                  <c:v>7.111</c:v>
                </c:pt>
                <c:pt idx="46">
                  <c:v>7.377</c:v>
                </c:pt>
                <c:pt idx="47">
                  <c:v>7.688</c:v>
                </c:pt>
                <c:pt idx="48">
                  <c:v>7.918</c:v>
                </c:pt>
                <c:pt idx="49">
                  <c:v>8.105</c:v>
                </c:pt>
                <c:pt idx="50">
                  <c:v>8.62</c:v>
                </c:pt>
              </c:numCache>
            </c:numRef>
          </c:yVal>
        </c:ser>
        <c:ser>
          <c:idx val="3"/>
          <c:order val="3"/>
          <c:tx>
            <c:strRef>
              <c:f>'Figure 6.5'!$E$27</c:f>
              <c:strCache>
                <c:ptCount val="1"/>
                <c:pt idx="0">
                  <c:v>Tanzania</c:v>
                </c:pt>
              </c:strCache>
            </c:strRef>
          </c:tx>
          <c:xVal>
            <c:numRef>
              <c:f>'Figure 6.5'!$A$30:$A$80</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xVal>
          <c:yVal>
            <c:numRef>
              <c:f>'Figure 6.5'!$E$30:$E$80</c:f>
              <c:numCache>
                <c:formatCode>General</c:formatCode>
                <c:ptCount val="51"/>
                <c:pt idx="0">
                  <c:v>0.0</c:v>
                </c:pt>
                <c:pt idx="1">
                  <c:v>3.833</c:v>
                </c:pt>
                <c:pt idx="2">
                  <c:v>2.711</c:v>
                </c:pt>
                <c:pt idx="3">
                  <c:v>3.734</c:v>
                </c:pt>
                <c:pt idx="4">
                  <c:v>4.678</c:v>
                </c:pt>
                <c:pt idx="5">
                  <c:v>5.327999999999995</c:v>
                </c:pt>
                <c:pt idx="6">
                  <c:v>5.827999999999995</c:v>
                </c:pt>
                <c:pt idx="7">
                  <c:v>6.106999999999998</c:v>
                </c:pt>
                <c:pt idx="8">
                  <c:v>6.181</c:v>
                </c:pt>
                <c:pt idx="9">
                  <c:v>6.161</c:v>
                </c:pt>
                <c:pt idx="10">
                  <c:v>6.069</c:v>
                </c:pt>
                <c:pt idx="11">
                  <c:v>5.93</c:v>
                </c:pt>
                <c:pt idx="12">
                  <c:v>6.013999999999998</c:v>
                </c:pt>
                <c:pt idx="13">
                  <c:v>6.041</c:v>
                </c:pt>
                <c:pt idx="14">
                  <c:v>5.816999999999997</c:v>
                </c:pt>
                <c:pt idx="15">
                  <c:v>5.664999999999993</c:v>
                </c:pt>
                <c:pt idx="16">
                  <c:v>5.521999999999998</c:v>
                </c:pt>
                <c:pt idx="17">
                  <c:v>5.361999999999996</c:v>
                </c:pt>
                <c:pt idx="18">
                  <c:v>5.176</c:v>
                </c:pt>
                <c:pt idx="19">
                  <c:v>4.973</c:v>
                </c:pt>
                <c:pt idx="20">
                  <c:v>3.935</c:v>
                </c:pt>
                <c:pt idx="21">
                  <c:v>3.724</c:v>
                </c:pt>
                <c:pt idx="22">
                  <c:v>3.532</c:v>
                </c:pt>
                <c:pt idx="23">
                  <c:v>3.379</c:v>
                </c:pt>
                <c:pt idx="24">
                  <c:v>3.273</c:v>
                </c:pt>
                <c:pt idx="25">
                  <c:v>3.211</c:v>
                </c:pt>
                <c:pt idx="26">
                  <c:v>3.184</c:v>
                </c:pt>
                <c:pt idx="27">
                  <c:v>3.206</c:v>
                </c:pt>
                <c:pt idx="28">
                  <c:v>3.292</c:v>
                </c:pt>
                <c:pt idx="29">
                  <c:v>3.429</c:v>
                </c:pt>
                <c:pt idx="30">
                  <c:v>3.656</c:v>
                </c:pt>
                <c:pt idx="31">
                  <c:v>3.86</c:v>
                </c:pt>
                <c:pt idx="32">
                  <c:v>4.056</c:v>
                </c:pt>
                <c:pt idx="33">
                  <c:v>4.013999999999998</c:v>
                </c:pt>
                <c:pt idx="34">
                  <c:v>3.472</c:v>
                </c:pt>
                <c:pt idx="35">
                  <c:v>2.948</c:v>
                </c:pt>
                <c:pt idx="36">
                  <c:v>2.421</c:v>
                </c:pt>
                <c:pt idx="37">
                  <c:v>1.895</c:v>
                </c:pt>
                <c:pt idx="38">
                  <c:v>1.412</c:v>
                </c:pt>
                <c:pt idx="39">
                  <c:v>0.954</c:v>
                </c:pt>
                <c:pt idx="40">
                  <c:v>0.52</c:v>
                </c:pt>
                <c:pt idx="41">
                  <c:v>0.104</c:v>
                </c:pt>
                <c:pt idx="42">
                  <c:v>-0.382</c:v>
                </c:pt>
                <c:pt idx="43">
                  <c:v>-1.04</c:v>
                </c:pt>
                <c:pt idx="44">
                  <c:v>-1.227</c:v>
                </c:pt>
                <c:pt idx="45">
                  <c:v>-1.195</c:v>
                </c:pt>
                <c:pt idx="46">
                  <c:v>-1.101</c:v>
                </c:pt>
                <c:pt idx="47">
                  <c:v>-0.962</c:v>
                </c:pt>
                <c:pt idx="48">
                  <c:v>-0.81</c:v>
                </c:pt>
                <c:pt idx="49">
                  <c:v>-0.667</c:v>
                </c:pt>
                <c:pt idx="50">
                  <c:v>-0.552</c:v>
                </c:pt>
              </c:numCache>
            </c:numRef>
          </c:yVal>
        </c:ser>
        <c:axId val="824438584"/>
        <c:axId val="824445768"/>
      </c:scatterChart>
      <c:valAx>
        <c:axId val="824438584"/>
        <c:scaling>
          <c:orientation val="minMax"/>
          <c:max val="2060.0"/>
          <c:min val="2010.0"/>
        </c:scaling>
        <c:axPos val="b"/>
        <c:title>
          <c:tx>
            <c:rich>
              <a:bodyPr/>
              <a:lstStyle/>
              <a:p>
                <a:pPr>
                  <a:defRPr/>
                </a:pPr>
                <a:r>
                  <a:rPr lang="en-US"/>
                  <a:t>Year</a:t>
                </a:r>
              </a:p>
            </c:rich>
          </c:tx>
        </c:title>
        <c:numFmt formatCode="General" sourceLinked="1"/>
        <c:tickLblPos val="low"/>
        <c:crossAx val="824445768"/>
        <c:crosses val="autoZero"/>
        <c:crossBetween val="midCat"/>
      </c:valAx>
      <c:valAx>
        <c:axId val="824445768"/>
        <c:scaling>
          <c:orientation val="minMax"/>
        </c:scaling>
        <c:axPos val="l"/>
        <c:majorGridlines/>
        <c:title>
          <c:tx>
            <c:rich>
              <a:bodyPr rot="-5400000" vert="horz"/>
              <a:lstStyle/>
              <a:p>
                <a:pPr>
                  <a:defRPr/>
                </a:pPr>
                <a:r>
                  <a:rPr lang="en-US"/>
                  <a:t>Percent of GDP</a:t>
                </a:r>
              </a:p>
            </c:rich>
          </c:tx>
        </c:title>
        <c:numFmt formatCode="General" sourceLinked="1"/>
        <c:tickLblPos val="nextTo"/>
        <c:crossAx val="824438584"/>
        <c:crosses val="autoZero"/>
        <c:crossBetween val="midCat"/>
      </c:valAx>
    </c:plotArea>
    <c:legend>
      <c:legendPos val="t"/>
    </c:legend>
    <c:plotVisOnly val="1"/>
    <c:dispBlanksAs val="gap"/>
  </c:chart>
  <c:txPr>
    <a:bodyPr/>
    <a:lstStyle/>
    <a:p>
      <a:pPr>
        <a:defRPr b="0">
          <a:latin typeface="Times New Roman"/>
          <a:cs typeface="Times New Roman"/>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style val="18"/>
  <c:chart>
    <c:title>
      <c:txPr>
        <a:bodyPr/>
        <a:lstStyle/>
        <a:p>
          <a:pPr>
            <a:defRPr sz="1200" b="1">
              <a:latin typeface="Times New Roman"/>
              <a:cs typeface="Times New Roman"/>
            </a:defRPr>
          </a:pPr>
          <a:endParaRPr lang="en-US"/>
        </a:p>
      </c:txPr>
    </c:title>
    <c:plotArea>
      <c:layout/>
      <c:pieChart>
        <c:varyColors val="1"/>
        <c:ser>
          <c:idx val="0"/>
          <c:order val="0"/>
          <c:tx>
            <c:strRef>
              <c:f>'Figure 2.1'!$L$17</c:f>
              <c:strCache>
                <c:ptCount val="1"/>
                <c:pt idx="0">
                  <c:v>2008</c:v>
                </c:pt>
              </c:strCache>
            </c:strRef>
          </c:tx>
          <c:explosion val="7"/>
          <c:dLbls>
            <c:dLbl>
              <c:idx val="0"/>
              <c:dLblPos val="outEnd"/>
              <c:showPercent val="1"/>
            </c:dLbl>
            <c:dLbl>
              <c:idx val="1"/>
              <c:dLblPos val="outEnd"/>
              <c:showPercent val="1"/>
            </c:dLbl>
            <c:dLbl>
              <c:idx val="2"/>
              <c:dLblPos val="outEnd"/>
              <c:showPercent val="1"/>
            </c:dLbl>
            <c:dLbl>
              <c:idx val="3"/>
              <c:dLblPos val="outEnd"/>
              <c:showPercent val="1"/>
            </c:dLbl>
            <c:txPr>
              <a:bodyPr/>
              <a:lstStyle/>
              <a:p>
                <a:pPr>
                  <a:defRPr sz="1200" b="1"/>
                </a:pPr>
                <a:endParaRPr lang="en-US"/>
              </a:p>
            </c:txPr>
            <c:showPercent val="1"/>
            <c:showLeaderLines val="1"/>
          </c:dLbls>
          <c:cat>
            <c:strRef>
              <c:f>'Figure 2.1'!$H$18:$H$24</c:f>
              <c:strCache>
                <c:ptCount val="7"/>
                <c:pt idx="0">
                  <c:v>East Asia and Pacific</c:v>
                </c:pt>
                <c:pt idx="1">
                  <c:v>Europe and Central Asia</c:v>
                </c:pt>
                <c:pt idx="2">
                  <c:v>Latin America and the Caribbean</c:v>
                </c:pt>
                <c:pt idx="3">
                  <c:v>Middle East and North Africa</c:v>
                </c:pt>
                <c:pt idx="4">
                  <c:v>South Asia</c:v>
                </c:pt>
                <c:pt idx="5">
                  <c:v>Sub-Saharan Africa</c:v>
                </c:pt>
                <c:pt idx="6">
                  <c:v>High-income countries</c:v>
                </c:pt>
              </c:strCache>
            </c:strRef>
          </c:cat>
          <c:val>
            <c:numRef>
              <c:f>'Figure 2.1'!$L$18:$L$24</c:f>
              <c:numCache>
                <c:formatCode>0.00%</c:formatCode>
                <c:ptCount val="7"/>
                <c:pt idx="0">
                  <c:v>0.145</c:v>
                </c:pt>
                <c:pt idx="1">
                  <c:v>0.0682</c:v>
                </c:pt>
                <c:pt idx="2">
                  <c:v>0.0959</c:v>
                </c:pt>
                <c:pt idx="3">
                  <c:v>0.0183</c:v>
                </c:pt>
                <c:pt idx="4">
                  <c:v>0.1403</c:v>
                </c:pt>
                <c:pt idx="5">
                  <c:v>0.0562</c:v>
                </c:pt>
                <c:pt idx="6">
                  <c:v>0.4761</c:v>
                </c:pt>
              </c:numCache>
            </c:numRef>
          </c:val>
        </c:ser>
        <c:dLbls>
          <c:showPercent val="1"/>
        </c:dLbls>
        <c:firstSliceAng val="0"/>
      </c:pieChart>
    </c:plotArea>
    <c:plotVisOnly val="1"/>
  </c:chart>
  <c:spPr>
    <a:ln>
      <a:noFill/>
    </a:ln>
  </c:sp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0712305243759424"/>
          <c:y val="0.176134139716326"/>
          <c:w val="0.892425903399448"/>
          <c:h val="0.69098971730778"/>
        </c:manualLayout>
      </c:layout>
      <c:scatterChart>
        <c:scatterStyle val="lineMarker"/>
        <c:ser>
          <c:idx val="0"/>
          <c:order val="0"/>
          <c:tx>
            <c:strRef>
              <c:f>'Figure 6.6'!$B$32</c:f>
              <c:strCache>
                <c:ptCount val="1"/>
                <c:pt idx="0">
                  <c:v>Expected education (years)</c:v>
                </c:pt>
              </c:strCache>
            </c:strRef>
          </c:tx>
          <c:xVal>
            <c:numRef>
              <c:f>'Figure 6.6'!$A$33:$A$83</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xVal>
          <c:yVal>
            <c:numRef>
              <c:f>'Figure 6.6'!$B$33:$B$83</c:f>
              <c:numCache>
                <c:formatCode>General</c:formatCode>
                <c:ptCount val="51"/>
                <c:pt idx="0">
                  <c:v>0.0</c:v>
                </c:pt>
                <c:pt idx="1">
                  <c:v>-0.116</c:v>
                </c:pt>
                <c:pt idx="2">
                  <c:v>-0.229</c:v>
                </c:pt>
                <c:pt idx="3">
                  <c:v>-0.317</c:v>
                </c:pt>
                <c:pt idx="4">
                  <c:v>-0.376</c:v>
                </c:pt>
                <c:pt idx="5">
                  <c:v>-0.408</c:v>
                </c:pt>
                <c:pt idx="6">
                  <c:v>-0.412</c:v>
                </c:pt>
                <c:pt idx="7">
                  <c:v>-0.398</c:v>
                </c:pt>
                <c:pt idx="8">
                  <c:v>-0.368</c:v>
                </c:pt>
                <c:pt idx="9">
                  <c:v>-0.337</c:v>
                </c:pt>
                <c:pt idx="10">
                  <c:v>-0.32</c:v>
                </c:pt>
                <c:pt idx="11">
                  <c:v>-0.306</c:v>
                </c:pt>
                <c:pt idx="12">
                  <c:v>-0.297</c:v>
                </c:pt>
                <c:pt idx="13">
                  <c:v>-0.295</c:v>
                </c:pt>
                <c:pt idx="14">
                  <c:v>-0.295</c:v>
                </c:pt>
                <c:pt idx="15">
                  <c:v>-0.296</c:v>
                </c:pt>
                <c:pt idx="16">
                  <c:v>-0.298</c:v>
                </c:pt>
                <c:pt idx="17">
                  <c:v>-0.299</c:v>
                </c:pt>
                <c:pt idx="18">
                  <c:v>-0.299</c:v>
                </c:pt>
                <c:pt idx="19">
                  <c:v>-0.295</c:v>
                </c:pt>
                <c:pt idx="20">
                  <c:v>-0.289</c:v>
                </c:pt>
                <c:pt idx="21">
                  <c:v>-0.279</c:v>
                </c:pt>
                <c:pt idx="22">
                  <c:v>-0.268</c:v>
                </c:pt>
                <c:pt idx="23">
                  <c:v>-0.259</c:v>
                </c:pt>
                <c:pt idx="24">
                  <c:v>-0.25</c:v>
                </c:pt>
                <c:pt idx="25">
                  <c:v>-0.244</c:v>
                </c:pt>
                <c:pt idx="26">
                  <c:v>-0.242</c:v>
                </c:pt>
                <c:pt idx="27">
                  <c:v>-0.245</c:v>
                </c:pt>
                <c:pt idx="28">
                  <c:v>-0.256</c:v>
                </c:pt>
                <c:pt idx="29">
                  <c:v>-0.282</c:v>
                </c:pt>
                <c:pt idx="30">
                  <c:v>-0.319</c:v>
                </c:pt>
                <c:pt idx="31">
                  <c:v>-0.347</c:v>
                </c:pt>
                <c:pt idx="32">
                  <c:v>-0.358</c:v>
                </c:pt>
                <c:pt idx="33">
                  <c:v>-0.351</c:v>
                </c:pt>
                <c:pt idx="34">
                  <c:v>-0.324</c:v>
                </c:pt>
                <c:pt idx="35">
                  <c:v>-0.289</c:v>
                </c:pt>
                <c:pt idx="36">
                  <c:v>-0.26</c:v>
                </c:pt>
                <c:pt idx="37">
                  <c:v>-0.22</c:v>
                </c:pt>
                <c:pt idx="38">
                  <c:v>-0.172</c:v>
                </c:pt>
                <c:pt idx="39">
                  <c:v>-0.109</c:v>
                </c:pt>
                <c:pt idx="40">
                  <c:v>-0.039</c:v>
                </c:pt>
                <c:pt idx="41">
                  <c:v>0.035</c:v>
                </c:pt>
                <c:pt idx="42">
                  <c:v>0.104</c:v>
                </c:pt>
                <c:pt idx="43">
                  <c:v>0.17</c:v>
                </c:pt>
                <c:pt idx="44">
                  <c:v>0.222</c:v>
                </c:pt>
                <c:pt idx="45">
                  <c:v>0.267</c:v>
                </c:pt>
                <c:pt idx="46">
                  <c:v>0.301</c:v>
                </c:pt>
                <c:pt idx="47">
                  <c:v>0.316</c:v>
                </c:pt>
                <c:pt idx="48">
                  <c:v>0.318</c:v>
                </c:pt>
                <c:pt idx="49">
                  <c:v>0.316</c:v>
                </c:pt>
                <c:pt idx="50">
                  <c:v>0.309</c:v>
                </c:pt>
              </c:numCache>
            </c:numRef>
          </c:yVal>
        </c:ser>
        <c:ser>
          <c:idx val="1"/>
          <c:order val="1"/>
          <c:tx>
            <c:strRef>
              <c:f>'Figure 6.6'!$C$32</c:f>
              <c:strCache>
                <c:ptCount val="1"/>
                <c:pt idx="0">
                  <c:v>Educational attainment (years)</c:v>
                </c:pt>
              </c:strCache>
            </c:strRef>
          </c:tx>
          <c:xVal>
            <c:numRef>
              <c:f>'Figure 6.6'!$A$33:$A$83</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xVal>
          <c:yVal>
            <c:numRef>
              <c:f>'Figure 6.6'!$C$33:$C$83</c:f>
              <c:numCache>
                <c:formatCode>General</c:formatCode>
                <c:ptCount val="51"/>
                <c:pt idx="0">
                  <c:v>0.0</c:v>
                </c:pt>
                <c:pt idx="1">
                  <c:v>0.004</c:v>
                </c:pt>
                <c:pt idx="2">
                  <c:v>0.005</c:v>
                </c:pt>
                <c:pt idx="3">
                  <c:v>0.002</c:v>
                </c:pt>
                <c:pt idx="4">
                  <c:v>-0.001</c:v>
                </c:pt>
                <c:pt idx="5">
                  <c:v>-0.006</c:v>
                </c:pt>
                <c:pt idx="6">
                  <c:v>-0.012</c:v>
                </c:pt>
                <c:pt idx="7">
                  <c:v>-0.018</c:v>
                </c:pt>
                <c:pt idx="8">
                  <c:v>-0.025</c:v>
                </c:pt>
                <c:pt idx="9">
                  <c:v>-0.032</c:v>
                </c:pt>
                <c:pt idx="10">
                  <c:v>-0.039</c:v>
                </c:pt>
                <c:pt idx="11">
                  <c:v>-0.047</c:v>
                </c:pt>
                <c:pt idx="12">
                  <c:v>-0.056</c:v>
                </c:pt>
                <c:pt idx="13">
                  <c:v>-0.066</c:v>
                </c:pt>
                <c:pt idx="14">
                  <c:v>-0.076</c:v>
                </c:pt>
                <c:pt idx="15">
                  <c:v>-0.085</c:v>
                </c:pt>
                <c:pt idx="16">
                  <c:v>-0.094</c:v>
                </c:pt>
                <c:pt idx="17">
                  <c:v>-0.102</c:v>
                </c:pt>
                <c:pt idx="18">
                  <c:v>-0.11</c:v>
                </c:pt>
                <c:pt idx="19">
                  <c:v>-0.118</c:v>
                </c:pt>
                <c:pt idx="20">
                  <c:v>-0.125</c:v>
                </c:pt>
                <c:pt idx="21">
                  <c:v>-0.133</c:v>
                </c:pt>
                <c:pt idx="22">
                  <c:v>-0.141</c:v>
                </c:pt>
                <c:pt idx="23">
                  <c:v>-0.148</c:v>
                </c:pt>
                <c:pt idx="24">
                  <c:v>-0.156</c:v>
                </c:pt>
                <c:pt idx="25">
                  <c:v>-0.163</c:v>
                </c:pt>
                <c:pt idx="26">
                  <c:v>-0.169</c:v>
                </c:pt>
                <c:pt idx="27">
                  <c:v>-0.176</c:v>
                </c:pt>
                <c:pt idx="28">
                  <c:v>-0.181</c:v>
                </c:pt>
                <c:pt idx="29">
                  <c:v>-0.187</c:v>
                </c:pt>
                <c:pt idx="30">
                  <c:v>-0.192</c:v>
                </c:pt>
                <c:pt idx="31">
                  <c:v>-0.197</c:v>
                </c:pt>
                <c:pt idx="32">
                  <c:v>-0.202</c:v>
                </c:pt>
                <c:pt idx="33">
                  <c:v>-0.208</c:v>
                </c:pt>
                <c:pt idx="34">
                  <c:v>-0.214</c:v>
                </c:pt>
                <c:pt idx="35">
                  <c:v>-0.22</c:v>
                </c:pt>
                <c:pt idx="36">
                  <c:v>-0.226</c:v>
                </c:pt>
                <c:pt idx="37">
                  <c:v>-0.23</c:v>
                </c:pt>
                <c:pt idx="38">
                  <c:v>-0.234</c:v>
                </c:pt>
                <c:pt idx="39">
                  <c:v>-0.235</c:v>
                </c:pt>
                <c:pt idx="40">
                  <c:v>-0.235</c:v>
                </c:pt>
                <c:pt idx="41">
                  <c:v>-0.234</c:v>
                </c:pt>
                <c:pt idx="42">
                  <c:v>-0.232</c:v>
                </c:pt>
                <c:pt idx="43">
                  <c:v>-0.229</c:v>
                </c:pt>
                <c:pt idx="44">
                  <c:v>-0.224</c:v>
                </c:pt>
                <c:pt idx="45">
                  <c:v>-0.218</c:v>
                </c:pt>
                <c:pt idx="46">
                  <c:v>-0.21</c:v>
                </c:pt>
                <c:pt idx="47">
                  <c:v>-0.201</c:v>
                </c:pt>
                <c:pt idx="48">
                  <c:v>-0.193</c:v>
                </c:pt>
                <c:pt idx="49">
                  <c:v>-0.184</c:v>
                </c:pt>
                <c:pt idx="50">
                  <c:v>-0.175</c:v>
                </c:pt>
              </c:numCache>
            </c:numRef>
          </c:yVal>
        </c:ser>
        <c:ser>
          <c:idx val="2"/>
          <c:order val="2"/>
          <c:tx>
            <c:strRef>
              <c:f>'Figure 6.6'!$D$32</c:f>
              <c:strCache>
                <c:ptCount val="1"/>
                <c:pt idx="0">
                  <c:v>GDP per capita (thousand $2000)</c:v>
                </c:pt>
              </c:strCache>
            </c:strRef>
          </c:tx>
          <c:xVal>
            <c:numRef>
              <c:f>'Figure 6.6'!$A$33:$A$83</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xVal>
          <c:yVal>
            <c:numRef>
              <c:f>'Figure 6.6'!$D$33:$D$83</c:f>
              <c:numCache>
                <c:formatCode>General</c:formatCode>
                <c:ptCount val="51"/>
                <c:pt idx="0">
                  <c:v>0.0</c:v>
                </c:pt>
                <c:pt idx="1">
                  <c:v>0.0</c:v>
                </c:pt>
                <c:pt idx="2">
                  <c:v>0.0</c:v>
                </c:pt>
                <c:pt idx="3">
                  <c:v>0.0</c:v>
                </c:pt>
                <c:pt idx="4">
                  <c:v>0.0</c:v>
                </c:pt>
                <c:pt idx="5">
                  <c:v>0.0</c:v>
                </c:pt>
                <c:pt idx="6">
                  <c:v>0.001</c:v>
                </c:pt>
                <c:pt idx="7">
                  <c:v>0.002</c:v>
                </c:pt>
                <c:pt idx="8">
                  <c:v>0.003</c:v>
                </c:pt>
                <c:pt idx="9">
                  <c:v>0.005</c:v>
                </c:pt>
                <c:pt idx="10">
                  <c:v>0.008</c:v>
                </c:pt>
                <c:pt idx="11">
                  <c:v>0.01</c:v>
                </c:pt>
                <c:pt idx="12">
                  <c:v>0.014</c:v>
                </c:pt>
                <c:pt idx="13">
                  <c:v>0.018</c:v>
                </c:pt>
                <c:pt idx="14">
                  <c:v>0.023</c:v>
                </c:pt>
                <c:pt idx="15">
                  <c:v>0.029</c:v>
                </c:pt>
                <c:pt idx="16">
                  <c:v>0.035</c:v>
                </c:pt>
                <c:pt idx="17">
                  <c:v>0.042</c:v>
                </c:pt>
                <c:pt idx="18">
                  <c:v>0.051</c:v>
                </c:pt>
                <c:pt idx="19">
                  <c:v>0.061</c:v>
                </c:pt>
                <c:pt idx="20">
                  <c:v>0.071</c:v>
                </c:pt>
                <c:pt idx="21">
                  <c:v>0.081</c:v>
                </c:pt>
                <c:pt idx="22">
                  <c:v>0.092</c:v>
                </c:pt>
                <c:pt idx="23">
                  <c:v>0.102</c:v>
                </c:pt>
                <c:pt idx="24">
                  <c:v>0.116</c:v>
                </c:pt>
                <c:pt idx="25">
                  <c:v>0.129</c:v>
                </c:pt>
                <c:pt idx="26">
                  <c:v>0.144</c:v>
                </c:pt>
                <c:pt idx="27">
                  <c:v>0.16</c:v>
                </c:pt>
                <c:pt idx="28">
                  <c:v>0.178</c:v>
                </c:pt>
                <c:pt idx="29">
                  <c:v>0.199</c:v>
                </c:pt>
                <c:pt idx="30">
                  <c:v>0.223</c:v>
                </c:pt>
                <c:pt idx="31">
                  <c:v>0.249</c:v>
                </c:pt>
                <c:pt idx="32">
                  <c:v>0.278</c:v>
                </c:pt>
                <c:pt idx="33">
                  <c:v>0.309</c:v>
                </c:pt>
                <c:pt idx="34">
                  <c:v>0.343</c:v>
                </c:pt>
                <c:pt idx="35">
                  <c:v>0.379</c:v>
                </c:pt>
                <c:pt idx="36">
                  <c:v>0.419</c:v>
                </c:pt>
                <c:pt idx="37">
                  <c:v>0.462</c:v>
                </c:pt>
                <c:pt idx="38">
                  <c:v>0.507</c:v>
                </c:pt>
                <c:pt idx="39">
                  <c:v>0.556</c:v>
                </c:pt>
                <c:pt idx="40">
                  <c:v>0.607</c:v>
                </c:pt>
                <c:pt idx="41">
                  <c:v>0.662</c:v>
                </c:pt>
                <c:pt idx="42">
                  <c:v>0.719</c:v>
                </c:pt>
                <c:pt idx="43">
                  <c:v>0.778</c:v>
                </c:pt>
                <c:pt idx="44">
                  <c:v>0.839</c:v>
                </c:pt>
                <c:pt idx="45">
                  <c:v>0.903</c:v>
                </c:pt>
                <c:pt idx="46">
                  <c:v>0.968</c:v>
                </c:pt>
                <c:pt idx="47">
                  <c:v>1.037</c:v>
                </c:pt>
                <c:pt idx="48">
                  <c:v>1.111</c:v>
                </c:pt>
                <c:pt idx="49">
                  <c:v>1.193</c:v>
                </c:pt>
                <c:pt idx="50">
                  <c:v>1.284</c:v>
                </c:pt>
              </c:numCache>
            </c:numRef>
          </c:yVal>
        </c:ser>
        <c:ser>
          <c:idx val="3"/>
          <c:order val="3"/>
          <c:tx>
            <c:strRef>
              <c:f>'Figure 6.6'!$E$32</c:f>
              <c:strCache>
                <c:ptCount val="1"/>
                <c:pt idx="0">
                  <c:v>Life expectancy (years)</c:v>
                </c:pt>
              </c:strCache>
            </c:strRef>
          </c:tx>
          <c:xVal>
            <c:numRef>
              <c:f>'Figure 6.6'!$A$33:$A$83</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xVal>
          <c:yVal>
            <c:numRef>
              <c:f>'Figure 6.6'!$E$33:$E$83</c:f>
              <c:numCache>
                <c:formatCode>General</c:formatCode>
                <c:ptCount val="51"/>
                <c:pt idx="0">
                  <c:v>0.0</c:v>
                </c:pt>
                <c:pt idx="1">
                  <c:v>-0.024</c:v>
                </c:pt>
                <c:pt idx="2">
                  <c:v>0.026</c:v>
                </c:pt>
                <c:pt idx="3">
                  <c:v>0.087</c:v>
                </c:pt>
                <c:pt idx="4">
                  <c:v>0.147</c:v>
                </c:pt>
                <c:pt idx="5">
                  <c:v>0.207</c:v>
                </c:pt>
                <c:pt idx="6">
                  <c:v>0.266</c:v>
                </c:pt>
                <c:pt idx="7">
                  <c:v>0.325</c:v>
                </c:pt>
                <c:pt idx="8">
                  <c:v>0.371</c:v>
                </c:pt>
                <c:pt idx="9">
                  <c:v>0.408</c:v>
                </c:pt>
                <c:pt idx="10">
                  <c:v>0.437</c:v>
                </c:pt>
                <c:pt idx="11">
                  <c:v>0.459</c:v>
                </c:pt>
                <c:pt idx="12">
                  <c:v>0.476</c:v>
                </c:pt>
                <c:pt idx="13">
                  <c:v>0.498</c:v>
                </c:pt>
                <c:pt idx="14">
                  <c:v>0.521</c:v>
                </c:pt>
                <c:pt idx="15">
                  <c:v>0.548</c:v>
                </c:pt>
                <c:pt idx="16">
                  <c:v>0.602</c:v>
                </c:pt>
                <c:pt idx="17">
                  <c:v>0.603</c:v>
                </c:pt>
                <c:pt idx="18">
                  <c:v>0.635</c:v>
                </c:pt>
                <c:pt idx="19">
                  <c:v>0.664</c:v>
                </c:pt>
                <c:pt idx="20">
                  <c:v>0.655</c:v>
                </c:pt>
                <c:pt idx="21">
                  <c:v>0.642</c:v>
                </c:pt>
                <c:pt idx="22">
                  <c:v>0.627</c:v>
                </c:pt>
                <c:pt idx="23">
                  <c:v>0.613</c:v>
                </c:pt>
                <c:pt idx="24">
                  <c:v>0.624</c:v>
                </c:pt>
                <c:pt idx="25">
                  <c:v>0.585</c:v>
                </c:pt>
                <c:pt idx="26">
                  <c:v>0.552</c:v>
                </c:pt>
                <c:pt idx="27">
                  <c:v>0.559</c:v>
                </c:pt>
                <c:pt idx="28">
                  <c:v>0.553</c:v>
                </c:pt>
                <c:pt idx="29">
                  <c:v>0.549</c:v>
                </c:pt>
                <c:pt idx="30">
                  <c:v>0.546</c:v>
                </c:pt>
                <c:pt idx="31">
                  <c:v>0.547</c:v>
                </c:pt>
                <c:pt idx="32">
                  <c:v>0.549</c:v>
                </c:pt>
                <c:pt idx="33">
                  <c:v>0.549</c:v>
                </c:pt>
                <c:pt idx="34">
                  <c:v>0.547</c:v>
                </c:pt>
                <c:pt idx="35">
                  <c:v>0.544</c:v>
                </c:pt>
                <c:pt idx="36">
                  <c:v>0.539</c:v>
                </c:pt>
                <c:pt idx="37">
                  <c:v>0.54</c:v>
                </c:pt>
                <c:pt idx="38">
                  <c:v>0.543</c:v>
                </c:pt>
                <c:pt idx="39">
                  <c:v>0.55</c:v>
                </c:pt>
                <c:pt idx="40">
                  <c:v>0.556</c:v>
                </c:pt>
                <c:pt idx="41">
                  <c:v>0.563</c:v>
                </c:pt>
                <c:pt idx="42">
                  <c:v>0.568</c:v>
                </c:pt>
                <c:pt idx="43">
                  <c:v>0.577</c:v>
                </c:pt>
                <c:pt idx="44">
                  <c:v>0.587</c:v>
                </c:pt>
                <c:pt idx="45">
                  <c:v>0.598</c:v>
                </c:pt>
                <c:pt idx="46">
                  <c:v>0.608</c:v>
                </c:pt>
                <c:pt idx="47">
                  <c:v>0.617</c:v>
                </c:pt>
                <c:pt idx="48">
                  <c:v>0.645</c:v>
                </c:pt>
                <c:pt idx="49">
                  <c:v>0.646</c:v>
                </c:pt>
                <c:pt idx="50">
                  <c:v>0.659</c:v>
                </c:pt>
              </c:numCache>
            </c:numRef>
          </c:yVal>
        </c:ser>
        <c:ser>
          <c:idx val="4"/>
          <c:order val="4"/>
          <c:tx>
            <c:strRef>
              <c:f>'Figure 6.6'!$F$32</c:f>
              <c:strCache>
                <c:ptCount val="1"/>
                <c:pt idx="0">
                  <c:v>HDI (x 100)</c:v>
                </c:pt>
              </c:strCache>
            </c:strRef>
          </c:tx>
          <c:xVal>
            <c:numRef>
              <c:f>'Figure 6.6'!$A$33:$A$83</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xVal>
          <c:yVal>
            <c:numRef>
              <c:f>'Figure 6.6'!$F$33:$F$83</c:f>
              <c:numCache>
                <c:formatCode>General</c:formatCode>
                <c:ptCount val="51"/>
                <c:pt idx="0">
                  <c:v>0.0</c:v>
                </c:pt>
                <c:pt idx="1">
                  <c:v>-0.098</c:v>
                </c:pt>
                <c:pt idx="2">
                  <c:v>-0.176</c:v>
                </c:pt>
                <c:pt idx="3">
                  <c:v>-0.233</c:v>
                </c:pt>
                <c:pt idx="4">
                  <c:v>-0.27</c:v>
                </c:pt>
                <c:pt idx="5">
                  <c:v>-0.283</c:v>
                </c:pt>
                <c:pt idx="6">
                  <c:v>-0.272</c:v>
                </c:pt>
                <c:pt idx="7">
                  <c:v>-0.245</c:v>
                </c:pt>
                <c:pt idx="8">
                  <c:v>-0.207</c:v>
                </c:pt>
                <c:pt idx="9">
                  <c:v>-0.171</c:v>
                </c:pt>
                <c:pt idx="10">
                  <c:v>-0.148</c:v>
                </c:pt>
                <c:pt idx="11">
                  <c:v>-0.129</c:v>
                </c:pt>
                <c:pt idx="12">
                  <c:v>-0.114</c:v>
                </c:pt>
                <c:pt idx="13">
                  <c:v>-0.104</c:v>
                </c:pt>
                <c:pt idx="14">
                  <c:v>-0.094</c:v>
                </c:pt>
                <c:pt idx="15">
                  <c:v>-0.082</c:v>
                </c:pt>
                <c:pt idx="16">
                  <c:v>-0.059</c:v>
                </c:pt>
                <c:pt idx="17">
                  <c:v>-0.053</c:v>
                </c:pt>
                <c:pt idx="18">
                  <c:v>-0.031</c:v>
                </c:pt>
                <c:pt idx="19">
                  <c:v>-0.007</c:v>
                </c:pt>
                <c:pt idx="20">
                  <c:v>0.006</c:v>
                </c:pt>
                <c:pt idx="21">
                  <c:v>0.016</c:v>
                </c:pt>
                <c:pt idx="22">
                  <c:v>0.023</c:v>
                </c:pt>
                <c:pt idx="23">
                  <c:v>0.029</c:v>
                </c:pt>
                <c:pt idx="24">
                  <c:v>0.047</c:v>
                </c:pt>
                <c:pt idx="25">
                  <c:v>0.043</c:v>
                </c:pt>
                <c:pt idx="26">
                  <c:v>0.037</c:v>
                </c:pt>
                <c:pt idx="27">
                  <c:v>0.045</c:v>
                </c:pt>
                <c:pt idx="28">
                  <c:v>0.045</c:v>
                </c:pt>
                <c:pt idx="29">
                  <c:v>0.034</c:v>
                </c:pt>
                <c:pt idx="30">
                  <c:v>0.017</c:v>
                </c:pt>
                <c:pt idx="31">
                  <c:v>0.013</c:v>
                </c:pt>
                <c:pt idx="32">
                  <c:v>0.027</c:v>
                </c:pt>
                <c:pt idx="33">
                  <c:v>0.053</c:v>
                </c:pt>
                <c:pt idx="34">
                  <c:v>0.095</c:v>
                </c:pt>
                <c:pt idx="35">
                  <c:v>0.146</c:v>
                </c:pt>
                <c:pt idx="36">
                  <c:v>0.192</c:v>
                </c:pt>
                <c:pt idx="37">
                  <c:v>0.252</c:v>
                </c:pt>
                <c:pt idx="38">
                  <c:v>0.322</c:v>
                </c:pt>
                <c:pt idx="39">
                  <c:v>0.411</c:v>
                </c:pt>
                <c:pt idx="40">
                  <c:v>0.507</c:v>
                </c:pt>
                <c:pt idx="41">
                  <c:v>0.609</c:v>
                </c:pt>
                <c:pt idx="42">
                  <c:v>0.707</c:v>
                </c:pt>
                <c:pt idx="43">
                  <c:v>0.804</c:v>
                </c:pt>
                <c:pt idx="44">
                  <c:v>0.892</c:v>
                </c:pt>
                <c:pt idx="45">
                  <c:v>0.977</c:v>
                </c:pt>
                <c:pt idx="46">
                  <c:v>1.053</c:v>
                </c:pt>
                <c:pt idx="47">
                  <c:v>1.116</c:v>
                </c:pt>
                <c:pt idx="48">
                  <c:v>1.177</c:v>
                </c:pt>
                <c:pt idx="49">
                  <c:v>1.224</c:v>
                </c:pt>
                <c:pt idx="50">
                  <c:v>1.278</c:v>
                </c:pt>
              </c:numCache>
            </c:numRef>
          </c:yVal>
        </c:ser>
        <c:axId val="824486856"/>
        <c:axId val="824490024"/>
      </c:scatterChart>
      <c:valAx>
        <c:axId val="824486856"/>
        <c:scaling>
          <c:orientation val="minMax"/>
          <c:max val="2060.0"/>
          <c:min val="2010.0"/>
        </c:scaling>
        <c:axPos val="b"/>
        <c:numFmt formatCode="General" sourceLinked="1"/>
        <c:tickLblPos val="low"/>
        <c:crossAx val="824490024"/>
        <c:crosses val="autoZero"/>
        <c:crossBetween val="midCat"/>
        <c:majorUnit val="10.0"/>
      </c:valAx>
      <c:valAx>
        <c:axId val="824490024"/>
        <c:scaling>
          <c:orientation val="minMax"/>
        </c:scaling>
        <c:axPos val="l"/>
        <c:majorGridlines/>
        <c:numFmt formatCode="General" sourceLinked="1"/>
        <c:tickLblPos val="nextTo"/>
        <c:crossAx val="824486856"/>
        <c:crosses val="autoZero"/>
        <c:crossBetween val="midCat"/>
      </c:valAx>
    </c:plotArea>
    <c:legend>
      <c:legendPos val="t"/>
      <c:layout>
        <c:manualLayout>
          <c:xMode val="edge"/>
          <c:yMode val="edge"/>
          <c:x val="0.0137895523476232"/>
          <c:y val="0.0"/>
          <c:w val="0.96084682123068"/>
          <c:h val="0.139556947526198"/>
        </c:manualLayout>
      </c:layout>
    </c:legend>
    <c:plotVisOnly val="1"/>
    <c:dispBlanksAs val="gap"/>
  </c:chart>
  <c:txPr>
    <a:bodyPr/>
    <a:lstStyle/>
    <a:p>
      <a:pPr>
        <a:defRPr b="0">
          <a:latin typeface="Times New Roman"/>
          <a:cs typeface="Times New Roman"/>
        </a:defRPr>
      </a:pPr>
      <a:endParaRPr lang="en-US"/>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264241277934253"/>
          <c:y val="0.082308711832205"/>
          <c:w val="0.712199173536728"/>
          <c:h val="0.719388786017975"/>
        </c:manualLayout>
      </c:layout>
      <c:barChart>
        <c:barDir val="bar"/>
        <c:grouping val="clustered"/>
        <c:ser>
          <c:idx val="0"/>
          <c:order val="0"/>
          <c:tx>
            <c:strRef>
              <c:f>'Figure 6.7'!$A$31</c:f>
              <c:strCache>
                <c:ptCount val="1"/>
                <c:pt idx="0">
                  <c:v>Malnourished children (%)</c:v>
                </c:pt>
              </c:strCache>
            </c:strRef>
          </c:tx>
          <c:cat>
            <c:strRef>
              <c:f>'Figure 6.7'!$B$30:$O$30</c:f>
              <c:strCache>
                <c:ptCount val="14"/>
                <c:pt idx="0">
                  <c:v>Low-income economies</c:v>
                </c:pt>
                <c:pt idx="1">
                  <c:v>Lower-middle-income economies</c:v>
                </c:pt>
                <c:pt idx="2">
                  <c:v>Upper-middle-income economies</c:v>
                </c:pt>
                <c:pt idx="3">
                  <c:v>High-income economies</c:v>
                </c:pt>
                <c:pt idx="5">
                  <c:v>East Asia and Pacific</c:v>
                </c:pt>
                <c:pt idx="6">
                  <c:v>Europe and Central Asia</c:v>
                </c:pt>
                <c:pt idx="7">
                  <c:v>Latin America and the Caribbean</c:v>
                </c:pt>
                <c:pt idx="8">
                  <c:v>Middle East and North Africa</c:v>
                </c:pt>
                <c:pt idx="9">
                  <c:v>South Asia</c:v>
                </c:pt>
                <c:pt idx="10">
                  <c:v>Sub-Saharan Africa</c:v>
                </c:pt>
                <c:pt idx="11">
                  <c:v>High-income countries</c:v>
                </c:pt>
                <c:pt idx="13">
                  <c:v>World</c:v>
                </c:pt>
              </c:strCache>
            </c:strRef>
          </c:cat>
          <c:val>
            <c:numRef>
              <c:f>'Figure 6.7'!$B$31:$O$31</c:f>
              <c:numCache>
                <c:formatCode>General</c:formatCode>
                <c:ptCount val="14"/>
                <c:pt idx="0">
                  <c:v>3.082</c:v>
                </c:pt>
                <c:pt idx="1">
                  <c:v>5.985</c:v>
                </c:pt>
                <c:pt idx="2">
                  <c:v>0.72</c:v>
                </c:pt>
                <c:pt idx="3">
                  <c:v>0.01</c:v>
                </c:pt>
                <c:pt idx="5">
                  <c:v>1.563</c:v>
                </c:pt>
                <c:pt idx="6">
                  <c:v>0.3</c:v>
                </c:pt>
                <c:pt idx="7">
                  <c:v>0.783</c:v>
                </c:pt>
                <c:pt idx="8">
                  <c:v>1.174</c:v>
                </c:pt>
                <c:pt idx="9">
                  <c:v>7.443</c:v>
                </c:pt>
                <c:pt idx="10">
                  <c:v>3.891999999999999</c:v>
                </c:pt>
                <c:pt idx="11">
                  <c:v>0.01</c:v>
                </c:pt>
                <c:pt idx="13">
                  <c:v>2.988</c:v>
                </c:pt>
              </c:numCache>
            </c:numRef>
          </c:val>
        </c:ser>
        <c:ser>
          <c:idx val="1"/>
          <c:order val="1"/>
          <c:tx>
            <c:strRef>
              <c:f>'Figure 6.7'!$A$32</c:f>
              <c:strCache>
                <c:ptCount val="1"/>
                <c:pt idx="0">
                  <c:v>Infant mortality (per 1000 live births)</c:v>
                </c:pt>
              </c:strCache>
            </c:strRef>
          </c:tx>
          <c:cat>
            <c:strRef>
              <c:f>'Figure 6.7'!$B$30:$O$30</c:f>
              <c:strCache>
                <c:ptCount val="14"/>
                <c:pt idx="0">
                  <c:v>Low-income economies</c:v>
                </c:pt>
                <c:pt idx="1">
                  <c:v>Lower-middle-income economies</c:v>
                </c:pt>
                <c:pt idx="2">
                  <c:v>Upper-middle-income economies</c:v>
                </c:pt>
                <c:pt idx="3">
                  <c:v>High-income economies</c:v>
                </c:pt>
                <c:pt idx="5">
                  <c:v>East Asia and Pacific</c:v>
                </c:pt>
                <c:pt idx="6">
                  <c:v>Europe and Central Asia</c:v>
                </c:pt>
                <c:pt idx="7">
                  <c:v>Latin America and the Caribbean</c:v>
                </c:pt>
                <c:pt idx="8">
                  <c:v>Middle East and North Africa</c:v>
                </c:pt>
                <c:pt idx="9">
                  <c:v>South Asia</c:v>
                </c:pt>
                <c:pt idx="10">
                  <c:v>Sub-Saharan Africa</c:v>
                </c:pt>
                <c:pt idx="11">
                  <c:v>High-income countries</c:v>
                </c:pt>
                <c:pt idx="13">
                  <c:v>World</c:v>
                </c:pt>
              </c:strCache>
            </c:strRef>
          </c:cat>
          <c:val>
            <c:numRef>
              <c:f>'Figure 6.7'!$B$32:$O$32</c:f>
              <c:numCache>
                <c:formatCode>General</c:formatCode>
                <c:ptCount val="14"/>
                <c:pt idx="0">
                  <c:v>4.64</c:v>
                </c:pt>
                <c:pt idx="1">
                  <c:v>3.727</c:v>
                </c:pt>
                <c:pt idx="2">
                  <c:v>0.367</c:v>
                </c:pt>
                <c:pt idx="3">
                  <c:v>0.019</c:v>
                </c:pt>
                <c:pt idx="5">
                  <c:v>0.731</c:v>
                </c:pt>
                <c:pt idx="6">
                  <c:v>0.139</c:v>
                </c:pt>
                <c:pt idx="7">
                  <c:v>0.442</c:v>
                </c:pt>
                <c:pt idx="8">
                  <c:v>0.409</c:v>
                </c:pt>
                <c:pt idx="9">
                  <c:v>4.5</c:v>
                </c:pt>
                <c:pt idx="10">
                  <c:v>5.516999999999999</c:v>
                </c:pt>
                <c:pt idx="11">
                  <c:v>0.019</c:v>
                </c:pt>
                <c:pt idx="13">
                  <c:v>2.214</c:v>
                </c:pt>
              </c:numCache>
            </c:numRef>
          </c:val>
        </c:ser>
        <c:axId val="824514504"/>
        <c:axId val="824517560"/>
      </c:barChart>
      <c:catAx>
        <c:axId val="824514504"/>
        <c:scaling>
          <c:orientation val="maxMin"/>
        </c:scaling>
        <c:axPos val="l"/>
        <c:tickLblPos val="nextTo"/>
        <c:crossAx val="824517560"/>
        <c:crosses val="autoZero"/>
        <c:auto val="1"/>
        <c:lblAlgn val="ctr"/>
        <c:lblOffset val="100"/>
      </c:catAx>
      <c:valAx>
        <c:axId val="824517560"/>
        <c:scaling>
          <c:orientation val="minMax"/>
        </c:scaling>
        <c:axPos val="t"/>
        <c:majorGridlines/>
        <c:title>
          <c:tx>
            <c:rich>
              <a:bodyPr>
                <a:noAutofit/>
              </a:bodyPr>
              <a:lstStyle/>
              <a:p>
                <a:pPr>
                  <a:defRPr/>
                </a:pPr>
                <a:r>
                  <a:rPr lang="en-US"/>
                  <a:t>Absolute decreases - percentage points for malnourished children, per 1000 births for infant mortality</a:t>
                </a:r>
              </a:p>
            </c:rich>
          </c:tx>
          <c:layout>
            <c:manualLayout>
              <c:xMode val="edge"/>
              <c:yMode val="edge"/>
              <c:x val="0.141079089790002"/>
              <c:y val="0.869879473549561"/>
            </c:manualLayout>
          </c:layout>
        </c:title>
        <c:numFmt formatCode="General" sourceLinked="1"/>
        <c:tickLblPos val="high"/>
        <c:crossAx val="824514504"/>
        <c:crosses val="autoZero"/>
        <c:crossBetween val="between"/>
      </c:valAx>
    </c:plotArea>
    <c:legend>
      <c:legendPos val="t"/>
      <c:layout>
        <c:manualLayout>
          <c:xMode val="edge"/>
          <c:yMode val="edge"/>
          <c:x val="0.120537632842148"/>
          <c:y val="0.0"/>
          <c:w val="0.772800775018756"/>
          <c:h val="0.0612248784786378"/>
        </c:manualLayout>
      </c:layout>
    </c:legend>
    <c:plotVisOnly val="1"/>
    <c:dispBlanksAs val="gap"/>
  </c:chart>
  <c:txPr>
    <a:bodyPr/>
    <a:lstStyle/>
    <a:p>
      <a:pPr>
        <a:defRPr b="0">
          <a:latin typeface="Times New Roman"/>
          <a:cs typeface="Times New Roman"/>
        </a:defRPr>
      </a:pPr>
      <a:endParaRPr lang="en-US"/>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109377682403433"/>
          <c:y val="0.132890280606816"/>
          <c:w val="0.867017167381974"/>
          <c:h val="0.729754659045998"/>
        </c:manualLayout>
      </c:layout>
      <c:barChart>
        <c:barDir val="col"/>
        <c:grouping val="stacked"/>
        <c:ser>
          <c:idx val="0"/>
          <c:order val="0"/>
          <c:tx>
            <c:strRef>
              <c:f>'Figure 6.8'!$B$31</c:f>
              <c:strCache>
                <c:ptCount val="1"/>
                <c:pt idx="0">
                  <c:v>High-income economies</c:v>
                </c:pt>
              </c:strCache>
            </c:strRef>
          </c:tx>
          <c:cat>
            <c:strRef>
              <c:f>'Figure 6.8'!$C$30:$M$30</c:f>
              <c:strCache>
                <c:ptCount val="11"/>
                <c:pt idx="0">
                  <c:v>2010-2015</c:v>
                </c:pt>
                <c:pt idx="1">
                  <c:v>2015-2020</c:v>
                </c:pt>
                <c:pt idx="2">
                  <c:v>2020-2025</c:v>
                </c:pt>
                <c:pt idx="3">
                  <c:v>2025-2030</c:v>
                </c:pt>
                <c:pt idx="4">
                  <c:v>2030-2035</c:v>
                </c:pt>
                <c:pt idx="5">
                  <c:v>2035-2040</c:v>
                </c:pt>
                <c:pt idx="6">
                  <c:v>2040-2045</c:v>
                </c:pt>
                <c:pt idx="7">
                  <c:v>2045-2050</c:v>
                </c:pt>
                <c:pt idx="8">
                  <c:v>2050-2055</c:v>
                </c:pt>
                <c:pt idx="9">
                  <c:v>2055-2060</c:v>
                </c:pt>
                <c:pt idx="10">
                  <c:v>not by 2060</c:v>
                </c:pt>
              </c:strCache>
            </c:strRef>
          </c:cat>
          <c:val>
            <c:numRef>
              <c:f>'Figure 6.8'!$C$31:$M$31</c:f>
              <c:numCache>
                <c:formatCode>General</c:formatCode>
                <c:ptCount val="11"/>
                <c:pt idx="0">
                  <c:v>45.0</c:v>
                </c:pt>
                <c:pt idx="1">
                  <c:v>2.0</c:v>
                </c:pt>
                <c:pt idx="2">
                  <c:v>2.0</c:v>
                </c:pt>
              </c:numCache>
            </c:numRef>
          </c:val>
        </c:ser>
        <c:ser>
          <c:idx val="1"/>
          <c:order val="1"/>
          <c:tx>
            <c:strRef>
              <c:f>'Figure 6.8'!$B$32</c:f>
              <c:strCache>
                <c:ptCount val="1"/>
                <c:pt idx="0">
                  <c:v>Upper-middle-income economies</c:v>
                </c:pt>
              </c:strCache>
            </c:strRef>
          </c:tx>
          <c:cat>
            <c:strRef>
              <c:f>'Figure 6.8'!$C$30:$M$30</c:f>
              <c:strCache>
                <c:ptCount val="11"/>
                <c:pt idx="0">
                  <c:v>2010-2015</c:v>
                </c:pt>
                <c:pt idx="1">
                  <c:v>2015-2020</c:v>
                </c:pt>
                <c:pt idx="2">
                  <c:v>2020-2025</c:v>
                </c:pt>
                <c:pt idx="3">
                  <c:v>2025-2030</c:v>
                </c:pt>
                <c:pt idx="4">
                  <c:v>2030-2035</c:v>
                </c:pt>
                <c:pt idx="5">
                  <c:v>2035-2040</c:v>
                </c:pt>
                <c:pt idx="6">
                  <c:v>2040-2045</c:v>
                </c:pt>
                <c:pt idx="7">
                  <c:v>2045-2050</c:v>
                </c:pt>
                <c:pt idx="8">
                  <c:v>2050-2055</c:v>
                </c:pt>
                <c:pt idx="9">
                  <c:v>2055-2060</c:v>
                </c:pt>
                <c:pt idx="10">
                  <c:v>not by 2060</c:v>
                </c:pt>
              </c:strCache>
            </c:strRef>
          </c:cat>
          <c:val>
            <c:numRef>
              <c:f>'Figure 6.8'!$C$32:$M$32</c:f>
              <c:numCache>
                <c:formatCode>General</c:formatCode>
                <c:ptCount val="11"/>
                <c:pt idx="0">
                  <c:v>19.0</c:v>
                </c:pt>
                <c:pt idx="1">
                  <c:v>12.0</c:v>
                </c:pt>
                <c:pt idx="2">
                  <c:v>10.0</c:v>
                </c:pt>
                <c:pt idx="3">
                  <c:v>2.0</c:v>
                </c:pt>
                <c:pt idx="4">
                  <c:v>1.0</c:v>
                </c:pt>
                <c:pt idx="5">
                  <c:v>2.0</c:v>
                </c:pt>
                <c:pt idx="10">
                  <c:v>1.0</c:v>
                </c:pt>
              </c:numCache>
            </c:numRef>
          </c:val>
        </c:ser>
        <c:ser>
          <c:idx val="2"/>
          <c:order val="2"/>
          <c:tx>
            <c:strRef>
              <c:f>'Figure 6.8'!$B$33</c:f>
              <c:strCache>
                <c:ptCount val="1"/>
                <c:pt idx="0">
                  <c:v>Lower-middle-income economies</c:v>
                </c:pt>
              </c:strCache>
            </c:strRef>
          </c:tx>
          <c:cat>
            <c:strRef>
              <c:f>'Figure 6.8'!$C$30:$M$30</c:f>
              <c:strCache>
                <c:ptCount val="11"/>
                <c:pt idx="0">
                  <c:v>2010-2015</c:v>
                </c:pt>
                <c:pt idx="1">
                  <c:v>2015-2020</c:v>
                </c:pt>
                <c:pt idx="2">
                  <c:v>2020-2025</c:v>
                </c:pt>
                <c:pt idx="3">
                  <c:v>2025-2030</c:v>
                </c:pt>
                <c:pt idx="4">
                  <c:v>2030-2035</c:v>
                </c:pt>
                <c:pt idx="5">
                  <c:v>2035-2040</c:v>
                </c:pt>
                <c:pt idx="6">
                  <c:v>2040-2045</c:v>
                </c:pt>
                <c:pt idx="7">
                  <c:v>2045-2050</c:v>
                </c:pt>
                <c:pt idx="8">
                  <c:v>2050-2055</c:v>
                </c:pt>
                <c:pt idx="9">
                  <c:v>2055-2060</c:v>
                </c:pt>
                <c:pt idx="10">
                  <c:v>not by 2060</c:v>
                </c:pt>
              </c:strCache>
            </c:strRef>
          </c:cat>
          <c:val>
            <c:numRef>
              <c:f>'Figure 6.8'!$C$33:$M$33</c:f>
              <c:numCache>
                <c:formatCode>General</c:formatCode>
                <c:ptCount val="11"/>
                <c:pt idx="0">
                  <c:v>14.0</c:v>
                </c:pt>
                <c:pt idx="1">
                  <c:v>9.0</c:v>
                </c:pt>
                <c:pt idx="2">
                  <c:v>5.0</c:v>
                </c:pt>
                <c:pt idx="3">
                  <c:v>5.0</c:v>
                </c:pt>
                <c:pt idx="4">
                  <c:v>2.0</c:v>
                </c:pt>
                <c:pt idx="5">
                  <c:v>5.0</c:v>
                </c:pt>
                <c:pt idx="6">
                  <c:v>3.0</c:v>
                </c:pt>
                <c:pt idx="7">
                  <c:v>3.0</c:v>
                </c:pt>
                <c:pt idx="9">
                  <c:v>1.0</c:v>
                </c:pt>
                <c:pt idx="10">
                  <c:v>5.0</c:v>
                </c:pt>
              </c:numCache>
            </c:numRef>
          </c:val>
        </c:ser>
        <c:ser>
          <c:idx val="3"/>
          <c:order val="3"/>
          <c:tx>
            <c:strRef>
              <c:f>'Figure 6.8'!$B$34</c:f>
              <c:strCache>
                <c:ptCount val="1"/>
                <c:pt idx="0">
                  <c:v>Low-income economies</c:v>
                </c:pt>
              </c:strCache>
            </c:strRef>
          </c:tx>
          <c:cat>
            <c:strRef>
              <c:f>'Figure 6.8'!$C$30:$M$30</c:f>
              <c:strCache>
                <c:ptCount val="11"/>
                <c:pt idx="0">
                  <c:v>2010-2015</c:v>
                </c:pt>
                <c:pt idx="1">
                  <c:v>2015-2020</c:v>
                </c:pt>
                <c:pt idx="2">
                  <c:v>2020-2025</c:v>
                </c:pt>
                <c:pt idx="3">
                  <c:v>2025-2030</c:v>
                </c:pt>
                <c:pt idx="4">
                  <c:v>2030-2035</c:v>
                </c:pt>
                <c:pt idx="5">
                  <c:v>2035-2040</c:v>
                </c:pt>
                <c:pt idx="6">
                  <c:v>2040-2045</c:v>
                </c:pt>
                <c:pt idx="7">
                  <c:v>2045-2050</c:v>
                </c:pt>
                <c:pt idx="8">
                  <c:v>2050-2055</c:v>
                </c:pt>
                <c:pt idx="9">
                  <c:v>2055-2060</c:v>
                </c:pt>
                <c:pt idx="10">
                  <c:v>not by 2060</c:v>
                </c:pt>
              </c:strCache>
            </c:strRef>
          </c:cat>
          <c:val>
            <c:numRef>
              <c:f>'Figure 6.8'!$C$34:$M$34</c:f>
              <c:numCache>
                <c:formatCode>General</c:formatCode>
                <c:ptCount val="11"/>
                <c:pt idx="0">
                  <c:v>3.0</c:v>
                </c:pt>
                <c:pt idx="1">
                  <c:v>8.0</c:v>
                </c:pt>
                <c:pt idx="2">
                  <c:v>2.0</c:v>
                </c:pt>
                <c:pt idx="3">
                  <c:v>3.0</c:v>
                </c:pt>
                <c:pt idx="4">
                  <c:v>1.0</c:v>
                </c:pt>
                <c:pt idx="5">
                  <c:v>4.0</c:v>
                </c:pt>
                <c:pt idx="6">
                  <c:v>1.0</c:v>
                </c:pt>
                <c:pt idx="7">
                  <c:v>2.0</c:v>
                </c:pt>
                <c:pt idx="8">
                  <c:v>1.0</c:v>
                </c:pt>
                <c:pt idx="9">
                  <c:v>1.0</c:v>
                </c:pt>
                <c:pt idx="10">
                  <c:v>9.0</c:v>
                </c:pt>
              </c:numCache>
            </c:numRef>
          </c:val>
        </c:ser>
        <c:overlap val="100"/>
        <c:axId val="824558632"/>
        <c:axId val="824564648"/>
      </c:barChart>
      <c:catAx>
        <c:axId val="824558632"/>
        <c:scaling>
          <c:orientation val="minMax"/>
        </c:scaling>
        <c:axPos val="b"/>
        <c:title>
          <c:tx>
            <c:rich>
              <a:bodyPr/>
              <a:lstStyle/>
              <a:p>
                <a:pPr>
                  <a:defRPr/>
                </a:pPr>
                <a:r>
                  <a:rPr lang="en-US"/>
                  <a:t>Social payback point</a:t>
                </a:r>
              </a:p>
            </c:rich>
          </c:tx>
        </c:title>
        <c:tickLblPos val="nextTo"/>
        <c:txPr>
          <a:bodyPr/>
          <a:lstStyle/>
          <a:p>
            <a:pPr>
              <a:defRPr sz="800"/>
            </a:pPr>
            <a:endParaRPr lang="en-US"/>
          </a:p>
        </c:txPr>
        <c:crossAx val="824564648"/>
        <c:crosses val="autoZero"/>
        <c:auto val="1"/>
        <c:lblAlgn val="ctr"/>
        <c:lblOffset val="100"/>
      </c:catAx>
      <c:valAx>
        <c:axId val="824564648"/>
        <c:scaling>
          <c:orientation val="minMax"/>
        </c:scaling>
        <c:axPos val="l"/>
        <c:majorGridlines/>
        <c:title>
          <c:tx>
            <c:rich>
              <a:bodyPr rot="-5400000" vert="horz"/>
              <a:lstStyle/>
              <a:p>
                <a:pPr>
                  <a:defRPr/>
                </a:pPr>
                <a:r>
                  <a:rPr lang="en-US"/>
                  <a:t>Number of countries</a:t>
                </a:r>
              </a:p>
            </c:rich>
          </c:tx>
        </c:title>
        <c:numFmt formatCode="General" sourceLinked="1"/>
        <c:tickLblPos val="nextTo"/>
        <c:crossAx val="824558632"/>
        <c:crosses val="autoZero"/>
        <c:crossBetween val="between"/>
      </c:valAx>
    </c:plotArea>
    <c:legend>
      <c:legendPos val="t"/>
      <c:layout>
        <c:manualLayout>
          <c:xMode val="edge"/>
          <c:yMode val="edge"/>
          <c:x val="0.0143563921462607"/>
          <c:y val="0.0"/>
          <c:w val="0.959723790307895"/>
          <c:h val="0.104986167269632"/>
        </c:manualLayout>
      </c:layout>
    </c:legend>
    <c:plotVisOnly val="1"/>
    <c:dispBlanksAs val="gap"/>
  </c:chart>
  <c:txPr>
    <a:bodyPr/>
    <a:lstStyle/>
    <a:p>
      <a:pPr>
        <a:defRPr b="0">
          <a:latin typeface="Times New Roman"/>
          <a:cs typeface="Times New Roman"/>
        </a:defRPr>
      </a:pPr>
      <a:endParaRPr lang="en-US"/>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137766166862121"/>
          <c:y val="0.126713773651428"/>
          <c:w val="0.807140852739152"/>
          <c:h val="0.772651897990363"/>
        </c:manualLayout>
      </c:layout>
      <c:scatterChart>
        <c:scatterStyle val="lineMarker"/>
        <c:ser>
          <c:idx val="0"/>
          <c:order val="0"/>
          <c:tx>
            <c:strRef>
              <c:f>'Figure 6.9'!$B$27</c:f>
              <c:strCache>
                <c:ptCount val="1"/>
                <c:pt idx="0">
                  <c:v>Universal Targets</c:v>
                </c:pt>
              </c:strCache>
            </c:strRef>
          </c:tx>
          <c:marker>
            <c:symbol val="none"/>
          </c:marker>
          <c:xVal>
            <c:numRef>
              <c:f>'Figure 6.9'!$A$28:$A$78</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xVal>
          <c:yVal>
            <c:numRef>
              <c:f>'Figure 6.9'!$B$28:$B$78</c:f>
              <c:numCache>
                <c:formatCode>General</c:formatCode>
                <c:ptCount val="51"/>
                <c:pt idx="0">
                  <c:v>0.0</c:v>
                </c:pt>
                <c:pt idx="1">
                  <c:v>-0.001</c:v>
                </c:pt>
                <c:pt idx="2">
                  <c:v>-0.002</c:v>
                </c:pt>
                <c:pt idx="3">
                  <c:v>-0.003</c:v>
                </c:pt>
                <c:pt idx="4">
                  <c:v>-0.002</c:v>
                </c:pt>
                <c:pt idx="5">
                  <c:v>-0.003</c:v>
                </c:pt>
                <c:pt idx="6">
                  <c:v>-0.003</c:v>
                </c:pt>
                <c:pt idx="7">
                  <c:v>-0.002</c:v>
                </c:pt>
                <c:pt idx="8">
                  <c:v>-0.002</c:v>
                </c:pt>
                <c:pt idx="9">
                  <c:v>-0.001</c:v>
                </c:pt>
                <c:pt idx="10">
                  <c:v>-0.001</c:v>
                </c:pt>
                <c:pt idx="11">
                  <c:v>-0.001</c:v>
                </c:pt>
                <c:pt idx="12">
                  <c:v>-0.001</c:v>
                </c:pt>
                <c:pt idx="13">
                  <c:v>0.0</c:v>
                </c:pt>
                <c:pt idx="14">
                  <c:v>-0.001</c:v>
                </c:pt>
                <c:pt idx="15">
                  <c:v>0.0</c:v>
                </c:pt>
                <c:pt idx="16">
                  <c:v>-0.001</c:v>
                </c:pt>
                <c:pt idx="17">
                  <c:v>-0.001</c:v>
                </c:pt>
                <c:pt idx="18">
                  <c:v>0.0</c:v>
                </c:pt>
                <c:pt idx="19">
                  <c:v>-0.001</c:v>
                </c:pt>
                <c:pt idx="20">
                  <c:v>0.0</c:v>
                </c:pt>
                <c:pt idx="21">
                  <c:v>0.0</c:v>
                </c:pt>
                <c:pt idx="22">
                  <c:v>-0.001</c:v>
                </c:pt>
                <c:pt idx="23">
                  <c:v>0.0</c:v>
                </c:pt>
                <c:pt idx="24">
                  <c:v>0.0</c:v>
                </c:pt>
                <c:pt idx="25">
                  <c:v>0.001</c:v>
                </c:pt>
                <c:pt idx="26">
                  <c:v>0.0</c:v>
                </c:pt>
                <c:pt idx="27">
                  <c:v>0.001</c:v>
                </c:pt>
                <c:pt idx="28">
                  <c:v>0.002</c:v>
                </c:pt>
                <c:pt idx="29">
                  <c:v>0.002</c:v>
                </c:pt>
                <c:pt idx="30">
                  <c:v>0.003</c:v>
                </c:pt>
                <c:pt idx="31">
                  <c:v>0.003</c:v>
                </c:pt>
                <c:pt idx="32">
                  <c:v>0.003</c:v>
                </c:pt>
                <c:pt idx="33">
                  <c:v>0.004</c:v>
                </c:pt>
                <c:pt idx="34">
                  <c:v>0.005</c:v>
                </c:pt>
                <c:pt idx="35">
                  <c:v>0.005</c:v>
                </c:pt>
                <c:pt idx="36">
                  <c:v>0.005</c:v>
                </c:pt>
                <c:pt idx="37">
                  <c:v>0.005</c:v>
                </c:pt>
                <c:pt idx="38">
                  <c:v>0.006</c:v>
                </c:pt>
                <c:pt idx="39">
                  <c:v>0.006</c:v>
                </c:pt>
                <c:pt idx="40">
                  <c:v>0.007</c:v>
                </c:pt>
                <c:pt idx="41">
                  <c:v>0.00800000000000001</c:v>
                </c:pt>
                <c:pt idx="42">
                  <c:v>0.00900000000000001</c:v>
                </c:pt>
                <c:pt idx="43">
                  <c:v>0.00900000000000001</c:v>
                </c:pt>
                <c:pt idx="44">
                  <c:v>0.01</c:v>
                </c:pt>
                <c:pt idx="45">
                  <c:v>0.01</c:v>
                </c:pt>
                <c:pt idx="46">
                  <c:v>0.011</c:v>
                </c:pt>
                <c:pt idx="47">
                  <c:v>0.011</c:v>
                </c:pt>
                <c:pt idx="48">
                  <c:v>0.012</c:v>
                </c:pt>
                <c:pt idx="49">
                  <c:v>0.012</c:v>
                </c:pt>
                <c:pt idx="50">
                  <c:v>0.013</c:v>
                </c:pt>
              </c:numCache>
            </c:numRef>
          </c:yVal>
        </c:ser>
        <c:ser>
          <c:idx val="1"/>
          <c:order val="1"/>
          <c:tx>
            <c:strRef>
              <c:f>'Figure 6.9'!$C$27</c:f>
              <c:strCache>
                <c:ptCount val="1"/>
                <c:pt idx="0">
                  <c:v>Universal Targets with additional funds</c:v>
                </c:pt>
              </c:strCache>
            </c:strRef>
          </c:tx>
          <c:marker>
            <c:symbol val="none"/>
          </c:marker>
          <c:xVal>
            <c:numRef>
              <c:f>'Figure 6.9'!$A$28:$A$78</c:f>
              <c:numCache>
                <c:formatCode>General</c:formatCode>
                <c:ptCount val="51"/>
                <c:pt idx="0">
                  <c:v>2010.0</c:v>
                </c:pt>
                <c:pt idx="1">
                  <c:v>2011.0</c:v>
                </c:pt>
                <c:pt idx="2">
                  <c:v>2012.0</c:v>
                </c:pt>
                <c:pt idx="3">
                  <c:v>2013.0</c:v>
                </c:pt>
                <c:pt idx="4">
                  <c:v>2014.0</c:v>
                </c:pt>
                <c:pt idx="5">
                  <c:v>2015.0</c:v>
                </c:pt>
                <c:pt idx="6">
                  <c:v>2016.0</c:v>
                </c:pt>
                <c:pt idx="7">
                  <c:v>2017.0</c:v>
                </c:pt>
                <c:pt idx="8">
                  <c:v>2018.0</c:v>
                </c:pt>
                <c:pt idx="9">
                  <c:v>2019.0</c:v>
                </c:pt>
                <c:pt idx="10">
                  <c:v>2020.0</c:v>
                </c:pt>
                <c:pt idx="11">
                  <c:v>2021.0</c:v>
                </c:pt>
                <c:pt idx="12">
                  <c:v>2022.0</c:v>
                </c:pt>
                <c:pt idx="13">
                  <c:v>2023.0</c:v>
                </c:pt>
                <c:pt idx="14">
                  <c:v>2024.0</c:v>
                </c:pt>
                <c:pt idx="15">
                  <c:v>2025.0</c:v>
                </c:pt>
                <c:pt idx="16">
                  <c:v>2026.0</c:v>
                </c:pt>
                <c:pt idx="17">
                  <c:v>2027.0</c:v>
                </c:pt>
                <c:pt idx="18">
                  <c:v>2028.0</c:v>
                </c:pt>
                <c:pt idx="19">
                  <c:v>2029.0</c:v>
                </c:pt>
                <c:pt idx="20">
                  <c:v>2030.0</c:v>
                </c:pt>
                <c:pt idx="21">
                  <c:v>2031.0</c:v>
                </c:pt>
                <c:pt idx="22">
                  <c:v>2032.0</c:v>
                </c:pt>
                <c:pt idx="23">
                  <c:v>2033.0</c:v>
                </c:pt>
                <c:pt idx="24">
                  <c:v>2034.0</c:v>
                </c:pt>
                <c:pt idx="25">
                  <c:v>2035.0</c:v>
                </c:pt>
                <c:pt idx="26">
                  <c:v>2036.0</c:v>
                </c:pt>
                <c:pt idx="27">
                  <c:v>2037.0</c:v>
                </c:pt>
                <c:pt idx="28">
                  <c:v>2038.0</c:v>
                </c:pt>
                <c:pt idx="29">
                  <c:v>2039.0</c:v>
                </c:pt>
                <c:pt idx="30">
                  <c:v>2040.0</c:v>
                </c:pt>
                <c:pt idx="31">
                  <c:v>2041.0</c:v>
                </c:pt>
                <c:pt idx="32">
                  <c:v>2042.0</c:v>
                </c:pt>
                <c:pt idx="33">
                  <c:v>2043.0</c:v>
                </c:pt>
                <c:pt idx="34">
                  <c:v>2044.0</c:v>
                </c:pt>
                <c:pt idx="35">
                  <c:v>2045.0</c:v>
                </c:pt>
                <c:pt idx="36">
                  <c:v>2046.0</c:v>
                </c:pt>
                <c:pt idx="37">
                  <c:v>2047.0</c:v>
                </c:pt>
                <c:pt idx="38">
                  <c:v>2048.0</c:v>
                </c:pt>
                <c:pt idx="39">
                  <c:v>2049.0</c:v>
                </c:pt>
                <c:pt idx="40">
                  <c:v>2050.0</c:v>
                </c:pt>
                <c:pt idx="41">
                  <c:v>2051.0</c:v>
                </c:pt>
                <c:pt idx="42">
                  <c:v>2052.0</c:v>
                </c:pt>
                <c:pt idx="43">
                  <c:v>2053.0</c:v>
                </c:pt>
                <c:pt idx="44">
                  <c:v>2054.0</c:v>
                </c:pt>
                <c:pt idx="45">
                  <c:v>2055.0</c:v>
                </c:pt>
                <c:pt idx="46">
                  <c:v>2056.0</c:v>
                </c:pt>
                <c:pt idx="47">
                  <c:v>2057.0</c:v>
                </c:pt>
                <c:pt idx="48">
                  <c:v>2058.0</c:v>
                </c:pt>
                <c:pt idx="49">
                  <c:v>2059.0</c:v>
                </c:pt>
                <c:pt idx="50">
                  <c:v>2060.0</c:v>
                </c:pt>
              </c:numCache>
            </c:numRef>
          </c:xVal>
          <c:yVal>
            <c:numRef>
              <c:f>'Figure 6.9'!$C$28:$C$78</c:f>
              <c:numCache>
                <c:formatCode>General</c:formatCode>
                <c:ptCount val="51"/>
                <c:pt idx="0">
                  <c:v>0.0</c:v>
                </c:pt>
                <c:pt idx="1">
                  <c:v>0.001</c:v>
                </c:pt>
                <c:pt idx="2">
                  <c:v>0.002</c:v>
                </c:pt>
                <c:pt idx="3">
                  <c:v>0.004</c:v>
                </c:pt>
                <c:pt idx="4">
                  <c:v>0.006</c:v>
                </c:pt>
                <c:pt idx="5">
                  <c:v>0.007</c:v>
                </c:pt>
                <c:pt idx="6">
                  <c:v>0.00800000000000001</c:v>
                </c:pt>
                <c:pt idx="7">
                  <c:v>0.01</c:v>
                </c:pt>
                <c:pt idx="8">
                  <c:v>0.012</c:v>
                </c:pt>
                <c:pt idx="9">
                  <c:v>0.013</c:v>
                </c:pt>
                <c:pt idx="10">
                  <c:v>0.015</c:v>
                </c:pt>
                <c:pt idx="11">
                  <c:v>0.016</c:v>
                </c:pt>
                <c:pt idx="12">
                  <c:v>0.018</c:v>
                </c:pt>
                <c:pt idx="13">
                  <c:v>0.019</c:v>
                </c:pt>
                <c:pt idx="14">
                  <c:v>0.02</c:v>
                </c:pt>
                <c:pt idx="15">
                  <c:v>0.022</c:v>
                </c:pt>
                <c:pt idx="16">
                  <c:v>0.023</c:v>
                </c:pt>
                <c:pt idx="17">
                  <c:v>0.025</c:v>
                </c:pt>
                <c:pt idx="18">
                  <c:v>0.027</c:v>
                </c:pt>
                <c:pt idx="19">
                  <c:v>0.028</c:v>
                </c:pt>
                <c:pt idx="20">
                  <c:v>0.03</c:v>
                </c:pt>
                <c:pt idx="21">
                  <c:v>0.031</c:v>
                </c:pt>
                <c:pt idx="22">
                  <c:v>0.032</c:v>
                </c:pt>
                <c:pt idx="23">
                  <c:v>0.034</c:v>
                </c:pt>
                <c:pt idx="24">
                  <c:v>0.035</c:v>
                </c:pt>
                <c:pt idx="25">
                  <c:v>0.0369999999999999</c:v>
                </c:pt>
                <c:pt idx="26">
                  <c:v>0.0379999999999999</c:v>
                </c:pt>
                <c:pt idx="27">
                  <c:v>0.0389999999999999</c:v>
                </c:pt>
                <c:pt idx="28">
                  <c:v>0.0409999999999999</c:v>
                </c:pt>
                <c:pt idx="29">
                  <c:v>0.0419999999999999</c:v>
                </c:pt>
                <c:pt idx="30">
                  <c:v>0.0429999999999999</c:v>
                </c:pt>
                <c:pt idx="31">
                  <c:v>0.044</c:v>
                </c:pt>
                <c:pt idx="32">
                  <c:v>0.045</c:v>
                </c:pt>
                <c:pt idx="33">
                  <c:v>0.047</c:v>
                </c:pt>
                <c:pt idx="34">
                  <c:v>0.047</c:v>
                </c:pt>
                <c:pt idx="35">
                  <c:v>0.048</c:v>
                </c:pt>
                <c:pt idx="36">
                  <c:v>0.049</c:v>
                </c:pt>
                <c:pt idx="37">
                  <c:v>0.05</c:v>
                </c:pt>
                <c:pt idx="38">
                  <c:v>0.052</c:v>
                </c:pt>
                <c:pt idx="39">
                  <c:v>0.052</c:v>
                </c:pt>
                <c:pt idx="40">
                  <c:v>0.054</c:v>
                </c:pt>
                <c:pt idx="41">
                  <c:v>0.055</c:v>
                </c:pt>
                <c:pt idx="42">
                  <c:v>0.056</c:v>
                </c:pt>
                <c:pt idx="43">
                  <c:v>0.057</c:v>
                </c:pt>
                <c:pt idx="44">
                  <c:v>0.0579999999999999</c:v>
                </c:pt>
                <c:pt idx="45">
                  <c:v>0.0579999999999999</c:v>
                </c:pt>
                <c:pt idx="46">
                  <c:v>0.0589999999999999</c:v>
                </c:pt>
                <c:pt idx="47">
                  <c:v>0.0589999999999999</c:v>
                </c:pt>
                <c:pt idx="48">
                  <c:v>0.0599999999999999</c:v>
                </c:pt>
                <c:pt idx="49">
                  <c:v>0.0589999999999999</c:v>
                </c:pt>
                <c:pt idx="50">
                  <c:v>0.0599999999999999</c:v>
                </c:pt>
              </c:numCache>
            </c:numRef>
          </c:yVal>
        </c:ser>
        <c:axId val="824591560"/>
        <c:axId val="824598680"/>
      </c:scatterChart>
      <c:valAx>
        <c:axId val="824591560"/>
        <c:scaling>
          <c:orientation val="minMax"/>
          <c:max val="2060.0"/>
          <c:min val="2010.0"/>
        </c:scaling>
        <c:axPos val="b"/>
        <c:title>
          <c:tx>
            <c:rich>
              <a:bodyPr/>
              <a:lstStyle/>
              <a:p>
                <a:pPr>
                  <a:defRPr/>
                </a:pPr>
                <a:r>
                  <a:rPr lang="en-US"/>
                  <a:t>Year</a:t>
                </a:r>
              </a:p>
            </c:rich>
          </c:tx>
        </c:title>
        <c:numFmt formatCode="General" sourceLinked="1"/>
        <c:tickLblPos val="low"/>
        <c:crossAx val="824598680"/>
        <c:crosses val="autoZero"/>
        <c:crossBetween val="midCat"/>
        <c:majorUnit val="10.0"/>
      </c:valAx>
      <c:valAx>
        <c:axId val="824598680"/>
        <c:scaling>
          <c:orientation val="minMax"/>
        </c:scaling>
        <c:axPos val="l"/>
        <c:majorGridlines/>
        <c:title>
          <c:tx>
            <c:rich>
              <a:bodyPr rot="-5400000" vert="horz"/>
              <a:lstStyle/>
              <a:p>
                <a:pPr>
                  <a:defRPr/>
                </a:pPr>
                <a:r>
                  <a:rPr lang="en-US"/>
                  <a:t>Change in HDI relative to base case</a:t>
                </a:r>
              </a:p>
            </c:rich>
          </c:tx>
        </c:title>
        <c:numFmt formatCode="General" sourceLinked="1"/>
        <c:tickLblPos val="nextTo"/>
        <c:crossAx val="824591560"/>
        <c:crosses val="autoZero"/>
        <c:crossBetween val="midCat"/>
      </c:valAx>
    </c:plotArea>
    <c:legend>
      <c:legendPos val="t"/>
    </c:legend>
    <c:plotVisOnly val="1"/>
    <c:dispBlanksAs val="gap"/>
  </c:chart>
  <c:txPr>
    <a:bodyPr/>
    <a:lstStyle/>
    <a:p>
      <a:pPr>
        <a:defRPr b="0">
          <a:latin typeface="Times New Roman"/>
          <a:cs typeface="Times New Roman"/>
        </a:defRPr>
      </a:pPr>
      <a:endParaRPr lang="en-US"/>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123379811898513"/>
          <c:y val="0.198061065864621"/>
          <c:w val="0.851157225138524"/>
          <c:h val="0.544642796796323"/>
        </c:manualLayout>
      </c:layout>
      <c:barChart>
        <c:barDir val="col"/>
        <c:grouping val="clustered"/>
        <c:ser>
          <c:idx val="0"/>
          <c:order val="0"/>
          <c:tx>
            <c:strRef>
              <c:f>'Figure 6.10'!$C$35</c:f>
              <c:strCache>
                <c:ptCount val="1"/>
                <c:pt idx="0">
                  <c:v>Base Case</c:v>
                </c:pt>
              </c:strCache>
            </c:strRef>
          </c:tx>
          <c:cat>
            <c:multiLvlStrRef>
              <c:f>'Figure 6.10'!$A$36:$B$39</c:f>
              <c:multiLvlStrCache>
                <c:ptCount val="4"/>
                <c:lvl>
                  <c:pt idx="0">
                    <c:v>GDP/Spend</c:v>
                  </c:pt>
                  <c:pt idx="1">
                    <c:v>HDI</c:v>
                  </c:pt>
                  <c:pt idx="2">
                    <c:v>GDP/Spend</c:v>
                  </c:pt>
                  <c:pt idx="3">
                    <c:v>HDI</c:v>
                  </c:pt>
                </c:lvl>
                <c:lvl>
                  <c:pt idx="0">
                    <c:v>2030</c:v>
                  </c:pt>
                  <c:pt idx="1">
                    <c:v>2030</c:v>
                  </c:pt>
                  <c:pt idx="2">
                    <c:v>2060</c:v>
                  </c:pt>
                  <c:pt idx="3">
                    <c:v>2060</c:v>
                  </c:pt>
                </c:lvl>
              </c:multiLvlStrCache>
            </c:multiLvlStrRef>
          </c:cat>
          <c:val>
            <c:numRef>
              <c:f>'Figure 6.10'!$C$36:$C$39</c:f>
              <c:numCache>
                <c:formatCode>0%</c:formatCode>
                <c:ptCount val="4"/>
                <c:pt idx="0">
                  <c:v>0.109289617486339</c:v>
                </c:pt>
                <c:pt idx="1">
                  <c:v>0.00546448087431694</c:v>
                </c:pt>
                <c:pt idx="2">
                  <c:v>0.0</c:v>
                </c:pt>
                <c:pt idx="3">
                  <c:v>0.00546448087431694</c:v>
                </c:pt>
              </c:numCache>
            </c:numRef>
          </c:val>
        </c:ser>
        <c:ser>
          <c:idx val="1"/>
          <c:order val="1"/>
          <c:tx>
            <c:strRef>
              <c:f>'Figure 6.10'!$D$35</c:f>
              <c:strCache>
                <c:ptCount val="1"/>
                <c:pt idx="0">
                  <c:v>Universal Targets</c:v>
                </c:pt>
              </c:strCache>
            </c:strRef>
          </c:tx>
          <c:cat>
            <c:multiLvlStrRef>
              <c:f>'Figure 6.10'!$A$36:$B$39</c:f>
              <c:multiLvlStrCache>
                <c:ptCount val="4"/>
                <c:lvl>
                  <c:pt idx="0">
                    <c:v>GDP/Spend</c:v>
                  </c:pt>
                  <c:pt idx="1">
                    <c:v>HDI</c:v>
                  </c:pt>
                  <c:pt idx="2">
                    <c:v>GDP/Spend</c:v>
                  </c:pt>
                  <c:pt idx="3">
                    <c:v>HDI</c:v>
                  </c:pt>
                </c:lvl>
                <c:lvl>
                  <c:pt idx="0">
                    <c:v>2030</c:v>
                  </c:pt>
                  <c:pt idx="1">
                    <c:v>2030</c:v>
                  </c:pt>
                  <c:pt idx="2">
                    <c:v>2060</c:v>
                  </c:pt>
                  <c:pt idx="3">
                    <c:v>2060</c:v>
                  </c:pt>
                </c:lvl>
              </c:multiLvlStrCache>
            </c:multiLvlStrRef>
          </c:cat>
          <c:val>
            <c:numRef>
              <c:f>'Figure 6.10'!$D$36:$D$39</c:f>
              <c:numCache>
                <c:formatCode>0%</c:formatCode>
                <c:ptCount val="4"/>
                <c:pt idx="0">
                  <c:v>0.0163934426229508</c:v>
                </c:pt>
                <c:pt idx="1">
                  <c:v>0.316939890710382</c:v>
                </c:pt>
                <c:pt idx="2">
                  <c:v>0.0163934426229508</c:v>
                </c:pt>
                <c:pt idx="3">
                  <c:v>0.344262295081967</c:v>
                </c:pt>
              </c:numCache>
            </c:numRef>
          </c:val>
        </c:ser>
        <c:ser>
          <c:idx val="2"/>
          <c:order val="2"/>
          <c:tx>
            <c:strRef>
              <c:f>'Figure 6.10'!$E$35</c:f>
              <c:strCache>
                <c:ptCount val="1"/>
                <c:pt idx="0">
                  <c:v>Roads Only</c:v>
                </c:pt>
              </c:strCache>
            </c:strRef>
          </c:tx>
          <c:cat>
            <c:multiLvlStrRef>
              <c:f>'Figure 6.10'!$A$36:$B$39</c:f>
              <c:multiLvlStrCache>
                <c:ptCount val="4"/>
                <c:lvl>
                  <c:pt idx="0">
                    <c:v>GDP/Spend</c:v>
                  </c:pt>
                  <c:pt idx="1">
                    <c:v>HDI</c:v>
                  </c:pt>
                  <c:pt idx="2">
                    <c:v>GDP/Spend</c:v>
                  </c:pt>
                  <c:pt idx="3">
                    <c:v>HDI</c:v>
                  </c:pt>
                </c:lvl>
                <c:lvl>
                  <c:pt idx="0">
                    <c:v>2030</c:v>
                  </c:pt>
                  <c:pt idx="1">
                    <c:v>2030</c:v>
                  </c:pt>
                  <c:pt idx="2">
                    <c:v>2060</c:v>
                  </c:pt>
                  <c:pt idx="3">
                    <c:v>2060</c:v>
                  </c:pt>
                </c:lvl>
              </c:multiLvlStrCache>
            </c:multiLvlStrRef>
          </c:cat>
          <c:val>
            <c:numRef>
              <c:f>'Figure 6.10'!$E$36:$E$39</c:f>
              <c:numCache>
                <c:formatCode>0%</c:formatCode>
                <c:ptCount val="4"/>
                <c:pt idx="0">
                  <c:v>0.0218579234972678</c:v>
                </c:pt>
                <c:pt idx="1">
                  <c:v>0.00546448087431694</c:v>
                </c:pt>
                <c:pt idx="2">
                  <c:v>0.0655737704918033</c:v>
                </c:pt>
                <c:pt idx="3">
                  <c:v>0.00546448087431694</c:v>
                </c:pt>
              </c:numCache>
            </c:numRef>
          </c:val>
        </c:ser>
        <c:ser>
          <c:idx val="3"/>
          <c:order val="3"/>
          <c:tx>
            <c:strRef>
              <c:f>'Figure 6.10'!$F$35</c:f>
              <c:strCache>
                <c:ptCount val="1"/>
                <c:pt idx="0">
                  <c:v>Electricity Only</c:v>
                </c:pt>
              </c:strCache>
            </c:strRef>
          </c:tx>
          <c:cat>
            <c:multiLvlStrRef>
              <c:f>'Figure 6.10'!$A$36:$B$39</c:f>
              <c:multiLvlStrCache>
                <c:ptCount val="4"/>
                <c:lvl>
                  <c:pt idx="0">
                    <c:v>GDP/Spend</c:v>
                  </c:pt>
                  <c:pt idx="1">
                    <c:v>HDI</c:v>
                  </c:pt>
                  <c:pt idx="2">
                    <c:v>GDP/Spend</c:v>
                  </c:pt>
                  <c:pt idx="3">
                    <c:v>HDI</c:v>
                  </c:pt>
                </c:lvl>
                <c:lvl>
                  <c:pt idx="0">
                    <c:v>2030</c:v>
                  </c:pt>
                  <c:pt idx="1">
                    <c:v>2030</c:v>
                  </c:pt>
                  <c:pt idx="2">
                    <c:v>2060</c:v>
                  </c:pt>
                  <c:pt idx="3">
                    <c:v>2060</c:v>
                  </c:pt>
                </c:lvl>
              </c:multiLvlStrCache>
            </c:multiLvlStrRef>
          </c:cat>
          <c:val>
            <c:numRef>
              <c:f>'Figure 6.10'!$F$36:$F$39</c:f>
              <c:numCache>
                <c:formatCode>0%</c:formatCode>
                <c:ptCount val="4"/>
                <c:pt idx="0">
                  <c:v>0.153005464480874</c:v>
                </c:pt>
                <c:pt idx="1">
                  <c:v>0.0710382513661202</c:v>
                </c:pt>
                <c:pt idx="2">
                  <c:v>0.153005464480874</c:v>
                </c:pt>
                <c:pt idx="3">
                  <c:v>0.0327868852459016</c:v>
                </c:pt>
              </c:numCache>
            </c:numRef>
          </c:val>
        </c:ser>
        <c:ser>
          <c:idx val="4"/>
          <c:order val="4"/>
          <c:tx>
            <c:strRef>
              <c:f>'Figure 6.10'!$G$35</c:f>
              <c:strCache>
                <c:ptCount val="1"/>
                <c:pt idx="0">
                  <c:v>Water and Sanitation Only</c:v>
                </c:pt>
              </c:strCache>
            </c:strRef>
          </c:tx>
          <c:cat>
            <c:multiLvlStrRef>
              <c:f>'Figure 6.10'!$A$36:$B$39</c:f>
              <c:multiLvlStrCache>
                <c:ptCount val="4"/>
                <c:lvl>
                  <c:pt idx="0">
                    <c:v>GDP/Spend</c:v>
                  </c:pt>
                  <c:pt idx="1">
                    <c:v>HDI</c:v>
                  </c:pt>
                  <c:pt idx="2">
                    <c:v>GDP/Spend</c:v>
                  </c:pt>
                  <c:pt idx="3">
                    <c:v>HDI</c:v>
                  </c:pt>
                </c:lvl>
                <c:lvl>
                  <c:pt idx="0">
                    <c:v>2030</c:v>
                  </c:pt>
                  <c:pt idx="1">
                    <c:v>2030</c:v>
                  </c:pt>
                  <c:pt idx="2">
                    <c:v>2060</c:v>
                  </c:pt>
                  <c:pt idx="3">
                    <c:v>2060</c:v>
                  </c:pt>
                </c:lvl>
              </c:multiLvlStrCache>
            </c:multiLvlStrRef>
          </c:cat>
          <c:val>
            <c:numRef>
              <c:f>'Figure 6.10'!$G$36:$G$39</c:f>
              <c:numCache>
                <c:formatCode>0%</c:formatCode>
                <c:ptCount val="4"/>
                <c:pt idx="0">
                  <c:v>0.404371584699454</c:v>
                </c:pt>
                <c:pt idx="1">
                  <c:v>0.180327868852459</c:v>
                </c:pt>
                <c:pt idx="2">
                  <c:v>0.584699453551913</c:v>
                </c:pt>
                <c:pt idx="3">
                  <c:v>0.147540983606557</c:v>
                </c:pt>
              </c:numCache>
            </c:numRef>
          </c:val>
        </c:ser>
        <c:ser>
          <c:idx val="5"/>
          <c:order val="5"/>
          <c:tx>
            <c:strRef>
              <c:f>'Figure 6.10'!$H$35</c:f>
              <c:strCache>
                <c:ptCount val="1"/>
                <c:pt idx="0">
                  <c:v>ICT Only</c:v>
                </c:pt>
              </c:strCache>
            </c:strRef>
          </c:tx>
          <c:cat>
            <c:multiLvlStrRef>
              <c:f>'Figure 6.10'!$A$36:$B$39</c:f>
              <c:multiLvlStrCache>
                <c:ptCount val="4"/>
                <c:lvl>
                  <c:pt idx="0">
                    <c:v>GDP/Spend</c:v>
                  </c:pt>
                  <c:pt idx="1">
                    <c:v>HDI</c:v>
                  </c:pt>
                  <c:pt idx="2">
                    <c:v>GDP/Spend</c:v>
                  </c:pt>
                  <c:pt idx="3">
                    <c:v>HDI</c:v>
                  </c:pt>
                </c:lvl>
                <c:lvl>
                  <c:pt idx="0">
                    <c:v>2030</c:v>
                  </c:pt>
                  <c:pt idx="1">
                    <c:v>2030</c:v>
                  </c:pt>
                  <c:pt idx="2">
                    <c:v>2060</c:v>
                  </c:pt>
                  <c:pt idx="3">
                    <c:v>2060</c:v>
                  </c:pt>
                </c:lvl>
              </c:multiLvlStrCache>
            </c:multiLvlStrRef>
          </c:cat>
          <c:val>
            <c:numRef>
              <c:f>'Figure 6.10'!$H$36:$H$39</c:f>
              <c:numCache>
                <c:formatCode>0%</c:formatCode>
                <c:ptCount val="4"/>
                <c:pt idx="0">
                  <c:v>0.153005464480874</c:v>
                </c:pt>
                <c:pt idx="1">
                  <c:v>0.0546448087431694</c:v>
                </c:pt>
                <c:pt idx="2">
                  <c:v>0.0546448087431694</c:v>
                </c:pt>
                <c:pt idx="3">
                  <c:v>0.0109289617486339</c:v>
                </c:pt>
              </c:numCache>
            </c:numRef>
          </c:val>
        </c:ser>
        <c:ser>
          <c:idx val="6"/>
          <c:order val="6"/>
          <c:tx>
            <c:strRef>
              <c:f>'Figure 6.10'!$I$35</c:f>
              <c:strCache>
                <c:ptCount val="1"/>
                <c:pt idx="0">
                  <c:v>All2050</c:v>
                </c:pt>
              </c:strCache>
            </c:strRef>
          </c:tx>
          <c:cat>
            <c:multiLvlStrRef>
              <c:f>'Figure 6.10'!$A$36:$B$39</c:f>
              <c:multiLvlStrCache>
                <c:ptCount val="4"/>
                <c:lvl>
                  <c:pt idx="0">
                    <c:v>GDP/Spend</c:v>
                  </c:pt>
                  <c:pt idx="1">
                    <c:v>HDI</c:v>
                  </c:pt>
                  <c:pt idx="2">
                    <c:v>GDP/Spend</c:v>
                  </c:pt>
                  <c:pt idx="3">
                    <c:v>HDI</c:v>
                  </c:pt>
                </c:lvl>
                <c:lvl>
                  <c:pt idx="0">
                    <c:v>2030</c:v>
                  </c:pt>
                  <c:pt idx="1">
                    <c:v>2030</c:v>
                  </c:pt>
                  <c:pt idx="2">
                    <c:v>2060</c:v>
                  </c:pt>
                  <c:pt idx="3">
                    <c:v>2060</c:v>
                  </c:pt>
                </c:lvl>
              </c:multiLvlStrCache>
            </c:multiLvlStrRef>
          </c:cat>
          <c:val>
            <c:numRef>
              <c:f>'Figure 6.10'!$I$36:$I$39</c:f>
              <c:numCache>
                <c:formatCode>0%</c:formatCode>
                <c:ptCount val="4"/>
                <c:pt idx="0">
                  <c:v>0.00546448087431694</c:v>
                </c:pt>
                <c:pt idx="1">
                  <c:v>0.0327868852459016</c:v>
                </c:pt>
                <c:pt idx="2">
                  <c:v>0.0163934426229508</c:v>
                </c:pt>
                <c:pt idx="3">
                  <c:v>0.0273224043715847</c:v>
                </c:pt>
              </c:numCache>
            </c:numRef>
          </c:val>
        </c:ser>
        <c:ser>
          <c:idx val="7"/>
          <c:order val="7"/>
          <c:tx>
            <c:strRef>
              <c:f>'Figure 6.10'!$J$35</c:f>
              <c:strCache>
                <c:ptCount val="1"/>
                <c:pt idx="0">
                  <c:v>Meet Expectations</c:v>
                </c:pt>
              </c:strCache>
            </c:strRef>
          </c:tx>
          <c:cat>
            <c:multiLvlStrRef>
              <c:f>'Figure 6.10'!$A$36:$B$39</c:f>
              <c:multiLvlStrCache>
                <c:ptCount val="4"/>
                <c:lvl>
                  <c:pt idx="0">
                    <c:v>GDP/Spend</c:v>
                  </c:pt>
                  <c:pt idx="1">
                    <c:v>HDI</c:v>
                  </c:pt>
                  <c:pt idx="2">
                    <c:v>GDP/Spend</c:v>
                  </c:pt>
                  <c:pt idx="3">
                    <c:v>HDI</c:v>
                  </c:pt>
                </c:lvl>
                <c:lvl>
                  <c:pt idx="0">
                    <c:v>2030</c:v>
                  </c:pt>
                  <c:pt idx="1">
                    <c:v>2030</c:v>
                  </c:pt>
                  <c:pt idx="2">
                    <c:v>2060</c:v>
                  </c:pt>
                  <c:pt idx="3">
                    <c:v>2060</c:v>
                  </c:pt>
                </c:lvl>
              </c:multiLvlStrCache>
            </c:multiLvlStrRef>
          </c:cat>
          <c:val>
            <c:numRef>
              <c:f>'Figure 6.10'!$J$36:$J$39</c:f>
              <c:numCache>
                <c:formatCode>0%</c:formatCode>
                <c:ptCount val="4"/>
                <c:pt idx="0">
                  <c:v>0.0983606557377049</c:v>
                </c:pt>
                <c:pt idx="1">
                  <c:v>0.0273224043715847</c:v>
                </c:pt>
                <c:pt idx="2">
                  <c:v>0.087431693989071</c:v>
                </c:pt>
                <c:pt idx="3">
                  <c:v>0.0163934426229508</c:v>
                </c:pt>
              </c:numCache>
            </c:numRef>
          </c:val>
        </c:ser>
        <c:ser>
          <c:idx val="8"/>
          <c:order val="8"/>
          <c:tx>
            <c:strRef>
              <c:f>'Figure 6.10'!$K$35</c:f>
              <c:strCache>
                <c:ptCount val="1"/>
                <c:pt idx="0">
                  <c:v>High Performers</c:v>
                </c:pt>
              </c:strCache>
            </c:strRef>
          </c:tx>
          <c:cat>
            <c:multiLvlStrRef>
              <c:f>'Figure 6.10'!$A$36:$B$39</c:f>
              <c:multiLvlStrCache>
                <c:ptCount val="4"/>
                <c:lvl>
                  <c:pt idx="0">
                    <c:v>GDP/Spend</c:v>
                  </c:pt>
                  <c:pt idx="1">
                    <c:v>HDI</c:v>
                  </c:pt>
                  <c:pt idx="2">
                    <c:v>GDP/Spend</c:v>
                  </c:pt>
                  <c:pt idx="3">
                    <c:v>HDI</c:v>
                  </c:pt>
                </c:lvl>
                <c:lvl>
                  <c:pt idx="0">
                    <c:v>2030</c:v>
                  </c:pt>
                  <c:pt idx="1">
                    <c:v>2030</c:v>
                  </c:pt>
                  <c:pt idx="2">
                    <c:v>2060</c:v>
                  </c:pt>
                  <c:pt idx="3">
                    <c:v>2060</c:v>
                  </c:pt>
                </c:lvl>
              </c:multiLvlStrCache>
            </c:multiLvlStrRef>
          </c:cat>
          <c:val>
            <c:numRef>
              <c:f>'Figure 6.10'!$K$36:$K$39</c:f>
              <c:numCache>
                <c:formatCode>0%</c:formatCode>
                <c:ptCount val="4"/>
                <c:pt idx="0">
                  <c:v>0.0491803278688524</c:v>
                </c:pt>
                <c:pt idx="1">
                  <c:v>0.306010928961749</c:v>
                </c:pt>
                <c:pt idx="2">
                  <c:v>0.0218579234972678</c:v>
                </c:pt>
                <c:pt idx="3">
                  <c:v>0.40983606557377</c:v>
                </c:pt>
              </c:numCache>
            </c:numRef>
          </c:val>
        </c:ser>
        <c:axId val="576660248"/>
        <c:axId val="721551688"/>
      </c:barChart>
      <c:catAx>
        <c:axId val="576660248"/>
        <c:scaling>
          <c:orientation val="minMax"/>
        </c:scaling>
        <c:axPos val="b"/>
        <c:title>
          <c:tx>
            <c:rich>
              <a:bodyPr/>
              <a:lstStyle/>
              <a:p>
                <a:pPr>
                  <a:defRPr/>
                </a:pPr>
                <a:r>
                  <a:rPr lang="en-US"/>
                  <a:t>Metric and time horizon</a:t>
                </a:r>
              </a:p>
            </c:rich>
          </c:tx>
        </c:title>
        <c:tickLblPos val="nextTo"/>
        <c:crossAx val="721551688"/>
        <c:crosses val="autoZero"/>
        <c:auto val="1"/>
        <c:lblAlgn val="ctr"/>
        <c:lblOffset val="100"/>
      </c:catAx>
      <c:valAx>
        <c:axId val="721551688"/>
        <c:scaling>
          <c:orientation val="minMax"/>
        </c:scaling>
        <c:axPos val="l"/>
        <c:majorGridlines/>
        <c:title>
          <c:tx>
            <c:rich>
              <a:bodyPr rot="-5400000" vert="horz"/>
              <a:lstStyle/>
              <a:p>
                <a:pPr>
                  <a:defRPr/>
                </a:pPr>
                <a:r>
                  <a:rPr lang="en-US"/>
                  <a:t>Percentage of countries</a:t>
                </a:r>
              </a:p>
            </c:rich>
          </c:tx>
        </c:title>
        <c:numFmt formatCode="0%" sourceLinked="1"/>
        <c:tickLblPos val="nextTo"/>
        <c:crossAx val="576660248"/>
        <c:crosses val="autoZero"/>
        <c:crossBetween val="between"/>
      </c:valAx>
    </c:plotArea>
    <c:legend>
      <c:legendPos val="t"/>
      <c:layout>
        <c:manualLayout>
          <c:xMode val="edge"/>
          <c:yMode val="edge"/>
          <c:x val="0.0969575678040245"/>
          <c:y val="0.0214592274678112"/>
          <c:w val="0.806084864391951"/>
          <c:h val="0.144412997195093"/>
        </c:manualLayout>
      </c:layout>
    </c:legend>
    <c:plotVisOnly val="1"/>
    <c:dispBlanksAs val="gap"/>
  </c:chart>
  <c:txPr>
    <a:bodyPr/>
    <a:lstStyle/>
    <a:p>
      <a:pPr>
        <a:defRPr b="0">
          <a:latin typeface="Times New Roman"/>
          <a:cs typeface="Times New Roman"/>
        </a:defRPr>
      </a:pPr>
      <a:endParaRPr lang="en-US"/>
    </a:p>
  </c:tx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119354039078448"/>
          <c:y val="0.195699035709013"/>
          <c:w val="0.855182997958588"/>
          <c:h val="0.558345553610823"/>
        </c:manualLayout>
      </c:layout>
      <c:barChart>
        <c:barDir val="col"/>
        <c:grouping val="clustered"/>
        <c:ser>
          <c:idx val="0"/>
          <c:order val="0"/>
          <c:tx>
            <c:strRef>
              <c:f>'Figure 6.11'!$C$35</c:f>
              <c:strCache>
                <c:ptCount val="1"/>
                <c:pt idx="0">
                  <c:v>Base Case</c:v>
                </c:pt>
              </c:strCache>
            </c:strRef>
          </c:tx>
          <c:cat>
            <c:multiLvlStrRef>
              <c:f>'Figure 6.11'!$A$36:$B$39</c:f>
              <c:multiLvlStrCache>
                <c:ptCount val="4"/>
                <c:lvl>
                  <c:pt idx="0">
                    <c:v>GDP/Spend</c:v>
                  </c:pt>
                  <c:pt idx="1">
                    <c:v>HDI</c:v>
                  </c:pt>
                  <c:pt idx="2">
                    <c:v>GDP/Spend</c:v>
                  </c:pt>
                  <c:pt idx="3">
                    <c:v>HDI</c:v>
                  </c:pt>
                </c:lvl>
                <c:lvl>
                  <c:pt idx="0">
                    <c:v>2030</c:v>
                  </c:pt>
                  <c:pt idx="1">
                    <c:v>2030</c:v>
                  </c:pt>
                  <c:pt idx="2">
                    <c:v>2060</c:v>
                  </c:pt>
                  <c:pt idx="3">
                    <c:v>2060</c:v>
                  </c:pt>
                </c:lvl>
              </c:multiLvlStrCache>
            </c:multiLvlStrRef>
          </c:cat>
          <c:val>
            <c:numRef>
              <c:f>'Figure 6.11'!$C$36:$C$39</c:f>
              <c:numCache>
                <c:formatCode>0%</c:formatCode>
                <c:ptCount val="4"/>
                <c:pt idx="0">
                  <c:v>0.288888888888889</c:v>
                </c:pt>
                <c:pt idx="1">
                  <c:v>0.0222222222222222</c:v>
                </c:pt>
                <c:pt idx="2">
                  <c:v>0.0</c:v>
                </c:pt>
                <c:pt idx="3">
                  <c:v>0.0</c:v>
                </c:pt>
              </c:numCache>
            </c:numRef>
          </c:val>
        </c:ser>
        <c:ser>
          <c:idx val="1"/>
          <c:order val="1"/>
          <c:tx>
            <c:strRef>
              <c:f>'Figure 6.11'!$D$35</c:f>
              <c:strCache>
                <c:ptCount val="1"/>
                <c:pt idx="0">
                  <c:v>Universal Targets</c:v>
                </c:pt>
              </c:strCache>
            </c:strRef>
          </c:tx>
          <c:cat>
            <c:multiLvlStrRef>
              <c:f>'Figure 6.11'!$A$36:$B$39</c:f>
              <c:multiLvlStrCache>
                <c:ptCount val="4"/>
                <c:lvl>
                  <c:pt idx="0">
                    <c:v>GDP/Spend</c:v>
                  </c:pt>
                  <c:pt idx="1">
                    <c:v>HDI</c:v>
                  </c:pt>
                  <c:pt idx="2">
                    <c:v>GDP/Spend</c:v>
                  </c:pt>
                  <c:pt idx="3">
                    <c:v>HDI</c:v>
                  </c:pt>
                </c:lvl>
                <c:lvl>
                  <c:pt idx="0">
                    <c:v>2030</c:v>
                  </c:pt>
                  <c:pt idx="1">
                    <c:v>2030</c:v>
                  </c:pt>
                  <c:pt idx="2">
                    <c:v>2060</c:v>
                  </c:pt>
                  <c:pt idx="3">
                    <c:v>2060</c:v>
                  </c:pt>
                </c:lvl>
              </c:multiLvlStrCache>
            </c:multiLvlStrRef>
          </c:cat>
          <c:val>
            <c:numRef>
              <c:f>'Figure 6.11'!$D$36:$D$39</c:f>
              <c:numCache>
                <c:formatCode>0%</c:formatCode>
                <c:ptCount val="4"/>
                <c:pt idx="0">
                  <c:v>0.0</c:v>
                </c:pt>
                <c:pt idx="1">
                  <c:v>0.311111111111111</c:v>
                </c:pt>
                <c:pt idx="2">
                  <c:v>0.0222222222222222</c:v>
                </c:pt>
                <c:pt idx="3">
                  <c:v>0.422222222222222</c:v>
                </c:pt>
              </c:numCache>
            </c:numRef>
          </c:val>
        </c:ser>
        <c:ser>
          <c:idx val="2"/>
          <c:order val="2"/>
          <c:tx>
            <c:strRef>
              <c:f>'Figure 6.11'!$E$35</c:f>
              <c:strCache>
                <c:ptCount val="1"/>
                <c:pt idx="0">
                  <c:v>Roads Only</c:v>
                </c:pt>
              </c:strCache>
            </c:strRef>
          </c:tx>
          <c:cat>
            <c:multiLvlStrRef>
              <c:f>'Figure 6.11'!$A$36:$B$39</c:f>
              <c:multiLvlStrCache>
                <c:ptCount val="4"/>
                <c:lvl>
                  <c:pt idx="0">
                    <c:v>GDP/Spend</c:v>
                  </c:pt>
                  <c:pt idx="1">
                    <c:v>HDI</c:v>
                  </c:pt>
                  <c:pt idx="2">
                    <c:v>GDP/Spend</c:v>
                  </c:pt>
                  <c:pt idx="3">
                    <c:v>HDI</c:v>
                  </c:pt>
                </c:lvl>
                <c:lvl>
                  <c:pt idx="0">
                    <c:v>2030</c:v>
                  </c:pt>
                  <c:pt idx="1">
                    <c:v>2030</c:v>
                  </c:pt>
                  <c:pt idx="2">
                    <c:v>2060</c:v>
                  </c:pt>
                  <c:pt idx="3">
                    <c:v>2060</c:v>
                  </c:pt>
                </c:lvl>
              </c:multiLvlStrCache>
            </c:multiLvlStrRef>
          </c:cat>
          <c:val>
            <c:numRef>
              <c:f>'Figure 6.11'!$E$36:$E$39</c:f>
              <c:numCache>
                <c:formatCode>0%</c:formatCode>
                <c:ptCount val="4"/>
                <c:pt idx="0">
                  <c:v>0.0</c:v>
                </c:pt>
                <c:pt idx="1">
                  <c:v>0.0</c:v>
                </c:pt>
                <c:pt idx="2">
                  <c:v>0.0444444444444444</c:v>
                </c:pt>
                <c:pt idx="3">
                  <c:v>0.0</c:v>
                </c:pt>
              </c:numCache>
            </c:numRef>
          </c:val>
        </c:ser>
        <c:ser>
          <c:idx val="3"/>
          <c:order val="3"/>
          <c:tx>
            <c:strRef>
              <c:f>'Figure 6.11'!$F$35</c:f>
              <c:strCache>
                <c:ptCount val="1"/>
                <c:pt idx="0">
                  <c:v>Electricity Only</c:v>
                </c:pt>
              </c:strCache>
            </c:strRef>
          </c:tx>
          <c:cat>
            <c:multiLvlStrRef>
              <c:f>'Figure 6.11'!$A$36:$B$39</c:f>
              <c:multiLvlStrCache>
                <c:ptCount val="4"/>
                <c:lvl>
                  <c:pt idx="0">
                    <c:v>GDP/Spend</c:v>
                  </c:pt>
                  <c:pt idx="1">
                    <c:v>HDI</c:v>
                  </c:pt>
                  <c:pt idx="2">
                    <c:v>GDP/Spend</c:v>
                  </c:pt>
                  <c:pt idx="3">
                    <c:v>HDI</c:v>
                  </c:pt>
                </c:lvl>
                <c:lvl>
                  <c:pt idx="0">
                    <c:v>2030</c:v>
                  </c:pt>
                  <c:pt idx="1">
                    <c:v>2030</c:v>
                  </c:pt>
                  <c:pt idx="2">
                    <c:v>2060</c:v>
                  </c:pt>
                  <c:pt idx="3">
                    <c:v>2060</c:v>
                  </c:pt>
                </c:lvl>
              </c:multiLvlStrCache>
            </c:multiLvlStrRef>
          </c:cat>
          <c:val>
            <c:numRef>
              <c:f>'Figure 6.11'!$F$36:$F$39</c:f>
              <c:numCache>
                <c:formatCode>0%</c:formatCode>
                <c:ptCount val="4"/>
                <c:pt idx="0">
                  <c:v>0.0444444444444444</c:v>
                </c:pt>
                <c:pt idx="1">
                  <c:v>0.0222222222222222</c:v>
                </c:pt>
                <c:pt idx="2">
                  <c:v>0.0444444444444444</c:v>
                </c:pt>
                <c:pt idx="3">
                  <c:v>0.0444444444444444</c:v>
                </c:pt>
              </c:numCache>
            </c:numRef>
          </c:val>
        </c:ser>
        <c:ser>
          <c:idx val="4"/>
          <c:order val="4"/>
          <c:tx>
            <c:strRef>
              <c:f>'Figure 6.11'!$G$35</c:f>
              <c:strCache>
                <c:ptCount val="1"/>
                <c:pt idx="0">
                  <c:v>Water and Sanitation Only</c:v>
                </c:pt>
              </c:strCache>
            </c:strRef>
          </c:tx>
          <c:cat>
            <c:multiLvlStrRef>
              <c:f>'Figure 6.11'!$A$36:$B$39</c:f>
              <c:multiLvlStrCache>
                <c:ptCount val="4"/>
                <c:lvl>
                  <c:pt idx="0">
                    <c:v>GDP/Spend</c:v>
                  </c:pt>
                  <c:pt idx="1">
                    <c:v>HDI</c:v>
                  </c:pt>
                  <c:pt idx="2">
                    <c:v>GDP/Spend</c:v>
                  </c:pt>
                  <c:pt idx="3">
                    <c:v>HDI</c:v>
                  </c:pt>
                </c:lvl>
                <c:lvl>
                  <c:pt idx="0">
                    <c:v>2030</c:v>
                  </c:pt>
                  <c:pt idx="1">
                    <c:v>2030</c:v>
                  </c:pt>
                  <c:pt idx="2">
                    <c:v>2060</c:v>
                  </c:pt>
                  <c:pt idx="3">
                    <c:v>2060</c:v>
                  </c:pt>
                </c:lvl>
              </c:multiLvlStrCache>
            </c:multiLvlStrRef>
          </c:cat>
          <c:val>
            <c:numRef>
              <c:f>'Figure 6.11'!$G$36:$G$39</c:f>
              <c:numCache>
                <c:formatCode>0%</c:formatCode>
                <c:ptCount val="4"/>
                <c:pt idx="0">
                  <c:v>0.511111111111111</c:v>
                </c:pt>
                <c:pt idx="1">
                  <c:v>0.466666666666667</c:v>
                </c:pt>
                <c:pt idx="2">
                  <c:v>0.822222222222222</c:v>
                </c:pt>
                <c:pt idx="3">
                  <c:v>0.444444444444444</c:v>
                </c:pt>
              </c:numCache>
            </c:numRef>
          </c:val>
        </c:ser>
        <c:ser>
          <c:idx val="5"/>
          <c:order val="5"/>
          <c:tx>
            <c:strRef>
              <c:f>'Figure 6.11'!$H$35</c:f>
              <c:strCache>
                <c:ptCount val="1"/>
                <c:pt idx="0">
                  <c:v>ICT Only</c:v>
                </c:pt>
              </c:strCache>
            </c:strRef>
          </c:tx>
          <c:cat>
            <c:multiLvlStrRef>
              <c:f>'Figure 6.11'!$A$36:$B$39</c:f>
              <c:multiLvlStrCache>
                <c:ptCount val="4"/>
                <c:lvl>
                  <c:pt idx="0">
                    <c:v>GDP/Spend</c:v>
                  </c:pt>
                  <c:pt idx="1">
                    <c:v>HDI</c:v>
                  </c:pt>
                  <c:pt idx="2">
                    <c:v>GDP/Spend</c:v>
                  </c:pt>
                  <c:pt idx="3">
                    <c:v>HDI</c:v>
                  </c:pt>
                </c:lvl>
                <c:lvl>
                  <c:pt idx="0">
                    <c:v>2030</c:v>
                  </c:pt>
                  <c:pt idx="1">
                    <c:v>2030</c:v>
                  </c:pt>
                  <c:pt idx="2">
                    <c:v>2060</c:v>
                  </c:pt>
                  <c:pt idx="3">
                    <c:v>2060</c:v>
                  </c:pt>
                </c:lvl>
              </c:multiLvlStrCache>
            </c:multiLvlStrRef>
          </c:cat>
          <c:val>
            <c:numRef>
              <c:f>'Figure 6.11'!$H$36:$H$39</c:f>
              <c:numCache>
                <c:formatCode>0%</c:formatCode>
                <c:ptCount val="4"/>
                <c:pt idx="0">
                  <c:v>0.0222222222222222</c:v>
                </c:pt>
                <c:pt idx="1">
                  <c:v>0.133333333333333</c:v>
                </c:pt>
                <c:pt idx="2">
                  <c:v>0.0</c:v>
                </c:pt>
                <c:pt idx="3">
                  <c:v>0.0</c:v>
                </c:pt>
              </c:numCache>
            </c:numRef>
          </c:val>
        </c:ser>
        <c:ser>
          <c:idx val="6"/>
          <c:order val="6"/>
          <c:tx>
            <c:strRef>
              <c:f>'Figure 6.11'!$I$35</c:f>
              <c:strCache>
                <c:ptCount val="1"/>
                <c:pt idx="0">
                  <c:v>All2050</c:v>
                </c:pt>
              </c:strCache>
            </c:strRef>
          </c:tx>
          <c:cat>
            <c:multiLvlStrRef>
              <c:f>'Figure 6.11'!$A$36:$B$39</c:f>
              <c:multiLvlStrCache>
                <c:ptCount val="4"/>
                <c:lvl>
                  <c:pt idx="0">
                    <c:v>GDP/Spend</c:v>
                  </c:pt>
                  <c:pt idx="1">
                    <c:v>HDI</c:v>
                  </c:pt>
                  <c:pt idx="2">
                    <c:v>GDP/Spend</c:v>
                  </c:pt>
                  <c:pt idx="3">
                    <c:v>HDI</c:v>
                  </c:pt>
                </c:lvl>
                <c:lvl>
                  <c:pt idx="0">
                    <c:v>2030</c:v>
                  </c:pt>
                  <c:pt idx="1">
                    <c:v>2030</c:v>
                  </c:pt>
                  <c:pt idx="2">
                    <c:v>2060</c:v>
                  </c:pt>
                  <c:pt idx="3">
                    <c:v>2060</c:v>
                  </c:pt>
                </c:lvl>
              </c:multiLvlStrCache>
            </c:multiLvlStrRef>
          </c:cat>
          <c:val>
            <c:numRef>
              <c:f>'Figure 6.11'!$I$36:$I$39</c:f>
              <c:numCache>
                <c:formatCode>0%</c:formatCode>
                <c:ptCount val="4"/>
                <c:pt idx="0">
                  <c:v>0.0</c:v>
                </c:pt>
                <c:pt idx="1">
                  <c:v>0.0</c:v>
                </c:pt>
                <c:pt idx="2">
                  <c:v>0.0</c:v>
                </c:pt>
                <c:pt idx="3">
                  <c:v>0.0222222222222222</c:v>
                </c:pt>
              </c:numCache>
            </c:numRef>
          </c:val>
        </c:ser>
        <c:ser>
          <c:idx val="7"/>
          <c:order val="7"/>
          <c:tx>
            <c:strRef>
              <c:f>'Figure 6.11'!$J$35</c:f>
              <c:strCache>
                <c:ptCount val="1"/>
                <c:pt idx="0">
                  <c:v>Meet Expectations</c:v>
                </c:pt>
              </c:strCache>
            </c:strRef>
          </c:tx>
          <c:cat>
            <c:multiLvlStrRef>
              <c:f>'Figure 6.11'!$A$36:$B$39</c:f>
              <c:multiLvlStrCache>
                <c:ptCount val="4"/>
                <c:lvl>
                  <c:pt idx="0">
                    <c:v>GDP/Spend</c:v>
                  </c:pt>
                  <c:pt idx="1">
                    <c:v>HDI</c:v>
                  </c:pt>
                  <c:pt idx="2">
                    <c:v>GDP/Spend</c:v>
                  </c:pt>
                  <c:pt idx="3">
                    <c:v>HDI</c:v>
                  </c:pt>
                </c:lvl>
                <c:lvl>
                  <c:pt idx="0">
                    <c:v>2030</c:v>
                  </c:pt>
                  <c:pt idx="1">
                    <c:v>2030</c:v>
                  </c:pt>
                  <c:pt idx="2">
                    <c:v>2060</c:v>
                  </c:pt>
                  <c:pt idx="3">
                    <c:v>2060</c:v>
                  </c:pt>
                </c:lvl>
              </c:multiLvlStrCache>
            </c:multiLvlStrRef>
          </c:cat>
          <c:val>
            <c:numRef>
              <c:f>'Figure 6.11'!$J$36:$J$39</c:f>
              <c:numCache>
                <c:formatCode>0%</c:formatCode>
                <c:ptCount val="4"/>
                <c:pt idx="0">
                  <c:v>0.133333333333333</c:v>
                </c:pt>
                <c:pt idx="1">
                  <c:v>0.0222222222222222</c:v>
                </c:pt>
                <c:pt idx="2">
                  <c:v>0.0666666666666667</c:v>
                </c:pt>
                <c:pt idx="3">
                  <c:v>0.0222222222222222</c:v>
                </c:pt>
              </c:numCache>
            </c:numRef>
          </c:val>
        </c:ser>
        <c:ser>
          <c:idx val="8"/>
          <c:order val="8"/>
          <c:tx>
            <c:strRef>
              <c:f>'Figure 6.11'!$K$35</c:f>
              <c:strCache>
                <c:ptCount val="1"/>
                <c:pt idx="0">
                  <c:v>High Performers</c:v>
                </c:pt>
              </c:strCache>
            </c:strRef>
          </c:tx>
          <c:cat>
            <c:multiLvlStrRef>
              <c:f>'Figure 6.11'!$A$36:$B$39</c:f>
              <c:multiLvlStrCache>
                <c:ptCount val="4"/>
                <c:lvl>
                  <c:pt idx="0">
                    <c:v>GDP/Spend</c:v>
                  </c:pt>
                  <c:pt idx="1">
                    <c:v>HDI</c:v>
                  </c:pt>
                  <c:pt idx="2">
                    <c:v>GDP/Spend</c:v>
                  </c:pt>
                  <c:pt idx="3">
                    <c:v>HDI</c:v>
                  </c:pt>
                </c:lvl>
                <c:lvl>
                  <c:pt idx="0">
                    <c:v>2030</c:v>
                  </c:pt>
                  <c:pt idx="1">
                    <c:v>2030</c:v>
                  </c:pt>
                  <c:pt idx="2">
                    <c:v>2060</c:v>
                  </c:pt>
                  <c:pt idx="3">
                    <c:v>2060</c:v>
                  </c:pt>
                </c:lvl>
              </c:multiLvlStrCache>
            </c:multiLvlStrRef>
          </c:cat>
          <c:val>
            <c:numRef>
              <c:f>'Figure 6.11'!$K$36:$K$39</c:f>
              <c:numCache>
                <c:formatCode>0%</c:formatCode>
                <c:ptCount val="4"/>
                <c:pt idx="0">
                  <c:v>0.0</c:v>
                </c:pt>
                <c:pt idx="1">
                  <c:v>0.0222222222222222</c:v>
                </c:pt>
                <c:pt idx="2">
                  <c:v>0.0</c:v>
                </c:pt>
                <c:pt idx="3">
                  <c:v>0.0444444444444444</c:v>
                </c:pt>
              </c:numCache>
            </c:numRef>
          </c:val>
        </c:ser>
        <c:axId val="721762392"/>
        <c:axId val="721768104"/>
      </c:barChart>
      <c:catAx>
        <c:axId val="721762392"/>
        <c:scaling>
          <c:orientation val="minMax"/>
        </c:scaling>
        <c:axPos val="b"/>
        <c:title>
          <c:tx>
            <c:rich>
              <a:bodyPr/>
              <a:lstStyle/>
              <a:p>
                <a:pPr>
                  <a:defRPr/>
                </a:pPr>
                <a:r>
                  <a:rPr lang="en-US"/>
                  <a:t>Metric and time horizon</a:t>
                </a:r>
              </a:p>
            </c:rich>
          </c:tx>
        </c:title>
        <c:tickLblPos val="nextTo"/>
        <c:crossAx val="721768104"/>
        <c:crosses val="autoZero"/>
        <c:auto val="1"/>
        <c:lblAlgn val="ctr"/>
        <c:lblOffset val="100"/>
      </c:catAx>
      <c:valAx>
        <c:axId val="721768104"/>
        <c:scaling>
          <c:orientation val="minMax"/>
        </c:scaling>
        <c:axPos val="l"/>
        <c:majorGridlines/>
        <c:title>
          <c:tx>
            <c:rich>
              <a:bodyPr rot="-5400000" vert="horz"/>
              <a:lstStyle/>
              <a:p>
                <a:pPr>
                  <a:defRPr/>
                </a:pPr>
                <a:r>
                  <a:rPr lang="en-US"/>
                  <a:t>Percentage of countries</a:t>
                </a:r>
              </a:p>
            </c:rich>
          </c:tx>
        </c:title>
        <c:numFmt formatCode="0%" sourceLinked="1"/>
        <c:tickLblPos val="nextTo"/>
        <c:crossAx val="721762392"/>
        <c:crosses val="autoZero"/>
        <c:crossBetween val="between"/>
      </c:valAx>
    </c:plotArea>
    <c:legend>
      <c:legendPos val="t"/>
      <c:layout>
        <c:manualLayout>
          <c:xMode val="edge"/>
          <c:yMode val="edge"/>
          <c:x val="0.0"/>
          <c:y val="0.0218459858001092"/>
          <c:w val="0.999892279090114"/>
          <c:h val="0.108315092508576"/>
        </c:manualLayout>
      </c:layout>
    </c:legend>
    <c:plotVisOnly val="1"/>
    <c:dispBlanksAs val="gap"/>
  </c:chart>
  <c:txPr>
    <a:bodyPr/>
    <a:lstStyle/>
    <a:p>
      <a:pPr>
        <a:defRPr b="0">
          <a:latin typeface="Times New Roman"/>
          <a:cs typeface="Times New Roman"/>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18"/>
  <c:chart>
    <c:autoTitleDeleted val="1"/>
    <c:plotArea>
      <c:layout>
        <c:manualLayout>
          <c:layoutTarget val="inner"/>
          <c:xMode val="edge"/>
          <c:yMode val="edge"/>
          <c:x val="0.0920963305067636"/>
          <c:y val="0.271870776577442"/>
          <c:w val="0.892439727250588"/>
          <c:h val="0.707487023451652"/>
        </c:manualLayout>
      </c:layout>
      <c:barChart>
        <c:barDir val="col"/>
        <c:grouping val="clustered"/>
        <c:ser>
          <c:idx val="1"/>
          <c:order val="0"/>
          <c:tx>
            <c:strRef>
              <c:f>'Figure 2.2'!$C$1</c:f>
              <c:strCache>
                <c:ptCount val="1"/>
                <c:pt idx="0">
                  <c:v>Percentage of roads paved</c:v>
                </c:pt>
              </c:strCache>
            </c:strRef>
          </c:tx>
          <c:dPt>
            <c:idx val="0"/>
            <c:spPr>
              <a:solidFill>
                <a:schemeClr val="accent3"/>
              </a:solidFill>
            </c:spPr>
          </c:dPt>
          <c:dPt>
            <c:idx val="1"/>
            <c:spPr>
              <a:solidFill>
                <a:schemeClr val="accent2"/>
              </a:solidFill>
            </c:spPr>
          </c:dPt>
          <c:dPt>
            <c:idx val="2"/>
            <c:spPr>
              <a:solidFill>
                <a:schemeClr val="accent1"/>
              </a:solidFill>
            </c:spPr>
          </c:dPt>
          <c:dPt>
            <c:idx val="5"/>
            <c:spPr>
              <a:solidFill>
                <a:schemeClr val="accent1"/>
              </a:solidFill>
            </c:spPr>
          </c:dPt>
          <c:dPt>
            <c:idx val="6"/>
            <c:spPr>
              <a:solidFill>
                <a:schemeClr val="accent3"/>
              </a:solidFill>
            </c:spPr>
          </c:dPt>
          <c:dPt>
            <c:idx val="8"/>
            <c:spPr>
              <a:solidFill>
                <a:schemeClr val="accent1"/>
              </a:solidFill>
            </c:spPr>
          </c:dPt>
          <c:dPt>
            <c:idx val="9"/>
            <c:spPr>
              <a:solidFill>
                <a:schemeClr val="accent3"/>
              </a:solidFill>
            </c:spPr>
          </c:dPt>
          <c:dPt>
            <c:idx val="11"/>
            <c:spPr>
              <a:solidFill>
                <a:schemeClr val="accent1"/>
              </a:solidFill>
            </c:spPr>
          </c:dPt>
          <c:dPt>
            <c:idx val="12"/>
            <c:spPr>
              <a:solidFill>
                <a:schemeClr val="accent3"/>
              </a:solidFill>
            </c:spPr>
          </c:dPt>
          <c:dPt>
            <c:idx val="14"/>
            <c:spPr>
              <a:solidFill>
                <a:schemeClr val="accent1"/>
              </a:solidFill>
            </c:spPr>
          </c:dPt>
          <c:dPt>
            <c:idx val="15"/>
            <c:spPr>
              <a:solidFill>
                <a:schemeClr val="accent3"/>
              </a:solidFill>
            </c:spPr>
          </c:dPt>
          <c:dPt>
            <c:idx val="17"/>
            <c:spPr>
              <a:solidFill>
                <a:schemeClr val="accent1"/>
              </a:solidFill>
            </c:spPr>
          </c:dPt>
          <c:dPt>
            <c:idx val="18"/>
            <c:spPr>
              <a:solidFill>
                <a:schemeClr val="accent3"/>
              </a:solidFill>
            </c:spPr>
          </c:dPt>
          <c:dPt>
            <c:idx val="20"/>
            <c:spPr>
              <a:solidFill>
                <a:schemeClr val="accent1"/>
              </a:solidFill>
            </c:spPr>
          </c:dPt>
          <c:dPt>
            <c:idx val="21"/>
            <c:spPr>
              <a:solidFill>
                <a:schemeClr val="accent3"/>
              </a:solidFill>
            </c:spPr>
          </c:dPt>
          <c:dPt>
            <c:idx val="23"/>
            <c:spPr>
              <a:solidFill>
                <a:schemeClr val="accent1"/>
              </a:solidFill>
            </c:spPr>
          </c:dPt>
          <c:cat>
            <c:multiLvlStrRef>
              <c:f>'Figure 2.2'!$A$2:$B$25</c:f>
              <c:multiLvlStrCache>
                <c:ptCount val="24"/>
                <c:lvl>
                  <c:pt idx="0">
                    <c:v>1975</c:v>
                  </c:pt>
                  <c:pt idx="1">
                    <c:v>1990</c:v>
                  </c:pt>
                  <c:pt idx="2">
                    <c:v>2008</c:v>
                  </c:pt>
                  <c:pt idx="3">
                    <c:v>1975</c:v>
                  </c:pt>
                  <c:pt idx="4">
                    <c:v>1990</c:v>
                  </c:pt>
                  <c:pt idx="5">
                    <c:v>2008</c:v>
                  </c:pt>
                  <c:pt idx="6">
                    <c:v>1975</c:v>
                  </c:pt>
                  <c:pt idx="7">
                    <c:v>1990</c:v>
                  </c:pt>
                  <c:pt idx="8">
                    <c:v>2008</c:v>
                  </c:pt>
                  <c:pt idx="9">
                    <c:v>1975</c:v>
                  </c:pt>
                  <c:pt idx="10">
                    <c:v>1990</c:v>
                  </c:pt>
                  <c:pt idx="11">
                    <c:v>2008</c:v>
                  </c:pt>
                  <c:pt idx="12">
                    <c:v>1975</c:v>
                  </c:pt>
                  <c:pt idx="13">
                    <c:v>1990</c:v>
                  </c:pt>
                  <c:pt idx="14">
                    <c:v>2008</c:v>
                  </c:pt>
                  <c:pt idx="15">
                    <c:v>1975</c:v>
                  </c:pt>
                  <c:pt idx="16">
                    <c:v>1990</c:v>
                  </c:pt>
                  <c:pt idx="17">
                    <c:v>2008</c:v>
                  </c:pt>
                  <c:pt idx="18">
                    <c:v>1975</c:v>
                  </c:pt>
                  <c:pt idx="19">
                    <c:v>1990</c:v>
                  </c:pt>
                  <c:pt idx="20">
                    <c:v>2008</c:v>
                  </c:pt>
                  <c:pt idx="21">
                    <c:v>1975</c:v>
                  </c:pt>
                  <c:pt idx="22">
                    <c:v>1990</c:v>
                  </c:pt>
                  <c:pt idx="23">
                    <c:v>2008</c:v>
                  </c:pt>
                </c:lvl>
                <c:lvl>
                  <c:pt idx="0">
                    <c:v>East Asia and Pacific</c:v>
                  </c:pt>
                  <c:pt idx="3">
                    <c:v>Europe and Central Asia</c:v>
                  </c:pt>
                  <c:pt idx="6">
                    <c:v>Latin America and the Caribbean</c:v>
                  </c:pt>
                  <c:pt idx="9">
                    <c:v>Middle East and North Africa</c:v>
                  </c:pt>
                  <c:pt idx="12">
                    <c:v>South Asia</c:v>
                  </c:pt>
                  <c:pt idx="15">
                    <c:v>Sub-Saharan Africa</c:v>
                  </c:pt>
                  <c:pt idx="18">
                    <c:v>High-income countries</c:v>
                  </c:pt>
                  <c:pt idx="21">
                    <c:v>World</c:v>
                  </c:pt>
                </c:lvl>
              </c:multiLvlStrCache>
            </c:multiLvlStrRef>
          </c:cat>
          <c:val>
            <c:numRef>
              <c:f>'Figure 2.2'!$C$2:$C$25</c:f>
              <c:numCache>
                <c:formatCode>General</c:formatCode>
                <c:ptCount val="24"/>
                <c:pt idx="0">
                  <c:v>17.21</c:v>
                </c:pt>
                <c:pt idx="1">
                  <c:v>26.45</c:v>
                </c:pt>
                <c:pt idx="2">
                  <c:v>53.52</c:v>
                </c:pt>
                <c:pt idx="4">
                  <c:v>62.61</c:v>
                </c:pt>
                <c:pt idx="5">
                  <c:v>67.02</c:v>
                </c:pt>
                <c:pt idx="6">
                  <c:v>10.17</c:v>
                </c:pt>
                <c:pt idx="7">
                  <c:v>14.52</c:v>
                </c:pt>
                <c:pt idx="8">
                  <c:v>16.21</c:v>
                </c:pt>
                <c:pt idx="9">
                  <c:v>42.07</c:v>
                </c:pt>
                <c:pt idx="10">
                  <c:v>55.39</c:v>
                </c:pt>
                <c:pt idx="11">
                  <c:v>78.06</c:v>
                </c:pt>
                <c:pt idx="12">
                  <c:v>39.97</c:v>
                </c:pt>
                <c:pt idx="13">
                  <c:v>49.15</c:v>
                </c:pt>
                <c:pt idx="14">
                  <c:v>50.12</c:v>
                </c:pt>
                <c:pt idx="15">
                  <c:v>11.54</c:v>
                </c:pt>
                <c:pt idx="16">
                  <c:v>15.77</c:v>
                </c:pt>
                <c:pt idx="17">
                  <c:v>17.04</c:v>
                </c:pt>
                <c:pt idx="18">
                  <c:v>54.84</c:v>
                </c:pt>
                <c:pt idx="19">
                  <c:v>66.62</c:v>
                </c:pt>
                <c:pt idx="20">
                  <c:v>72.29</c:v>
                </c:pt>
                <c:pt idx="21">
                  <c:v>39.67</c:v>
                </c:pt>
                <c:pt idx="22">
                  <c:v>52.65</c:v>
                </c:pt>
                <c:pt idx="23">
                  <c:v>57.72</c:v>
                </c:pt>
              </c:numCache>
            </c:numRef>
          </c:val>
        </c:ser>
        <c:gapWidth val="0"/>
        <c:axId val="770131752"/>
        <c:axId val="770110664"/>
      </c:barChart>
      <c:catAx>
        <c:axId val="770131752"/>
        <c:scaling>
          <c:orientation val="minMax"/>
        </c:scaling>
        <c:axPos val="b"/>
        <c:tickLblPos val="high"/>
        <c:crossAx val="770110664"/>
        <c:crosses val="autoZero"/>
        <c:auto val="1"/>
        <c:lblAlgn val="ctr"/>
        <c:lblOffset val="100"/>
      </c:catAx>
      <c:valAx>
        <c:axId val="770110664"/>
        <c:scaling>
          <c:orientation val="minMax"/>
          <c:max val="100.0"/>
        </c:scaling>
        <c:axPos val="l"/>
        <c:majorGridlines/>
        <c:title>
          <c:tx>
            <c:rich>
              <a:bodyPr/>
              <a:lstStyle/>
              <a:p>
                <a:pPr>
                  <a:defRPr/>
                </a:pPr>
                <a:r>
                  <a:rPr lang="en-US"/>
                  <a:t>Percent of roads paved</a:t>
                </a:r>
              </a:p>
            </c:rich>
          </c:tx>
        </c:title>
        <c:numFmt formatCode="General" sourceLinked="1"/>
        <c:tickLblPos val="nextTo"/>
        <c:crossAx val="770131752"/>
        <c:crosses val="autoZero"/>
        <c:crossBetween val="between"/>
      </c:valAx>
    </c:plotArea>
    <c:plotVisOnly val="1"/>
  </c:chart>
  <c:txPr>
    <a:bodyPr/>
    <a:lstStyle/>
    <a:p>
      <a:pPr>
        <a:defRPr b="0">
          <a:latin typeface="Times New Roman"/>
          <a:cs typeface="Times New Roman"/>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18"/>
  <c:chart>
    <c:autoTitleDeleted val="1"/>
    <c:plotArea>
      <c:layout>
        <c:manualLayout>
          <c:layoutTarget val="inner"/>
          <c:xMode val="edge"/>
          <c:yMode val="edge"/>
          <c:x val="0.0920963305067636"/>
          <c:y val="0.228962152163937"/>
          <c:w val="0.897219908809476"/>
          <c:h val="0.74695527467949"/>
        </c:manualLayout>
      </c:layout>
      <c:barChart>
        <c:barDir val="col"/>
        <c:grouping val="clustered"/>
        <c:ser>
          <c:idx val="0"/>
          <c:order val="0"/>
          <c:tx>
            <c:strRef>
              <c:f>'Figure 2.2'!$G$1</c:f>
              <c:strCache>
                <c:ptCount val="1"/>
                <c:pt idx="0">
                  <c:v>Percentage of roads paved</c:v>
                </c:pt>
              </c:strCache>
            </c:strRef>
          </c:tx>
          <c:dPt>
            <c:idx val="0"/>
            <c:spPr>
              <a:solidFill>
                <a:schemeClr val="accent3"/>
              </a:solidFill>
            </c:spPr>
          </c:dPt>
          <c:dPt>
            <c:idx val="1"/>
            <c:spPr>
              <a:solidFill>
                <a:schemeClr val="accent2"/>
              </a:solidFill>
            </c:spPr>
          </c:dPt>
          <c:dPt>
            <c:idx val="3"/>
            <c:spPr>
              <a:solidFill>
                <a:schemeClr val="accent3"/>
              </a:solidFill>
            </c:spPr>
          </c:dPt>
          <c:dPt>
            <c:idx val="4"/>
            <c:spPr>
              <a:solidFill>
                <a:schemeClr val="accent2"/>
              </a:solidFill>
            </c:spPr>
          </c:dPt>
          <c:dPt>
            <c:idx val="6"/>
            <c:spPr>
              <a:solidFill>
                <a:schemeClr val="accent3"/>
              </a:solidFill>
            </c:spPr>
          </c:dPt>
          <c:dPt>
            <c:idx val="7"/>
            <c:spPr>
              <a:solidFill>
                <a:schemeClr val="accent2"/>
              </a:solidFill>
            </c:spPr>
          </c:dPt>
          <c:dPt>
            <c:idx val="9"/>
            <c:spPr>
              <a:solidFill>
                <a:schemeClr val="accent3"/>
              </a:solidFill>
            </c:spPr>
          </c:dPt>
          <c:dPt>
            <c:idx val="10"/>
            <c:spPr>
              <a:solidFill>
                <a:schemeClr val="accent2"/>
              </a:solidFill>
            </c:spPr>
          </c:dPt>
          <c:cat>
            <c:multiLvlStrRef>
              <c:f>'Figure 2.2'!$E$2:$F$13</c:f>
              <c:multiLvlStrCache>
                <c:ptCount val="12"/>
                <c:lvl>
                  <c:pt idx="0">
                    <c:v>1975</c:v>
                  </c:pt>
                  <c:pt idx="1">
                    <c:v>1990</c:v>
                  </c:pt>
                  <c:pt idx="2">
                    <c:v>2008</c:v>
                  </c:pt>
                  <c:pt idx="3">
                    <c:v>1975</c:v>
                  </c:pt>
                  <c:pt idx="4">
                    <c:v>1990</c:v>
                  </c:pt>
                  <c:pt idx="5">
                    <c:v>2008</c:v>
                  </c:pt>
                  <c:pt idx="6">
                    <c:v>1975</c:v>
                  </c:pt>
                  <c:pt idx="7">
                    <c:v>1990</c:v>
                  </c:pt>
                  <c:pt idx="8">
                    <c:v>2008</c:v>
                  </c:pt>
                  <c:pt idx="9">
                    <c:v>1975</c:v>
                  </c:pt>
                  <c:pt idx="10">
                    <c:v>1990</c:v>
                  </c:pt>
                  <c:pt idx="11">
                    <c:v>2008</c:v>
                  </c:pt>
                </c:lvl>
                <c:lvl>
                  <c:pt idx="0">
                    <c:v>Low-income countries</c:v>
                  </c:pt>
                  <c:pt idx="3">
                    <c:v>Lower-middle-income countries</c:v>
                  </c:pt>
                  <c:pt idx="6">
                    <c:v>Upper-middle-income countries</c:v>
                  </c:pt>
                  <c:pt idx="9">
                    <c:v>High-income countries</c:v>
                  </c:pt>
                </c:lvl>
              </c:multiLvlStrCache>
            </c:multiLvlStrRef>
          </c:cat>
          <c:val>
            <c:numRef>
              <c:f>'Figure 2.2'!$G$2:$G$13</c:f>
              <c:numCache>
                <c:formatCode>General</c:formatCode>
                <c:ptCount val="12"/>
                <c:pt idx="0">
                  <c:v>8.54</c:v>
                </c:pt>
                <c:pt idx="1">
                  <c:v>17.07</c:v>
                </c:pt>
                <c:pt idx="2">
                  <c:v>17.77</c:v>
                </c:pt>
                <c:pt idx="3">
                  <c:v>29.32</c:v>
                </c:pt>
                <c:pt idx="4">
                  <c:v>46.05</c:v>
                </c:pt>
                <c:pt idx="5">
                  <c:v>50.33</c:v>
                </c:pt>
                <c:pt idx="6">
                  <c:v>10.65</c:v>
                </c:pt>
                <c:pt idx="7">
                  <c:v>30.85</c:v>
                </c:pt>
                <c:pt idx="8">
                  <c:v>43.19</c:v>
                </c:pt>
                <c:pt idx="9">
                  <c:v>54.84</c:v>
                </c:pt>
                <c:pt idx="10">
                  <c:v>66.62</c:v>
                </c:pt>
                <c:pt idx="11">
                  <c:v>72.29</c:v>
                </c:pt>
              </c:numCache>
            </c:numRef>
          </c:val>
        </c:ser>
        <c:gapWidth val="0"/>
        <c:axId val="770093416"/>
        <c:axId val="770072424"/>
      </c:barChart>
      <c:catAx>
        <c:axId val="770093416"/>
        <c:scaling>
          <c:orientation val="minMax"/>
        </c:scaling>
        <c:axPos val="b"/>
        <c:tickLblPos val="high"/>
        <c:crossAx val="770072424"/>
        <c:crosses val="autoZero"/>
        <c:auto val="1"/>
        <c:lblAlgn val="ctr"/>
        <c:lblOffset val="100"/>
      </c:catAx>
      <c:valAx>
        <c:axId val="770072424"/>
        <c:scaling>
          <c:orientation val="minMax"/>
          <c:max val="100.0"/>
        </c:scaling>
        <c:axPos val="l"/>
        <c:majorGridlines/>
        <c:title>
          <c:tx>
            <c:rich>
              <a:bodyPr/>
              <a:lstStyle/>
              <a:p>
                <a:pPr>
                  <a:defRPr/>
                </a:pPr>
                <a:r>
                  <a:rPr lang="en-US"/>
                  <a:t>Percentage of roads paved</a:t>
                </a:r>
              </a:p>
            </c:rich>
          </c:tx>
        </c:title>
        <c:numFmt formatCode="General" sourceLinked="1"/>
        <c:tickLblPos val="nextTo"/>
        <c:crossAx val="770093416"/>
        <c:crosses val="autoZero"/>
        <c:crossBetween val="between"/>
      </c:valAx>
    </c:plotArea>
    <c:plotVisOnly val="1"/>
  </c:chart>
  <c:txPr>
    <a:bodyPr/>
    <a:lstStyle/>
    <a:p>
      <a:pPr>
        <a:defRPr b="0">
          <a:latin typeface="Times New Roman"/>
          <a:cs typeface="Times New Roman"/>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style val="2"/>
  <c:chart>
    <c:plotArea>
      <c:layout>
        <c:manualLayout>
          <c:layoutTarget val="inner"/>
          <c:xMode val="edge"/>
          <c:yMode val="edge"/>
          <c:x val="0.116144093307677"/>
          <c:y val="0.0539083557951482"/>
          <c:w val="0.832163052332102"/>
          <c:h val="0.787915575733136"/>
        </c:manualLayout>
      </c:layout>
      <c:scatterChart>
        <c:scatterStyle val="smoothMarker"/>
        <c:ser>
          <c:idx val="0"/>
          <c:order val="0"/>
          <c:marker>
            <c:symbol val="none"/>
          </c:marker>
          <c:xVal>
            <c:numRef>
              <c:f>'Figure 2.5'!$A$2:$A$50</c:f>
              <c:numCache>
                <c:formatCode>General</c:formatCode>
                <c:ptCount val="49"/>
                <c:pt idx="0">
                  <c:v>1961.0</c:v>
                </c:pt>
                <c:pt idx="1">
                  <c:v>1962.0</c:v>
                </c:pt>
                <c:pt idx="2">
                  <c:v>1963.0</c:v>
                </c:pt>
                <c:pt idx="3">
                  <c:v>1964.0</c:v>
                </c:pt>
                <c:pt idx="4">
                  <c:v>1965.0</c:v>
                </c:pt>
                <c:pt idx="5">
                  <c:v>1966.0</c:v>
                </c:pt>
                <c:pt idx="6">
                  <c:v>1967.0</c:v>
                </c:pt>
                <c:pt idx="7">
                  <c:v>1968.0</c:v>
                </c:pt>
                <c:pt idx="8">
                  <c:v>1969.0</c:v>
                </c:pt>
                <c:pt idx="9">
                  <c:v>1970.0</c:v>
                </c:pt>
                <c:pt idx="10">
                  <c:v>1971.0</c:v>
                </c:pt>
                <c:pt idx="11">
                  <c:v>1972.0</c:v>
                </c:pt>
                <c:pt idx="12">
                  <c:v>1973.0</c:v>
                </c:pt>
                <c:pt idx="13">
                  <c:v>1974.0</c:v>
                </c:pt>
                <c:pt idx="14">
                  <c:v>1975.0</c:v>
                </c:pt>
                <c:pt idx="15">
                  <c:v>1976.0</c:v>
                </c:pt>
                <c:pt idx="16">
                  <c:v>1977.0</c:v>
                </c:pt>
                <c:pt idx="17">
                  <c:v>1978.0</c:v>
                </c:pt>
                <c:pt idx="18">
                  <c:v>1979.0</c:v>
                </c:pt>
                <c:pt idx="19">
                  <c:v>1980.0</c:v>
                </c:pt>
                <c:pt idx="20">
                  <c:v>1981.0</c:v>
                </c:pt>
                <c:pt idx="21">
                  <c:v>1982.0</c:v>
                </c:pt>
                <c:pt idx="22">
                  <c:v>1983.0</c:v>
                </c:pt>
                <c:pt idx="23">
                  <c:v>1984.0</c:v>
                </c:pt>
                <c:pt idx="24">
                  <c:v>1985.0</c:v>
                </c:pt>
                <c:pt idx="25">
                  <c:v>1986.0</c:v>
                </c:pt>
                <c:pt idx="26">
                  <c:v>1987.0</c:v>
                </c:pt>
                <c:pt idx="27">
                  <c:v>1988.0</c:v>
                </c:pt>
                <c:pt idx="28">
                  <c:v>1989.0</c:v>
                </c:pt>
                <c:pt idx="29">
                  <c:v>1990.0</c:v>
                </c:pt>
                <c:pt idx="30">
                  <c:v>1991.0</c:v>
                </c:pt>
                <c:pt idx="31">
                  <c:v>1992.0</c:v>
                </c:pt>
                <c:pt idx="32">
                  <c:v>1993.0</c:v>
                </c:pt>
                <c:pt idx="33">
                  <c:v>1994.0</c:v>
                </c:pt>
                <c:pt idx="34">
                  <c:v>1995.0</c:v>
                </c:pt>
                <c:pt idx="35">
                  <c:v>1996.0</c:v>
                </c:pt>
                <c:pt idx="36">
                  <c:v>1997.0</c:v>
                </c:pt>
                <c:pt idx="37">
                  <c:v>1998.0</c:v>
                </c:pt>
                <c:pt idx="38">
                  <c:v>1999.0</c:v>
                </c:pt>
                <c:pt idx="39">
                  <c:v>2000.0</c:v>
                </c:pt>
                <c:pt idx="40">
                  <c:v>2001.0</c:v>
                </c:pt>
                <c:pt idx="41">
                  <c:v>2002.0</c:v>
                </c:pt>
                <c:pt idx="42">
                  <c:v>2003.0</c:v>
                </c:pt>
                <c:pt idx="43">
                  <c:v>2004.0</c:v>
                </c:pt>
                <c:pt idx="44">
                  <c:v>2005.0</c:v>
                </c:pt>
                <c:pt idx="45">
                  <c:v>2006.0</c:v>
                </c:pt>
                <c:pt idx="46">
                  <c:v>2007.0</c:v>
                </c:pt>
                <c:pt idx="47">
                  <c:v>2008.0</c:v>
                </c:pt>
                <c:pt idx="48">
                  <c:v>2009.0</c:v>
                </c:pt>
              </c:numCache>
            </c:numRef>
          </c:xVal>
          <c:yVal>
            <c:numRef>
              <c:f>'Figure 2.5'!$B$2:$B$50</c:f>
              <c:numCache>
                <c:formatCode>0</c:formatCode>
                <c:ptCount val="49"/>
                <c:pt idx="0">
                  <c:v>155.994</c:v>
                </c:pt>
                <c:pt idx="1">
                  <c:v>158.424</c:v>
                </c:pt>
                <c:pt idx="2">
                  <c:v>160.277</c:v>
                </c:pt>
                <c:pt idx="3">
                  <c:v>162.28</c:v>
                </c:pt>
                <c:pt idx="4">
                  <c:v>164.137</c:v>
                </c:pt>
                <c:pt idx="5">
                  <c:v>167.046</c:v>
                </c:pt>
                <c:pt idx="6">
                  <c:v>169.485</c:v>
                </c:pt>
                <c:pt idx="7">
                  <c:v>172.929</c:v>
                </c:pt>
                <c:pt idx="8">
                  <c:v>175.51</c:v>
                </c:pt>
                <c:pt idx="9">
                  <c:v>178.323</c:v>
                </c:pt>
                <c:pt idx="10">
                  <c:v>181.712</c:v>
                </c:pt>
                <c:pt idx="11">
                  <c:v>185.211</c:v>
                </c:pt>
                <c:pt idx="12">
                  <c:v>189.9500000000002</c:v>
                </c:pt>
                <c:pt idx="13">
                  <c:v>192.788</c:v>
                </c:pt>
                <c:pt idx="14">
                  <c:v>195.975</c:v>
                </c:pt>
                <c:pt idx="15">
                  <c:v>199.9</c:v>
                </c:pt>
                <c:pt idx="16">
                  <c:v>203.051</c:v>
                </c:pt>
                <c:pt idx="17">
                  <c:v>210.019</c:v>
                </c:pt>
                <c:pt idx="18">
                  <c:v>213.3465</c:v>
                </c:pt>
                <c:pt idx="19">
                  <c:v>216.3506</c:v>
                </c:pt>
                <c:pt idx="20">
                  <c:v>220.8456</c:v>
                </c:pt>
                <c:pt idx="21">
                  <c:v>223.4996</c:v>
                </c:pt>
                <c:pt idx="22">
                  <c:v>226.7795999999996</c:v>
                </c:pt>
                <c:pt idx="23">
                  <c:v>230.7133</c:v>
                </c:pt>
                <c:pt idx="24">
                  <c:v>234.1546</c:v>
                </c:pt>
                <c:pt idx="25">
                  <c:v>237.8084000000004</c:v>
                </c:pt>
                <c:pt idx="26">
                  <c:v>239.82373</c:v>
                </c:pt>
                <c:pt idx="27">
                  <c:v>243.63773</c:v>
                </c:pt>
                <c:pt idx="28">
                  <c:v>247.69753</c:v>
                </c:pt>
                <c:pt idx="29">
                  <c:v>251.7563</c:v>
                </c:pt>
                <c:pt idx="30">
                  <c:v>254.3860300000004</c:v>
                </c:pt>
                <c:pt idx="31">
                  <c:v>257.60911</c:v>
                </c:pt>
                <c:pt idx="32">
                  <c:v>260.4288099999986</c:v>
                </c:pt>
                <c:pt idx="33">
                  <c:v>263.5191099999989</c:v>
                </c:pt>
                <c:pt idx="34">
                  <c:v>266.9258299999992</c:v>
                </c:pt>
                <c:pt idx="35">
                  <c:v>271.4706299999996</c:v>
                </c:pt>
                <c:pt idx="36">
                  <c:v>274.94009</c:v>
                </c:pt>
                <c:pt idx="37">
                  <c:v>277.8113499999989</c:v>
                </c:pt>
                <c:pt idx="38">
                  <c:v>280.7293699999989</c:v>
                </c:pt>
                <c:pt idx="39">
                  <c:v>284.5246</c:v>
                </c:pt>
                <c:pt idx="40">
                  <c:v>289.39598</c:v>
                </c:pt>
                <c:pt idx="41">
                  <c:v>293.3312299999989</c:v>
                </c:pt>
                <c:pt idx="42">
                  <c:v>298.8168800000003</c:v>
                </c:pt>
                <c:pt idx="43">
                  <c:v>302.04075</c:v>
                </c:pt>
                <c:pt idx="44">
                  <c:v>304.62917</c:v>
                </c:pt>
                <c:pt idx="45">
                  <c:v>306.7252499999989</c:v>
                </c:pt>
                <c:pt idx="46">
                  <c:v>308.7079499999996</c:v>
                </c:pt>
                <c:pt idx="47">
                  <c:v>310.3265999999982</c:v>
                </c:pt>
                <c:pt idx="48">
                  <c:v>311.6789</c:v>
                </c:pt>
              </c:numCache>
            </c:numRef>
          </c:yVal>
          <c:smooth val="1"/>
        </c:ser>
        <c:axId val="740680424"/>
        <c:axId val="765581464"/>
      </c:scatterChart>
      <c:valAx>
        <c:axId val="740680424"/>
        <c:scaling>
          <c:orientation val="minMax"/>
          <c:max val="2010.0"/>
          <c:min val="1960.0"/>
        </c:scaling>
        <c:axPos val="b"/>
        <c:numFmt formatCode="General" sourceLinked="1"/>
        <c:tickLblPos val="nextTo"/>
        <c:txPr>
          <a:bodyPr/>
          <a:lstStyle/>
          <a:p>
            <a:pPr>
              <a:defRPr b="0"/>
            </a:pPr>
            <a:endParaRPr lang="en-US"/>
          </a:p>
        </c:txPr>
        <c:crossAx val="765581464"/>
        <c:crosses val="autoZero"/>
        <c:crossBetween val="midCat"/>
      </c:valAx>
      <c:valAx>
        <c:axId val="765581464"/>
        <c:scaling>
          <c:orientation val="minMax"/>
        </c:scaling>
        <c:axPos val="l"/>
        <c:majorGridlines/>
        <c:title>
          <c:tx>
            <c:rich>
              <a:bodyPr rot="-5400000" vert="horz"/>
              <a:lstStyle/>
              <a:p>
                <a:pPr>
                  <a:defRPr sz="1000" b="0">
                    <a:latin typeface="Times New Roman"/>
                    <a:cs typeface="Times New Roman"/>
                  </a:defRPr>
                </a:pPr>
                <a:r>
                  <a:rPr lang="en-US" sz="1000" b="0">
                    <a:latin typeface="Times New Roman"/>
                    <a:cs typeface="Times New Roman"/>
                  </a:rPr>
                  <a:t>Million hectares</a:t>
                </a:r>
              </a:p>
            </c:rich>
          </c:tx>
        </c:title>
        <c:numFmt formatCode="0" sourceLinked="1"/>
        <c:tickLblPos val="nextTo"/>
        <c:txPr>
          <a:bodyPr/>
          <a:lstStyle/>
          <a:p>
            <a:pPr>
              <a:defRPr b="0"/>
            </a:pPr>
            <a:endParaRPr lang="en-US"/>
          </a:p>
        </c:txPr>
        <c:crossAx val="740680424"/>
        <c:crosses val="autoZero"/>
        <c:crossBetween val="midCat"/>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style val="3"/>
  <c:chart>
    <c:autoTitleDeleted val="1"/>
    <c:plotArea>
      <c:layout>
        <c:manualLayout>
          <c:layoutTarget val="inner"/>
          <c:xMode val="edge"/>
          <c:yMode val="edge"/>
          <c:x val="0.156340782122905"/>
          <c:y val="0.0404142094856229"/>
          <c:w val="0.664050059385035"/>
          <c:h val="0.538484192316093"/>
        </c:manualLayout>
      </c:layout>
      <c:barChart>
        <c:barDir val="col"/>
        <c:grouping val="clustered"/>
        <c:ser>
          <c:idx val="1"/>
          <c:order val="0"/>
          <c:tx>
            <c:strRef>
              <c:f>'Figure 2.6'!$A$45</c:f>
              <c:strCache>
                <c:ptCount val="1"/>
                <c:pt idx="0">
                  <c:v>Area potentially irrigated</c:v>
                </c:pt>
              </c:strCache>
            </c:strRef>
          </c:tx>
          <c:cat>
            <c:strRef>
              <c:f>'Figure 2.6'!$G$47:$G$50</c:f>
              <c:strCache>
                <c:ptCount val="4"/>
                <c:pt idx="0">
                  <c:v>Low-income countries</c:v>
                </c:pt>
                <c:pt idx="1">
                  <c:v>Lower-middle-income countries</c:v>
                </c:pt>
                <c:pt idx="2">
                  <c:v>Upper-middle-income countries</c:v>
                </c:pt>
                <c:pt idx="3">
                  <c:v>High-income countries</c:v>
                </c:pt>
              </c:strCache>
            </c:strRef>
          </c:cat>
          <c:val>
            <c:numRef>
              <c:f>'Figure 2.6'!$K$47:$K$50</c:f>
              <c:numCache>
                <c:formatCode>0</c:formatCode>
                <c:ptCount val="4"/>
                <c:pt idx="0">
                  <c:v>45.1411</c:v>
                </c:pt>
                <c:pt idx="1">
                  <c:v>182.388929</c:v>
                </c:pt>
                <c:pt idx="2">
                  <c:v>221.3078</c:v>
                </c:pt>
                <c:pt idx="3">
                  <c:v>2.130307</c:v>
                </c:pt>
              </c:numCache>
            </c:numRef>
          </c:val>
        </c:ser>
        <c:axId val="740847336"/>
        <c:axId val="741295608"/>
      </c:barChart>
      <c:lineChart>
        <c:grouping val="standard"/>
        <c:ser>
          <c:idx val="0"/>
          <c:order val="1"/>
          <c:tx>
            <c:strRef>
              <c:f>'Figure 2.6'!$A$23</c:f>
              <c:strCache>
                <c:ptCount val="1"/>
                <c:pt idx="0">
                  <c:v>Percentage of potential area equipped</c:v>
                </c:pt>
              </c:strCache>
            </c:strRef>
          </c:tx>
          <c:spPr>
            <a:ln>
              <a:noFill/>
            </a:ln>
          </c:spPr>
          <c:marker>
            <c:symbol val="circle"/>
            <c:size val="10"/>
            <c:spPr>
              <a:solidFill>
                <a:srgbClr val="FF0000"/>
              </a:solidFill>
            </c:spPr>
          </c:marker>
          <c:cat>
            <c:strRef>
              <c:f>'Figure 2.6'!$A$3:$A$9</c:f>
              <c:strCache>
                <c:ptCount val="7"/>
                <c:pt idx="0">
                  <c:v>East Asia and Pacific</c:v>
                </c:pt>
                <c:pt idx="1">
                  <c:v>Europe and Central Asia</c:v>
                </c:pt>
                <c:pt idx="2">
                  <c:v>Latin America and the Caribbean</c:v>
                </c:pt>
                <c:pt idx="3">
                  <c:v>Middle East and North Africa</c:v>
                </c:pt>
                <c:pt idx="4">
                  <c:v>South Asia</c:v>
                </c:pt>
                <c:pt idx="5">
                  <c:v>Sub-Saharan Africa</c:v>
                </c:pt>
                <c:pt idx="6">
                  <c:v>High-income countries</c:v>
                </c:pt>
              </c:strCache>
            </c:strRef>
          </c:cat>
          <c:val>
            <c:numRef>
              <c:f>'Figure 2.6'!$K$25:$K$28</c:f>
              <c:numCache>
                <c:formatCode>0.00%</c:formatCode>
                <c:ptCount val="4"/>
                <c:pt idx="0">
                  <c:v>0.286457352612143</c:v>
                </c:pt>
                <c:pt idx="1">
                  <c:v>0.538130798498192</c:v>
                </c:pt>
                <c:pt idx="2">
                  <c:v>0.541426917623328</c:v>
                </c:pt>
                <c:pt idx="3">
                  <c:v>0.592872294932139</c:v>
                </c:pt>
              </c:numCache>
            </c:numRef>
          </c:val>
        </c:ser>
        <c:marker val="1"/>
        <c:axId val="741253736"/>
        <c:axId val="766133336"/>
      </c:lineChart>
      <c:catAx>
        <c:axId val="740847336"/>
        <c:scaling>
          <c:orientation val="minMax"/>
        </c:scaling>
        <c:axPos val="b"/>
        <c:numFmt formatCode="#,##0" sourceLinked="1"/>
        <c:tickLblPos val="nextTo"/>
        <c:txPr>
          <a:bodyPr/>
          <a:lstStyle/>
          <a:p>
            <a:pPr>
              <a:defRPr sz="1000"/>
            </a:pPr>
            <a:endParaRPr lang="en-US"/>
          </a:p>
        </c:txPr>
        <c:crossAx val="741295608"/>
        <c:crosses val="autoZero"/>
        <c:auto val="1"/>
        <c:lblAlgn val="ctr"/>
        <c:lblOffset val="100"/>
      </c:catAx>
      <c:valAx>
        <c:axId val="741295608"/>
        <c:scaling>
          <c:orientation val="minMax"/>
        </c:scaling>
        <c:axPos val="l"/>
        <c:majorGridlines/>
        <c:title>
          <c:tx>
            <c:rich>
              <a:bodyPr rot="-5400000" vert="horz"/>
              <a:lstStyle/>
              <a:p>
                <a:pPr>
                  <a:defRPr/>
                </a:pPr>
                <a:r>
                  <a:rPr lang="en-US"/>
                  <a:t> Million hectares</a:t>
                </a:r>
              </a:p>
            </c:rich>
          </c:tx>
        </c:title>
        <c:numFmt formatCode="0" sourceLinked="1"/>
        <c:tickLblPos val="nextTo"/>
        <c:crossAx val="740847336"/>
        <c:crosses val="autoZero"/>
        <c:crossBetween val="between"/>
      </c:valAx>
      <c:valAx>
        <c:axId val="766133336"/>
        <c:scaling>
          <c:orientation val="minMax"/>
          <c:max val="1.0"/>
        </c:scaling>
        <c:axPos val="r"/>
        <c:title>
          <c:tx>
            <c:rich>
              <a:bodyPr rot="5400000" vert="horz"/>
              <a:lstStyle/>
              <a:p>
                <a:pPr>
                  <a:defRPr/>
                </a:pPr>
                <a:r>
                  <a:rPr lang="en-US"/>
                  <a:t>Percentage</a:t>
                </a:r>
              </a:p>
            </c:rich>
          </c:tx>
        </c:title>
        <c:numFmt formatCode="0%" sourceLinked="0"/>
        <c:tickLblPos val="nextTo"/>
        <c:crossAx val="741253736"/>
        <c:crosses val="max"/>
        <c:crossBetween val="between"/>
      </c:valAx>
      <c:catAx>
        <c:axId val="741253736"/>
        <c:scaling>
          <c:orientation val="minMax"/>
        </c:scaling>
        <c:delete val="1"/>
        <c:axPos val="b"/>
        <c:tickLblPos val="none"/>
        <c:crossAx val="766133336"/>
        <c:crosses val="autoZero"/>
        <c:auto val="1"/>
        <c:lblAlgn val="ctr"/>
        <c:lblOffset val="100"/>
      </c:catAx>
    </c:plotArea>
    <c:plotVisOnly val="1"/>
    <c:dispBlanksAs val="gap"/>
  </c:chart>
  <c:txPr>
    <a:bodyPr/>
    <a:lstStyle/>
    <a:p>
      <a:pPr>
        <a:defRPr b="0">
          <a:latin typeface="Times New Roman"/>
          <a:cs typeface="Times New Roman"/>
        </a:defRPr>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3E5255-EC0B-48CF-8264-B7EA2CDF0219}" type="doc">
      <dgm:prSet loTypeId="urn:microsoft.com/office/officeart/2005/8/layout/matrix2" loCatId="matrix" qsTypeId="urn:microsoft.com/office/officeart/2005/8/quickstyle/simple5" qsCatId="simple" csTypeId="urn:microsoft.com/office/officeart/2005/8/colors/accent1_2" csCatId="accent1" phldr="1"/>
      <dgm:spPr/>
      <dgm:t>
        <a:bodyPr/>
        <a:lstStyle/>
        <a:p>
          <a:endParaRPr lang="en-US"/>
        </a:p>
      </dgm:t>
    </dgm:pt>
    <dgm:pt modelId="{9974E676-B3F2-4681-8495-0CC5DBDDE41E}">
      <dgm:prSet phldrT="[Text]"/>
      <dgm:spPr/>
      <dgm:t>
        <a:bodyPr/>
        <a:lstStyle/>
        <a:p>
          <a:r>
            <a:rPr lang="en-US"/>
            <a:t>Wireless telephony</a:t>
          </a:r>
        </a:p>
      </dgm:t>
    </dgm:pt>
    <dgm:pt modelId="{F7D3443C-7488-4700-8ADD-BD3F5ABD0273}" type="parTrans" cxnId="{3DD02386-458D-4C36-8B44-EEE26AA7B55E}">
      <dgm:prSet/>
      <dgm:spPr/>
      <dgm:t>
        <a:bodyPr/>
        <a:lstStyle/>
        <a:p>
          <a:endParaRPr lang="en-US"/>
        </a:p>
      </dgm:t>
    </dgm:pt>
    <dgm:pt modelId="{CCF56F9E-B7A4-491E-B83F-837F118AFD87}" type="sibTrans" cxnId="{3DD02386-458D-4C36-8B44-EEE26AA7B55E}">
      <dgm:prSet/>
      <dgm:spPr/>
      <dgm:t>
        <a:bodyPr/>
        <a:lstStyle/>
        <a:p>
          <a:endParaRPr lang="en-US"/>
        </a:p>
      </dgm:t>
    </dgm:pt>
    <dgm:pt modelId="{E0CC98DF-838C-4C4C-80B1-A29183E811D6}">
      <dgm:prSet phldrT="[Text]"/>
      <dgm:spPr/>
      <dgm:t>
        <a:bodyPr/>
        <a:lstStyle/>
        <a:p>
          <a:r>
            <a:rPr lang="en-US"/>
            <a:t>Wireless broadband</a:t>
          </a:r>
        </a:p>
      </dgm:t>
    </dgm:pt>
    <dgm:pt modelId="{C68B6F8A-6D51-48AC-9CDC-713F340484C1}" type="parTrans" cxnId="{29BDDED7-EED0-4A7C-9BD9-E5B79E6E60B3}">
      <dgm:prSet/>
      <dgm:spPr/>
      <dgm:t>
        <a:bodyPr/>
        <a:lstStyle/>
        <a:p>
          <a:endParaRPr lang="en-US"/>
        </a:p>
      </dgm:t>
    </dgm:pt>
    <dgm:pt modelId="{6906F773-26DD-41BE-9D4E-DFC1EFA4DBDC}" type="sibTrans" cxnId="{29BDDED7-EED0-4A7C-9BD9-E5B79E6E60B3}">
      <dgm:prSet/>
      <dgm:spPr/>
      <dgm:t>
        <a:bodyPr/>
        <a:lstStyle/>
        <a:p>
          <a:endParaRPr lang="en-US"/>
        </a:p>
      </dgm:t>
    </dgm:pt>
    <dgm:pt modelId="{935D9E4F-A00B-4633-8FA5-C0024FA8F6BF}">
      <dgm:prSet phldrT="[Text]"/>
      <dgm:spPr/>
      <dgm:t>
        <a:bodyPr/>
        <a:lstStyle/>
        <a:p>
          <a:r>
            <a:rPr lang="en-US"/>
            <a:t>Fixed-line telephony</a:t>
          </a:r>
        </a:p>
      </dgm:t>
    </dgm:pt>
    <dgm:pt modelId="{1AEDF4E7-3767-44DA-8CDB-1B26171CA27D}" type="parTrans" cxnId="{5F17DCA9-68AA-4C97-982A-75831786997D}">
      <dgm:prSet/>
      <dgm:spPr/>
      <dgm:t>
        <a:bodyPr/>
        <a:lstStyle/>
        <a:p>
          <a:endParaRPr lang="en-US"/>
        </a:p>
      </dgm:t>
    </dgm:pt>
    <dgm:pt modelId="{366952D7-518B-447C-9482-C007343F3230}" type="sibTrans" cxnId="{5F17DCA9-68AA-4C97-982A-75831786997D}">
      <dgm:prSet/>
      <dgm:spPr/>
      <dgm:t>
        <a:bodyPr/>
        <a:lstStyle/>
        <a:p>
          <a:endParaRPr lang="en-US"/>
        </a:p>
      </dgm:t>
    </dgm:pt>
    <dgm:pt modelId="{265C7874-7D37-40EE-A7B8-4B3EEA0E3940}">
      <dgm:prSet phldrT="[Text]"/>
      <dgm:spPr/>
      <dgm:t>
        <a:bodyPr/>
        <a:lstStyle/>
        <a:p>
          <a:r>
            <a:rPr lang="en-US"/>
            <a:t>Fixed-line broadband</a:t>
          </a:r>
        </a:p>
      </dgm:t>
    </dgm:pt>
    <dgm:pt modelId="{B7F0EDB3-F1C3-4779-9CA5-A7E737ADAB8C}" type="parTrans" cxnId="{1FDC8C0C-4B11-4926-967E-516BE5115260}">
      <dgm:prSet/>
      <dgm:spPr/>
      <dgm:t>
        <a:bodyPr/>
        <a:lstStyle/>
        <a:p>
          <a:endParaRPr lang="en-US"/>
        </a:p>
      </dgm:t>
    </dgm:pt>
    <dgm:pt modelId="{2FE615D6-C114-42EA-B09A-1D1445DEC4B5}" type="sibTrans" cxnId="{1FDC8C0C-4B11-4926-967E-516BE5115260}">
      <dgm:prSet/>
      <dgm:spPr/>
      <dgm:t>
        <a:bodyPr/>
        <a:lstStyle/>
        <a:p>
          <a:endParaRPr lang="en-US"/>
        </a:p>
      </dgm:t>
    </dgm:pt>
    <dgm:pt modelId="{D28E76D3-03E6-40F7-A5A2-4008A594C1BA}" type="pres">
      <dgm:prSet presAssocID="{323E5255-EC0B-48CF-8264-B7EA2CDF0219}" presName="matrix" presStyleCnt="0">
        <dgm:presLayoutVars>
          <dgm:chMax val="1"/>
          <dgm:dir/>
          <dgm:resizeHandles val="exact"/>
        </dgm:presLayoutVars>
      </dgm:prSet>
      <dgm:spPr/>
      <dgm:t>
        <a:bodyPr/>
        <a:lstStyle/>
        <a:p>
          <a:endParaRPr lang="en-US"/>
        </a:p>
      </dgm:t>
    </dgm:pt>
    <dgm:pt modelId="{CBD2C4B9-B062-4C35-98BA-C8F6ABE17A2E}" type="pres">
      <dgm:prSet presAssocID="{323E5255-EC0B-48CF-8264-B7EA2CDF0219}" presName="axisShape" presStyleLbl="bgShp" presStyleIdx="0" presStyleCnt="1" custScaleX="92353" custScaleY="74042"/>
      <dgm:spPr/>
    </dgm:pt>
    <dgm:pt modelId="{BC11B37E-C60D-4404-8F96-2A7E52E5B547}" type="pres">
      <dgm:prSet presAssocID="{323E5255-EC0B-48CF-8264-B7EA2CDF0219}" presName="rect1" presStyleLbl="node1" presStyleIdx="0" presStyleCnt="4" custScaleX="92349" custScaleY="74042">
        <dgm:presLayoutVars>
          <dgm:chMax val="0"/>
          <dgm:chPref val="0"/>
          <dgm:bulletEnabled val="1"/>
        </dgm:presLayoutVars>
      </dgm:prSet>
      <dgm:spPr/>
      <dgm:t>
        <a:bodyPr/>
        <a:lstStyle/>
        <a:p>
          <a:endParaRPr lang="en-US"/>
        </a:p>
      </dgm:t>
    </dgm:pt>
    <dgm:pt modelId="{A288BE7B-9322-4E19-B665-73DA2BCE13AC}" type="pres">
      <dgm:prSet presAssocID="{323E5255-EC0B-48CF-8264-B7EA2CDF0219}" presName="rect2" presStyleLbl="node1" presStyleIdx="1" presStyleCnt="4" custScaleX="92349" custScaleY="74042">
        <dgm:presLayoutVars>
          <dgm:chMax val="0"/>
          <dgm:chPref val="0"/>
          <dgm:bulletEnabled val="1"/>
        </dgm:presLayoutVars>
      </dgm:prSet>
      <dgm:spPr/>
      <dgm:t>
        <a:bodyPr/>
        <a:lstStyle/>
        <a:p>
          <a:endParaRPr lang="en-US"/>
        </a:p>
      </dgm:t>
    </dgm:pt>
    <dgm:pt modelId="{44988923-477D-4C5A-9D11-A971DBF8B1B2}" type="pres">
      <dgm:prSet presAssocID="{323E5255-EC0B-48CF-8264-B7EA2CDF0219}" presName="rect3" presStyleLbl="node1" presStyleIdx="2" presStyleCnt="4" custScaleX="92349" custScaleY="74042">
        <dgm:presLayoutVars>
          <dgm:chMax val="0"/>
          <dgm:chPref val="0"/>
          <dgm:bulletEnabled val="1"/>
        </dgm:presLayoutVars>
      </dgm:prSet>
      <dgm:spPr/>
      <dgm:t>
        <a:bodyPr/>
        <a:lstStyle/>
        <a:p>
          <a:endParaRPr lang="en-US"/>
        </a:p>
      </dgm:t>
    </dgm:pt>
    <dgm:pt modelId="{A367FE8B-C560-417E-9AE3-C8A229AAFFA4}" type="pres">
      <dgm:prSet presAssocID="{323E5255-EC0B-48CF-8264-B7EA2CDF0219}" presName="rect4" presStyleLbl="node1" presStyleIdx="3" presStyleCnt="4" custScaleX="92349" custScaleY="74042">
        <dgm:presLayoutVars>
          <dgm:chMax val="0"/>
          <dgm:chPref val="0"/>
          <dgm:bulletEnabled val="1"/>
        </dgm:presLayoutVars>
      </dgm:prSet>
      <dgm:spPr/>
      <dgm:t>
        <a:bodyPr/>
        <a:lstStyle/>
        <a:p>
          <a:endParaRPr lang="en-US"/>
        </a:p>
      </dgm:t>
    </dgm:pt>
  </dgm:ptLst>
  <dgm:cxnLst>
    <dgm:cxn modelId="{1FDC8C0C-4B11-4926-967E-516BE5115260}" srcId="{323E5255-EC0B-48CF-8264-B7EA2CDF0219}" destId="{265C7874-7D37-40EE-A7B8-4B3EEA0E3940}" srcOrd="3" destOrd="0" parTransId="{B7F0EDB3-F1C3-4779-9CA5-A7E737ADAB8C}" sibTransId="{2FE615D6-C114-42EA-B09A-1D1445DEC4B5}"/>
    <dgm:cxn modelId="{4E951275-7EFB-E644-BD31-A01F12BB6DB9}" type="presOf" srcId="{E0CC98DF-838C-4C4C-80B1-A29183E811D6}" destId="{A288BE7B-9322-4E19-B665-73DA2BCE13AC}" srcOrd="0" destOrd="0" presId="urn:microsoft.com/office/officeart/2005/8/layout/matrix2"/>
    <dgm:cxn modelId="{3DD02386-458D-4C36-8B44-EEE26AA7B55E}" srcId="{323E5255-EC0B-48CF-8264-B7EA2CDF0219}" destId="{9974E676-B3F2-4681-8495-0CC5DBDDE41E}" srcOrd="0" destOrd="0" parTransId="{F7D3443C-7488-4700-8ADD-BD3F5ABD0273}" sibTransId="{CCF56F9E-B7A4-491E-B83F-837F118AFD87}"/>
    <dgm:cxn modelId="{29BDDED7-EED0-4A7C-9BD9-E5B79E6E60B3}" srcId="{323E5255-EC0B-48CF-8264-B7EA2CDF0219}" destId="{E0CC98DF-838C-4C4C-80B1-A29183E811D6}" srcOrd="1" destOrd="0" parTransId="{C68B6F8A-6D51-48AC-9CDC-713F340484C1}" sibTransId="{6906F773-26DD-41BE-9D4E-DFC1EFA4DBDC}"/>
    <dgm:cxn modelId="{1B6F4DBF-453C-5F40-9A69-6767F56F4BAD}" type="presOf" srcId="{935D9E4F-A00B-4633-8FA5-C0024FA8F6BF}" destId="{44988923-477D-4C5A-9D11-A971DBF8B1B2}" srcOrd="0" destOrd="0" presId="urn:microsoft.com/office/officeart/2005/8/layout/matrix2"/>
    <dgm:cxn modelId="{5F17DCA9-68AA-4C97-982A-75831786997D}" srcId="{323E5255-EC0B-48CF-8264-B7EA2CDF0219}" destId="{935D9E4F-A00B-4633-8FA5-C0024FA8F6BF}" srcOrd="2" destOrd="0" parTransId="{1AEDF4E7-3767-44DA-8CDB-1B26171CA27D}" sibTransId="{366952D7-518B-447C-9482-C007343F3230}"/>
    <dgm:cxn modelId="{B2245652-08F2-C443-83C4-38B97C836518}" type="presOf" srcId="{323E5255-EC0B-48CF-8264-B7EA2CDF0219}" destId="{D28E76D3-03E6-40F7-A5A2-4008A594C1BA}" srcOrd="0" destOrd="0" presId="urn:microsoft.com/office/officeart/2005/8/layout/matrix2"/>
    <dgm:cxn modelId="{892E32DB-3D0A-F348-8069-6B4B2CB08E75}" type="presOf" srcId="{9974E676-B3F2-4681-8495-0CC5DBDDE41E}" destId="{BC11B37E-C60D-4404-8F96-2A7E52E5B547}" srcOrd="0" destOrd="0" presId="urn:microsoft.com/office/officeart/2005/8/layout/matrix2"/>
    <dgm:cxn modelId="{DF965158-9133-8448-BEF9-5D7364533895}" type="presOf" srcId="{265C7874-7D37-40EE-A7B8-4B3EEA0E3940}" destId="{A367FE8B-C560-417E-9AE3-C8A229AAFFA4}" srcOrd="0" destOrd="0" presId="urn:microsoft.com/office/officeart/2005/8/layout/matrix2"/>
    <dgm:cxn modelId="{CFA19A2B-9FAD-9745-8368-25093EFA6C79}" type="presParOf" srcId="{D28E76D3-03E6-40F7-A5A2-4008A594C1BA}" destId="{CBD2C4B9-B062-4C35-98BA-C8F6ABE17A2E}" srcOrd="0" destOrd="0" presId="urn:microsoft.com/office/officeart/2005/8/layout/matrix2"/>
    <dgm:cxn modelId="{4E149C4B-BE8B-1E4D-A986-AEF0BCB6ADDE}" type="presParOf" srcId="{D28E76D3-03E6-40F7-A5A2-4008A594C1BA}" destId="{BC11B37E-C60D-4404-8F96-2A7E52E5B547}" srcOrd="1" destOrd="0" presId="urn:microsoft.com/office/officeart/2005/8/layout/matrix2"/>
    <dgm:cxn modelId="{0B199006-9FEA-B74E-8F5E-12EFE22DDAE8}" type="presParOf" srcId="{D28E76D3-03E6-40F7-A5A2-4008A594C1BA}" destId="{A288BE7B-9322-4E19-B665-73DA2BCE13AC}" srcOrd="2" destOrd="0" presId="urn:microsoft.com/office/officeart/2005/8/layout/matrix2"/>
    <dgm:cxn modelId="{638A5D1D-A969-864E-8F66-5E8173B98611}" type="presParOf" srcId="{D28E76D3-03E6-40F7-A5A2-4008A594C1BA}" destId="{44988923-477D-4C5A-9D11-A971DBF8B1B2}" srcOrd="3" destOrd="0" presId="urn:microsoft.com/office/officeart/2005/8/layout/matrix2"/>
    <dgm:cxn modelId="{63050E09-68AA-324A-BB60-E5657D4A439D}" type="presParOf" srcId="{D28E76D3-03E6-40F7-A5A2-4008A594C1BA}" destId="{A367FE8B-C560-417E-9AE3-C8A229AAFFA4}" srcOrd="4" destOrd="0" presId="urn:microsoft.com/office/officeart/2005/8/layout/matrix2"/>
  </dgm:cxnLst>
  <dgm:bg>
    <a:solidFill>
      <a:schemeClr val="bg1">
        <a:lumMod val="85000"/>
      </a:schemeClr>
    </a:solidFill>
  </dgm:bg>
  <dgm:whole/>
  <dgm:extLst>
    <a:ext uri="http://schemas.microsoft.com/office/drawing/2008/diagram">
      <dsp:dataModelExt xmlns:dsp="http://schemas.microsoft.com/office/drawing/2008/diagram" xmlns="" relId="rId4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239</Pages>
  <Words>122462</Words>
  <Characters>698036</Characters>
  <Application>Microsoft Macintosh Word</Application>
  <DocSecurity>0</DocSecurity>
  <Lines>5816</Lines>
  <Paragraphs>1396</Paragraphs>
  <ScaleCrop>false</ScaleCrop>
  <Company>University of Denver</Company>
  <LinksUpToDate>false</LinksUpToDate>
  <CharactersWithSpaces>857237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 Margolese-Malin</dc:creator>
  <cp:keywords/>
  <cp:lastModifiedBy>Eli Margolese-Malin</cp:lastModifiedBy>
  <cp:revision>4</cp:revision>
  <cp:lastPrinted>2012-05-31T20:04:00Z</cp:lastPrinted>
  <dcterms:created xsi:type="dcterms:W3CDTF">2012-05-31T20:53:00Z</dcterms:created>
  <dcterms:modified xsi:type="dcterms:W3CDTF">2012-06-18T20:29:00Z</dcterms:modified>
</cp:coreProperties>
</file>